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bidi w:val="0"/>
        <w:rPr>
          <w:rFonts w:hint="default"/>
          <w:lang w:val="en-US" w:eastAsia="zh-CN"/>
        </w:rPr>
      </w:pPr>
      <w:r>
        <w:rPr>
          <w:rFonts w:hint="eastAsia"/>
          <w:lang w:val="en-US" w:eastAsia="zh-CN"/>
        </w:rPr>
        <w:t>附件1 安全责任险投保相关参考内容</w:t>
      </w:r>
    </w:p>
    <w:p>
      <w:pPr>
        <w:pStyle w:val="5"/>
        <w:numPr>
          <w:ilvl w:val="0"/>
          <w:numId w:val="1"/>
        </w:numPr>
        <w:bidi w:val="0"/>
        <w:rPr>
          <w:rFonts w:hint="default"/>
          <w:lang w:val="en-US" w:eastAsia="zh-CN"/>
        </w:rPr>
      </w:pPr>
      <w:r>
        <w:rPr>
          <w:rFonts w:hint="default"/>
          <w:lang w:val="en-US" w:eastAsia="zh-CN"/>
        </w:rPr>
        <w:t xml:space="preserve">保险责任 </w:t>
      </w:r>
    </w:p>
    <w:p>
      <w:pPr>
        <w:pStyle w:val="6"/>
        <w:bidi w:val="0"/>
        <w:rPr>
          <w:rFonts w:hint="default"/>
          <w:lang w:val="en-US" w:eastAsia="zh-CN"/>
        </w:rPr>
      </w:pPr>
      <w:r>
        <w:rPr>
          <w:rFonts w:hint="eastAsia"/>
          <w:lang w:val="en-US" w:eastAsia="zh-CN"/>
        </w:rPr>
        <w:t>（一）</w:t>
      </w:r>
      <w:r>
        <w:rPr>
          <w:rFonts w:hint="default"/>
          <w:lang w:val="en-US" w:eastAsia="zh-CN"/>
        </w:rPr>
        <w:t xml:space="preserve">从业人员人身伤亡保障 </w:t>
      </w:r>
    </w:p>
    <w:p>
      <w:pPr>
        <w:bidi w:val="0"/>
        <w:jc w:val="left"/>
        <w:rPr>
          <w:rFonts w:hint="default"/>
          <w:lang w:val="en-US" w:eastAsia="zh-CN"/>
        </w:rPr>
      </w:pPr>
      <w:r>
        <w:rPr>
          <w:rFonts w:hint="default"/>
          <w:lang w:val="en-US" w:eastAsia="zh-CN"/>
        </w:rPr>
        <w:t>在保险期间内，被保险人在本保险合同列明的区域范围内依法从事生产、经营、储存等活动过程中，因发生生产安全事故导致其从业人员的人身伤亡，依照中华人民共和国法律（不包括港、澳、台地区法律）应由被保险人承担的经济赔偿责任，保险人按照本保险约定负责赔偿。</w:t>
      </w:r>
    </w:p>
    <w:p>
      <w:pPr>
        <w:pStyle w:val="6"/>
        <w:bidi w:val="0"/>
        <w:rPr>
          <w:rFonts w:hint="default"/>
          <w:lang w:val="en-US" w:eastAsia="zh-CN"/>
        </w:rPr>
      </w:pPr>
      <w:r>
        <w:rPr>
          <w:rFonts w:hint="eastAsia"/>
          <w:lang w:val="en-US" w:eastAsia="zh-CN"/>
        </w:rPr>
        <w:t>（二）</w:t>
      </w:r>
      <w:r>
        <w:rPr>
          <w:rFonts w:hint="default"/>
          <w:lang w:val="en-US" w:eastAsia="zh-CN"/>
        </w:rPr>
        <w:t>第三者人身伤亡和财产损失保障</w:t>
      </w:r>
    </w:p>
    <w:p>
      <w:pPr>
        <w:bidi w:val="0"/>
        <w:jc w:val="left"/>
        <w:rPr>
          <w:rFonts w:hint="default"/>
          <w:lang w:val="en-US" w:eastAsia="zh-CN"/>
        </w:rPr>
      </w:pPr>
      <w:r>
        <w:rPr>
          <w:rFonts w:hint="default"/>
          <w:lang w:val="en-US" w:eastAsia="zh-CN"/>
        </w:rPr>
        <w:t>在保险期间内，被保险人在本保险合同列明的区域范围内依法从事生产、经营、储存等活动过程中，因发生生产安全事故导致第三者的人身伤亡或财产损失，依照中华人民共和国法律（不包括港、澳、台地区法律）应由被保险人承担的经济赔偿责任，保险人按照本保险约定负责赔偿。</w:t>
      </w:r>
    </w:p>
    <w:p>
      <w:pPr>
        <w:pStyle w:val="6"/>
        <w:bidi w:val="0"/>
        <w:rPr>
          <w:rFonts w:hint="default"/>
          <w:lang w:val="en-US" w:eastAsia="zh-CN"/>
        </w:rPr>
      </w:pPr>
      <w:r>
        <w:rPr>
          <w:rFonts w:hint="eastAsia"/>
          <w:lang w:val="en-US" w:eastAsia="zh-CN"/>
        </w:rPr>
        <w:t>（三）</w:t>
      </w:r>
      <w:r>
        <w:rPr>
          <w:rFonts w:hint="default"/>
          <w:lang w:val="en-US" w:eastAsia="zh-CN"/>
        </w:rPr>
        <w:t>抢险救援费用</w:t>
      </w:r>
    </w:p>
    <w:p>
      <w:pPr>
        <w:bidi w:val="0"/>
        <w:jc w:val="left"/>
        <w:rPr>
          <w:rFonts w:hint="default"/>
          <w:lang w:val="en-US" w:eastAsia="zh-CN"/>
        </w:rPr>
      </w:pPr>
      <w:r>
        <w:rPr>
          <w:rFonts w:hint="default"/>
          <w:lang w:val="en-US" w:eastAsia="zh-CN"/>
        </w:rPr>
        <w:t>保险事故发生后，被保险人或当地政府在组织事故抢险救援过程中，因征用事故发生企业以外的专业救援队伍及设备所发生的依照中华人民共和国法律（不包括港、澳、台地区法律）应由被保险人承担的费用，保险人按照本保险约定负责赔偿。</w:t>
      </w:r>
    </w:p>
    <w:p>
      <w:pPr>
        <w:pStyle w:val="6"/>
        <w:bidi w:val="0"/>
        <w:rPr>
          <w:rFonts w:hint="default"/>
          <w:lang w:val="en-US" w:eastAsia="zh-CN"/>
        </w:rPr>
      </w:pPr>
      <w:r>
        <w:rPr>
          <w:rFonts w:hint="eastAsia"/>
          <w:lang w:val="en-US" w:eastAsia="zh-CN"/>
        </w:rPr>
        <w:t>（四）</w:t>
      </w:r>
      <w:r>
        <w:rPr>
          <w:rFonts w:hint="default"/>
          <w:lang w:val="en-US" w:eastAsia="zh-CN"/>
        </w:rPr>
        <w:t>鉴定费用</w:t>
      </w:r>
    </w:p>
    <w:p>
      <w:pPr>
        <w:bidi w:val="0"/>
        <w:jc w:val="left"/>
        <w:rPr>
          <w:rFonts w:hint="default"/>
          <w:lang w:val="en-US" w:eastAsia="zh-CN"/>
        </w:rPr>
      </w:pPr>
      <w:r>
        <w:rPr>
          <w:rFonts w:hint="default"/>
          <w:lang w:val="en-US" w:eastAsia="zh-CN"/>
        </w:rPr>
        <w:t>保险事故发生后，当地政府为查明事故原因及相关责任而聘请具备相应资质的专业机构（部门）进行检验（检测）、勘查（勘探）、评估（评价），并出具具备相应法定效力的报告所发生的依照中华人民共和国法律（不包括港、澳、台地区法律）应由被保险人承担的费用，保险人按照本保险约定负责赔偿。</w:t>
      </w:r>
    </w:p>
    <w:p>
      <w:pPr>
        <w:pStyle w:val="6"/>
        <w:bidi w:val="0"/>
        <w:rPr>
          <w:rFonts w:hint="default"/>
          <w:lang w:val="en-US" w:eastAsia="zh-CN"/>
        </w:rPr>
      </w:pPr>
      <w:r>
        <w:rPr>
          <w:rFonts w:hint="eastAsia"/>
          <w:lang w:val="en-US" w:eastAsia="zh-CN"/>
        </w:rPr>
        <w:t>（五）</w:t>
      </w:r>
      <w:r>
        <w:rPr>
          <w:rFonts w:hint="default"/>
          <w:lang w:val="en-US" w:eastAsia="zh-CN"/>
        </w:rPr>
        <w:t xml:space="preserve">法律费用 </w:t>
      </w:r>
    </w:p>
    <w:p>
      <w:pPr>
        <w:bidi w:val="0"/>
        <w:jc w:val="left"/>
        <w:rPr>
          <w:rFonts w:hint="default"/>
          <w:lang w:val="en-US" w:eastAsia="zh-CN"/>
        </w:rPr>
      </w:pPr>
      <w:r>
        <w:rPr>
          <w:rFonts w:hint="default"/>
          <w:lang w:val="en-US" w:eastAsia="zh-CN"/>
        </w:rPr>
        <w:t>保险事故发生后，被保险人因保险事故而被提起仲裁或者诉讼的，对应由被保险人支付的仲裁或诉讼费用以及事先经保险人书面同意支付的其他必要的、合理的费用（以下简称“法律费用”），保险人按照本保险约定也负责赔偿。</w:t>
      </w:r>
    </w:p>
    <w:p>
      <w:pPr>
        <w:pStyle w:val="5"/>
        <w:numPr>
          <w:ilvl w:val="0"/>
          <w:numId w:val="1"/>
        </w:numPr>
        <w:bidi w:val="0"/>
        <w:ind w:left="0" w:leftChars="0" w:firstLine="640" w:firstLineChars="200"/>
        <w:rPr>
          <w:rFonts w:hint="default"/>
          <w:lang w:val="en-US" w:eastAsia="zh-CN"/>
        </w:rPr>
      </w:pPr>
      <w:r>
        <w:rPr>
          <w:rFonts w:hint="eastAsia"/>
          <w:lang w:val="en-US" w:eastAsia="zh-CN"/>
        </w:rPr>
        <w:t>参考赔付标准与费用预测</w:t>
      </w:r>
    </w:p>
    <w:p>
      <w:pPr>
        <w:rPr>
          <w:rFonts w:hint="default"/>
          <w:lang w:val="en-US" w:eastAsia="zh-CN"/>
        </w:rPr>
      </w:pPr>
      <w:r>
        <w:rPr>
          <w:rFonts w:hint="eastAsia"/>
          <w:lang w:val="en-US" w:eastAsia="zh-CN"/>
        </w:rPr>
        <w:t>总保额500万的各项目参考赔付标准如下表所示，此标准下建议保费上限为300元/人·年，各单位可根据自身的业务风险及费用预算情况自行对总保额、单项保额、保费最高限价进行调整。</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40"/>
        <w:gridCol w:w="3501"/>
        <w:gridCol w:w="21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pPr>
              <w:pStyle w:val="10"/>
              <w:bidi w:val="0"/>
              <w:rPr>
                <w:rFonts w:hint="default"/>
                <w:b/>
                <w:bCs/>
                <w:sz w:val="32"/>
                <w:szCs w:val="24"/>
                <w:lang w:val="en-US" w:eastAsia="zh-CN"/>
              </w:rPr>
            </w:pPr>
            <w:r>
              <w:rPr>
                <w:rFonts w:hint="eastAsia"/>
                <w:b/>
                <w:bCs/>
                <w:sz w:val="32"/>
                <w:szCs w:val="24"/>
                <w:lang w:val="en-US" w:eastAsia="zh-CN"/>
              </w:rPr>
              <w:t>保险项目</w:t>
            </w:r>
          </w:p>
        </w:tc>
        <w:tc>
          <w:tcPr>
            <w:tcW w:w="5682" w:type="dxa"/>
            <w:gridSpan w:val="2"/>
          </w:tcPr>
          <w:p>
            <w:pPr>
              <w:pStyle w:val="10"/>
              <w:bidi w:val="0"/>
              <w:rPr>
                <w:rFonts w:hint="default"/>
                <w:b/>
                <w:bCs/>
                <w:sz w:val="32"/>
                <w:szCs w:val="24"/>
                <w:lang w:val="en-US" w:eastAsia="zh-CN"/>
              </w:rPr>
            </w:pPr>
            <w:r>
              <w:rPr>
                <w:rFonts w:hint="eastAsia"/>
                <w:b/>
                <w:bCs/>
                <w:sz w:val="32"/>
                <w:szCs w:val="24"/>
                <w:lang w:val="en-US" w:eastAsia="zh-CN"/>
              </w:rPr>
              <w:t>赔偿限额（单位：万元）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Merge w:val="restart"/>
            <w:vAlign w:val="center"/>
          </w:tcPr>
          <w:p>
            <w:pPr>
              <w:pStyle w:val="10"/>
              <w:bidi w:val="0"/>
              <w:jc w:val="center"/>
              <w:rPr>
                <w:rFonts w:hint="default"/>
                <w:lang w:val="en-US" w:eastAsia="zh-CN"/>
              </w:rPr>
            </w:pPr>
            <w:r>
              <w:rPr>
                <w:rFonts w:hint="eastAsia"/>
                <w:lang w:val="en-US" w:eastAsia="zh-CN"/>
              </w:rPr>
              <w:t>保单赔偿限额</w:t>
            </w:r>
          </w:p>
        </w:tc>
        <w:tc>
          <w:tcPr>
            <w:tcW w:w="3501" w:type="dxa"/>
          </w:tcPr>
          <w:p>
            <w:pPr>
              <w:pStyle w:val="10"/>
              <w:bidi w:val="0"/>
              <w:rPr>
                <w:rFonts w:hint="default"/>
                <w:lang w:val="en-US" w:eastAsia="zh-CN"/>
              </w:rPr>
            </w:pPr>
            <w:r>
              <w:rPr>
                <w:rFonts w:hint="eastAsia"/>
                <w:lang w:val="en-US" w:eastAsia="zh-CN"/>
              </w:rPr>
              <w:t>累计赔偿限额</w:t>
            </w:r>
          </w:p>
        </w:tc>
        <w:tc>
          <w:tcPr>
            <w:tcW w:w="2181" w:type="dxa"/>
          </w:tcPr>
          <w:p>
            <w:pPr>
              <w:pStyle w:val="10"/>
              <w:bidi w:val="0"/>
              <w:rPr>
                <w:rFonts w:hint="default"/>
                <w:lang w:val="en-US" w:eastAsia="zh-CN"/>
              </w:rPr>
            </w:pPr>
            <w:r>
              <w:rPr>
                <w:rFonts w:hint="eastAsia"/>
                <w:lang w:val="en-US" w:eastAsia="zh-CN"/>
              </w:rPr>
              <w:t>500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Merge w:val="continue"/>
          </w:tcPr>
          <w:p>
            <w:pPr>
              <w:pStyle w:val="10"/>
              <w:bidi w:val="0"/>
              <w:rPr>
                <w:rFonts w:hint="default"/>
                <w:lang w:val="en-US" w:eastAsia="zh-CN"/>
              </w:rPr>
            </w:pPr>
          </w:p>
        </w:tc>
        <w:tc>
          <w:tcPr>
            <w:tcW w:w="3501" w:type="dxa"/>
          </w:tcPr>
          <w:p>
            <w:pPr>
              <w:pStyle w:val="10"/>
              <w:bidi w:val="0"/>
              <w:rPr>
                <w:rFonts w:hint="default"/>
                <w:lang w:val="en-US" w:eastAsia="zh-CN"/>
              </w:rPr>
            </w:pPr>
            <w:r>
              <w:rPr>
                <w:rFonts w:hint="eastAsia"/>
                <w:lang w:val="en-US" w:eastAsia="zh-CN"/>
              </w:rPr>
              <w:t>每次事故赔偿限额</w:t>
            </w:r>
          </w:p>
        </w:tc>
        <w:tc>
          <w:tcPr>
            <w:tcW w:w="2181" w:type="dxa"/>
          </w:tcPr>
          <w:p>
            <w:pPr>
              <w:pStyle w:val="10"/>
              <w:bidi w:val="0"/>
              <w:rPr>
                <w:rFonts w:hint="default"/>
                <w:lang w:val="en-US" w:eastAsia="zh-CN"/>
              </w:rPr>
            </w:pPr>
            <w:r>
              <w:rPr>
                <w:rFonts w:hint="eastAsia"/>
                <w:lang w:val="en-US" w:eastAsia="zh-CN"/>
              </w:rPr>
              <w:t>250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Merge w:val="restart"/>
            <w:vAlign w:val="center"/>
          </w:tcPr>
          <w:p>
            <w:pPr>
              <w:pStyle w:val="10"/>
              <w:bidi w:val="0"/>
              <w:jc w:val="center"/>
              <w:rPr>
                <w:rFonts w:hint="default"/>
                <w:lang w:val="en-US" w:eastAsia="zh-CN"/>
              </w:rPr>
            </w:pPr>
            <w:r>
              <w:rPr>
                <w:rFonts w:hint="eastAsia"/>
                <w:lang w:val="en-US" w:eastAsia="zh-CN"/>
              </w:rPr>
              <w:t>从业人员人身伤亡</w:t>
            </w:r>
          </w:p>
        </w:tc>
        <w:tc>
          <w:tcPr>
            <w:tcW w:w="3501" w:type="dxa"/>
          </w:tcPr>
          <w:p>
            <w:pPr>
              <w:pStyle w:val="10"/>
              <w:bidi w:val="0"/>
              <w:rPr>
                <w:rFonts w:hint="default"/>
                <w:lang w:val="en-US" w:eastAsia="zh-CN"/>
              </w:rPr>
            </w:pPr>
            <w:r>
              <w:rPr>
                <w:rFonts w:hint="eastAsia"/>
                <w:lang w:val="en-US" w:eastAsia="zh-CN"/>
              </w:rPr>
              <w:t>每人死亡、伤残赔偿限额</w:t>
            </w:r>
          </w:p>
        </w:tc>
        <w:tc>
          <w:tcPr>
            <w:tcW w:w="2181" w:type="dxa"/>
          </w:tcPr>
          <w:p>
            <w:pPr>
              <w:pStyle w:val="10"/>
              <w:bidi w:val="0"/>
              <w:rPr>
                <w:rFonts w:hint="default"/>
                <w:lang w:val="en-US" w:eastAsia="zh-CN"/>
              </w:rPr>
            </w:pPr>
            <w:r>
              <w:rPr>
                <w:rFonts w:hint="eastAsia"/>
                <w:lang w:val="en-US" w:eastAsia="zh-CN"/>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Merge w:val="continue"/>
          </w:tcPr>
          <w:p>
            <w:pPr>
              <w:pStyle w:val="10"/>
              <w:bidi w:val="0"/>
              <w:rPr>
                <w:rFonts w:hint="default"/>
                <w:lang w:val="en-US" w:eastAsia="zh-CN"/>
              </w:rPr>
            </w:pPr>
          </w:p>
        </w:tc>
        <w:tc>
          <w:tcPr>
            <w:tcW w:w="3501" w:type="dxa"/>
          </w:tcPr>
          <w:p>
            <w:pPr>
              <w:pStyle w:val="10"/>
              <w:bidi w:val="0"/>
              <w:rPr>
                <w:rFonts w:hint="default"/>
                <w:lang w:val="en-US" w:eastAsia="zh-CN"/>
              </w:rPr>
            </w:pPr>
            <w:r>
              <w:rPr>
                <w:rFonts w:hint="eastAsia"/>
                <w:lang w:val="en-US" w:eastAsia="zh-CN"/>
              </w:rPr>
              <w:t>每人医疗费用赔偿限额</w:t>
            </w:r>
          </w:p>
        </w:tc>
        <w:tc>
          <w:tcPr>
            <w:tcW w:w="2181" w:type="dxa"/>
          </w:tcPr>
          <w:p>
            <w:pPr>
              <w:pStyle w:val="10"/>
              <w:bidi w:val="0"/>
              <w:rPr>
                <w:rFonts w:hint="default"/>
                <w:lang w:val="en-US" w:eastAsia="zh-CN"/>
              </w:rPr>
            </w:pPr>
            <w:r>
              <w:rPr>
                <w:rFonts w:hint="eastAsia"/>
                <w:lang w:val="en-US" w:eastAsia="zh-CN"/>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Merge w:val="restart"/>
            <w:vAlign w:val="center"/>
          </w:tcPr>
          <w:p>
            <w:pPr>
              <w:pStyle w:val="10"/>
              <w:bidi w:val="0"/>
              <w:jc w:val="center"/>
              <w:rPr>
                <w:rFonts w:hint="default"/>
                <w:lang w:val="en-US" w:eastAsia="zh-CN"/>
              </w:rPr>
            </w:pPr>
            <w:r>
              <w:rPr>
                <w:rFonts w:hint="eastAsia"/>
                <w:lang w:val="en-US" w:eastAsia="zh-CN"/>
              </w:rPr>
              <w:t>第三者人身死亡和财产损失</w:t>
            </w:r>
          </w:p>
        </w:tc>
        <w:tc>
          <w:tcPr>
            <w:tcW w:w="3501" w:type="dxa"/>
          </w:tcPr>
          <w:p>
            <w:pPr>
              <w:pStyle w:val="10"/>
              <w:bidi w:val="0"/>
              <w:rPr>
                <w:rFonts w:hint="default"/>
                <w:lang w:val="en-US" w:eastAsia="zh-CN"/>
              </w:rPr>
            </w:pPr>
            <w:r>
              <w:rPr>
                <w:rFonts w:hint="eastAsia"/>
                <w:lang w:val="en-US" w:eastAsia="zh-CN"/>
              </w:rPr>
              <w:t>累计及每次事故赔偿限额</w:t>
            </w:r>
          </w:p>
        </w:tc>
        <w:tc>
          <w:tcPr>
            <w:tcW w:w="2181" w:type="dxa"/>
          </w:tcPr>
          <w:p>
            <w:pPr>
              <w:pStyle w:val="10"/>
              <w:bidi w:val="0"/>
              <w:rPr>
                <w:rFonts w:hint="default"/>
                <w:lang w:val="en-US" w:eastAsia="zh-CN"/>
              </w:rPr>
            </w:pPr>
            <w:r>
              <w:rPr>
                <w:rFonts w:hint="eastAsia"/>
                <w:lang w:val="en-US" w:eastAsia="zh-CN"/>
              </w:rPr>
              <w:t>250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Merge w:val="continue"/>
          </w:tcPr>
          <w:p>
            <w:pPr>
              <w:pStyle w:val="10"/>
              <w:bidi w:val="0"/>
              <w:rPr>
                <w:rFonts w:hint="default"/>
                <w:lang w:val="en-US" w:eastAsia="zh-CN"/>
              </w:rPr>
            </w:pPr>
          </w:p>
        </w:tc>
        <w:tc>
          <w:tcPr>
            <w:tcW w:w="3501" w:type="dxa"/>
          </w:tcPr>
          <w:p>
            <w:pPr>
              <w:pStyle w:val="10"/>
              <w:bidi w:val="0"/>
              <w:rPr>
                <w:rFonts w:hint="default"/>
                <w:lang w:val="en-US" w:eastAsia="zh-CN"/>
              </w:rPr>
            </w:pPr>
            <w:r>
              <w:rPr>
                <w:rFonts w:hint="eastAsia"/>
                <w:lang w:val="en-US" w:eastAsia="zh-CN"/>
              </w:rPr>
              <w:t>每次事故财产损失赔偿限额</w:t>
            </w:r>
          </w:p>
        </w:tc>
        <w:tc>
          <w:tcPr>
            <w:tcW w:w="2181" w:type="dxa"/>
          </w:tcPr>
          <w:p>
            <w:pPr>
              <w:pStyle w:val="10"/>
              <w:bidi w:val="0"/>
              <w:rPr>
                <w:rFonts w:hint="default"/>
                <w:lang w:val="en-US" w:eastAsia="zh-CN"/>
              </w:rPr>
            </w:pPr>
            <w:r>
              <w:rPr>
                <w:rFonts w:hint="eastAsia"/>
                <w:lang w:val="en-US" w:eastAsia="zh-CN"/>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Merge w:val="continue"/>
          </w:tcPr>
          <w:p>
            <w:pPr>
              <w:pStyle w:val="10"/>
              <w:bidi w:val="0"/>
              <w:rPr>
                <w:rFonts w:hint="default"/>
                <w:lang w:val="en-US" w:eastAsia="zh-CN"/>
              </w:rPr>
            </w:pPr>
          </w:p>
        </w:tc>
        <w:tc>
          <w:tcPr>
            <w:tcW w:w="3501" w:type="dxa"/>
          </w:tcPr>
          <w:p>
            <w:pPr>
              <w:pStyle w:val="10"/>
              <w:bidi w:val="0"/>
              <w:rPr>
                <w:rFonts w:hint="default"/>
                <w:lang w:val="en-US" w:eastAsia="zh-CN"/>
              </w:rPr>
            </w:pPr>
            <w:r>
              <w:rPr>
                <w:rFonts w:hint="eastAsia"/>
                <w:lang w:val="en-US" w:eastAsia="zh-CN"/>
              </w:rPr>
              <w:t>每人死亡、伤残赔偿限额</w:t>
            </w:r>
          </w:p>
        </w:tc>
        <w:tc>
          <w:tcPr>
            <w:tcW w:w="2181" w:type="dxa"/>
          </w:tcPr>
          <w:p>
            <w:pPr>
              <w:pStyle w:val="10"/>
              <w:bidi w:val="0"/>
              <w:rPr>
                <w:rFonts w:hint="default"/>
                <w:lang w:val="en-US" w:eastAsia="zh-CN"/>
              </w:rPr>
            </w:pPr>
            <w:r>
              <w:rPr>
                <w:rFonts w:hint="eastAsia"/>
                <w:lang w:val="en-US" w:eastAsia="zh-CN"/>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Merge w:val="continue"/>
          </w:tcPr>
          <w:p>
            <w:pPr>
              <w:pStyle w:val="10"/>
              <w:bidi w:val="0"/>
              <w:rPr>
                <w:rFonts w:hint="default"/>
                <w:lang w:val="en-US" w:eastAsia="zh-CN"/>
              </w:rPr>
            </w:pPr>
          </w:p>
        </w:tc>
        <w:tc>
          <w:tcPr>
            <w:tcW w:w="3501" w:type="dxa"/>
          </w:tcPr>
          <w:p>
            <w:pPr>
              <w:pStyle w:val="10"/>
              <w:bidi w:val="0"/>
              <w:rPr>
                <w:rFonts w:hint="default"/>
                <w:lang w:val="en-US" w:eastAsia="zh-CN"/>
              </w:rPr>
            </w:pPr>
            <w:r>
              <w:rPr>
                <w:rFonts w:hint="eastAsia"/>
                <w:lang w:val="en-US" w:eastAsia="zh-CN"/>
              </w:rPr>
              <w:t>每人医疗费用赔偿限额</w:t>
            </w:r>
          </w:p>
        </w:tc>
        <w:tc>
          <w:tcPr>
            <w:tcW w:w="2181" w:type="dxa"/>
          </w:tcPr>
          <w:p>
            <w:pPr>
              <w:pStyle w:val="10"/>
              <w:bidi w:val="0"/>
              <w:rPr>
                <w:rFonts w:hint="default"/>
                <w:lang w:val="en-US" w:eastAsia="zh-CN"/>
              </w:rPr>
            </w:pPr>
            <w:r>
              <w:rPr>
                <w:rFonts w:hint="eastAsia"/>
                <w:lang w:val="en-US" w:eastAsia="zh-CN"/>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41" w:type="dxa"/>
            <w:gridSpan w:val="2"/>
          </w:tcPr>
          <w:p>
            <w:pPr>
              <w:pStyle w:val="10"/>
              <w:bidi w:val="0"/>
              <w:rPr>
                <w:rFonts w:hint="default"/>
                <w:lang w:val="en-US" w:eastAsia="zh-CN"/>
              </w:rPr>
            </w:pPr>
            <w:r>
              <w:rPr>
                <w:rFonts w:hint="eastAsia"/>
                <w:lang w:val="en-US" w:eastAsia="zh-CN"/>
              </w:rPr>
              <w:t>每次事故救援费用</w:t>
            </w:r>
          </w:p>
        </w:tc>
        <w:tc>
          <w:tcPr>
            <w:tcW w:w="2181" w:type="dxa"/>
          </w:tcPr>
          <w:p>
            <w:pPr>
              <w:pStyle w:val="10"/>
              <w:bidi w:val="0"/>
              <w:rPr>
                <w:rFonts w:hint="default"/>
                <w:lang w:val="en-US" w:eastAsia="zh-CN"/>
              </w:rPr>
            </w:pPr>
            <w:r>
              <w:rPr>
                <w:rFonts w:hint="eastAsia"/>
                <w:lang w:val="en-US" w:eastAsia="zh-CN"/>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41" w:type="dxa"/>
            <w:gridSpan w:val="2"/>
          </w:tcPr>
          <w:p>
            <w:pPr>
              <w:pStyle w:val="10"/>
              <w:bidi w:val="0"/>
              <w:rPr>
                <w:rFonts w:hint="default"/>
                <w:lang w:val="en-US" w:eastAsia="zh-CN"/>
              </w:rPr>
            </w:pPr>
            <w:r>
              <w:rPr>
                <w:rFonts w:hint="eastAsia"/>
                <w:lang w:val="en-US" w:eastAsia="zh-CN"/>
              </w:rPr>
              <w:t>每次事故检验勘察费用</w:t>
            </w:r>
          </w:p>
        </w:tc>
        <w:tc>
          <w:tcPr>
            <w:tcW w:w="2181" w:type="dxa"/>
          </w:tcPr>
          <w:p>
            <w:pPr>
              <w:pStyle w:val="10"/>
              <w:bidi w:val="0"/>
              <w:rPr>
                <w:rFonts w:hint="default"/>
                <w:lang w:val="en-US" w:eastAsia="zh-CN"/>
              </w:rPr>
            </w:pPr>
            <w:r>
              <w:rPr>
                <w:rFonts w:hint="eastAsia"/>
                <w:lang w:val="en-US" w:eastAsia="zh-CN"/>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41" w:type="dxa"/>
            <w:gridSpan w:val="2"/>
          </w:tcPr>
          <w:p>
            <w:pPr>
              <w:pStyle w:val="10"/>
              <w:bidi w:val="0"/>
              <w:rPr>
                <w:rFonts w:hint="default"/>
                <w:lang w:val="en-US" w:eastAsia="zh-CN"/>
              </w:rPr>
            </w:pPr>
            <w:r>
              <w:rPr>
                <w:rFonts w:hint="eastAsia"/>
                <w:lang w:val="en-US" w:eastAsia="zh-CN"/>
              </w:rPr>
              <w:t>每次事故法律费用</w:t>
            </w:r>
          </w:p>
        </w:tc>
        <w:tc>
          <w:tcPr>
            <w:tcW w:w="2181" w:type="dxa"/>
          </w:tcPr>
          <w:p>
            <w:pPr>
              <w:pStyle w:val="10"/>
              <w:bidi w:val="0"/>
              <w:rPr>
                <w:rFonts w:hint="default"/>
                <w:lang w:val="en-US" w:eastAsia="zh-CN"/>
              </w:rPr>
            </w:pPr>
            <w:r>
              <w:rPr>
                <w:rFonts w:hint="eastAsia"/>
                <w:lang w:val="en-US" w:eastAsia="zh-CN"/>
              </w:rPr>
              <w:t>10</w:t>
            </w:r>
          </w:p>
        </w:tc>
      </w:tr>
    </w:tbl>
    <w:p>
      <w:pPr>
        <w:pStyle w:val="5"/>
        <w:numPr>
          <w:ilvl w:val="0"/>
          <w:numId w:val="1"/>
        </w:numPr>
        <w:bidi w:val="0"/>
        <w:ind w:left="0" w:leftChars="0" w:firstLine="640" w:firstLineChars="200"/>
        <w:rPr>
          <w:rFonts w:hint="eastAsia"/>
          <w:lang w:val="en-US" w:eastAsia="zh-CN"/>
        </w:rPr>
      </w:pPr>
      <w:r>
        <w:rPr>
          <w:rFonts w:hint="eastAsia"/>
          <w:lang w:val="en-US" w:eastAsia="zh-CN"/>
        </w:rPr>
        <w:t>免赔情形</w:t>
      </w:r>
    </w:p>
    <w:p>
      <w:pPr>
        <w:pStyle w:val="6"/>
        <w:bidi w:val="0"/>
        <w:rPr>
          <w:rFonts w:hint="default"/>
          <w:lang w:val="en-US" w:eastAsia="zh-CN"/>
        </w:rPr>
      </w:pPr>
      <w:r>
        <w:rPr>
          <w:rFonts w:hint="eastAsia"/>
          <w:lang w:val="en-US" w:eastAsia="zh-CN"/>
        </w:rPr>
        <w:t>（一）出现</w:t>
      </w:r>
      <w:r>
        <w:rPr>
          <w:rFonts w:hint="default"/>
          <w:lang w:val="en-US" w:eastAsia="zh-CN"/>
        </w:rPr>
        <w:t>下列原因造成的损失、费用和责任，保险人</w:t>
      </w:r>
      <w:r>
        <w:rPr>
          <w:rFonts w:hint="eastAsia"/>
          <w:lang w:val="en-US" w:eastAsia="zh-CN"/>
        </w:rPr>
        <w:t>可</w:t>
      </w:r>
      <w:r>
        <w:rPr>
          <w:rFonts w:hint="default"/>
          <w:lang w:val="en-US" w:eastAsia="zh-CN"/>
        </w:rPr>
        <w:t xml:space="preserve">不负责赔偿： </w:t>
      </w:r>
    </w:p>
    <w:p>
      <w:pPr>
        <w:bidi w:val="0"/>
        <w:rPr>
          <w:rFonts w:hint="default"/>
          <w:lang w:val="en-US" w:eastAsia="zh-CN"/>
        </w:rPr>
      </w:pPr>
      <w:r>
        <w:rPr>
          <w:rFonts w:hint="eastAsia"/>
          <w:lang w:val="en-US" w:eastAsia="zh-CN"/>
        </w:rPr>
        <w:t>1、</w:t>
      </w:r>
      <w:r>
        <w:rPr>
          <w:rFonts w:hint="default"/>
          <w:lang w:val="en-US" w:eastAsia="zh-CN"/>
        </w:rPr>
        <w:t xml:space="preserve">投保人、被保险人等的故意行为； </w:t>
      </w:r>
    </w:p>
    <w:p>
      <w:pPr>
        <w:bidi w:val="0"/>
        <w:rPr>
          <w:rFonts w:hint="default"/>
          <w:lang w:val="en-US" w:eastAsia="zh-CN"/>
        </w:rPr>
      </w:pPr>
      <w:r>
        <w:rPr>
          <w:rFonts w:hint="eastAsia"/>
          <w:lang w:val="en-US" w:eastAsia="zh-CN"/>
        </w:rPr>
        <w:t>2、</w:t>
      </w:r>
      <w:r>
        <w:rPr>
          <w:rFonts w:hint="default"/>
          <w:lang w:val="en-US" w:eastAsia="zh-CN"/>
        </w:rPr>
        <w:t xml:space="preserve">战争、敌对行动、军事行为、武装冲突、罢工、骚乱、暴动、恐怖活动、盗窃、抢劫； </w:t>
      </w:r>
    </w:p>
    <w:p>
      <w:pPr>
        <w:bidi w:val="0"/>
        <w:rPr>
          <w:rFonts w:hint="default"/>
          <w:lang w:val="en-US" w:eastAsia="zh-CN"/>
        </w:rPr>
      </w:pPr>
      <w:r>
        <w:rPr>
          <w:rFonts w:hint="eastAsia"/>
          <w:lang w:val="en-US" w:eastAsia="zh-CN"/>
        </w:rPr>
        <w:t>3、</w:t>
      </w:r>
      <w:r>
        <w:rPr>
          <w:rFonts w:hint="default"/>
          <w:lang w:val="en-US" w:eastAsia="zh-CN"/>
        </w:rPr>
        <w:t xml:space="preserve">核辐射、核爆炸、核污染及其他放射性污染； </w:t>
      </w:r>
    </w:p>
    <w:p>
      <w:pPr>
        <w:bidi w:val="0"/>
        <w:rPr>
          <w:rFonts w:hint="default"/>
          <w:lang w:val="en-US" w:eastAsia="zh-CN"/>
        </w:rPr>
      </w:pPr>
      <w:r>
        <w:rPr>
          <w:rFonts w:hint="eastAsia"/>
          <w:lang w:val="en-US" w:eastAsia="zh-CN"/>
        </w:rPr>
        <w:t>4、</w:t>
      </w:r>
      <w:r>
        <w:rPr>
          <w:rFonts w:hint="default"/>
          <w:lang w:val="en-US" w:eastAsia="zh-CN"/>
        </w:rPr>
        <w:t xml:space="preserve">大气污染、土地污染、水污染及其他各种污染； </w:t>
      </w:r>
    </w:p>
    <w:p>
      <w:pPr>
        <w:bidi w:val="0"/>
        <w:rPr>
          <w:rFonts w:hint="default"/>
          <w:lang w:val="en-US" w:eastAsia="zh-CN"/>
        </w:rPr>
      </w:pPr>
      <w:r>
        <w:rPr>
          <w:rFonts w:hint="eastAsia"/>
          <w:lang w:val="en-US" w:eastAsia="zh-CN"/>
        </w:rPr>
        <w:t>5、</w:t>
      </w:r>
      <w:r>
        <w:rPr>
          <w:rFonts w:hint="default"/>
          <w:lang w:val="en-US" w:eastAsia="zh-CN"/>
        </w:rPr>
        <w:t xml:space="preserve">行政行为或司法行为； </w:t>
      </w:r>
    </w:p>
    <w:p>
      <w:pPr>
        <w:bidi w:val="0"/>
        <w:rPr>
          <w:rFonts w:hint="default"/>
          <w:lang w:val="en-US" w:eastAsia="zh-CN"/>
        </w:rPr>
      </w:pPr>
      <w:r>
        <w:rPr>
          <w:rFonts w:hint="eastAsia"/>
          <w:lang w:val="en-US" w:eastAsia="zh-CN"/>
        </w:rPr>
        <w:t>6、</w:t>
      </w:r>
      <w:r>
        <w:rPr>
          <w:rFonts w:hint="default"/>
          <w:lang w:val="en-US" w:eastAsia="zh-CN"/>
        </w:rPr>
        <w:t xml:space="preserve">地震及其次生灾害、海啸及其次生灾害、雷击、暴风、暴雨、台风、洪水、火山爆发等自然灾害； </w:t>
      </w:r>
    </w:p>
    <w:p>
      <w:pPr>
        <w:bidi w:val="0"/>
        <w:rPr>
          <w:rFonts w:hint="default"/>
          <w:lang w:val="en-US" w:eastAsia="zh-CN"/>
        </w:rPr>
      </w:pPr>
      <w:r>
        <w:rPr>
          <w:rFonts w:hint="eastAsia"/>
          <w:lang w:val="en-US" w:eastAsia="zh-CN"/>
        </w:rPr>
        <w:t>7、</w:t>
      </w:r>
      <w:r>
        <w:rPr>
          <w:rFonts w:hint="default"/>
          <w:lang w:val="en-US" w:eastAsia="zh-CN"/>
        </w:rPr>
        <w:t xml:space="preserve">各种职业病、疾病、中暑、猝死等非意外事故； </w:t>
      </w:r>
    </w:p>
    <w:p>
      <w:pPr>
        <w:bidi w:val="0"/>
        <w:rPr>
          <w:rFonts w:hint="default"/>
          <w:lang w:val="en-US" w:eastAsia="zh-CN"/>
        </w:rPr>
      </w:pPr>
      <w:r>
        <w:rPr>
          <w:rFonts w:hint="eastAsia"/>
          <w:lang w:val="en-US" w:eastAsia="zh-CN"/>
        </w:rPr>
        <w:t>8、</w:t>
      </w:r>
      <w:r>
        <w:rPr>
          <w:rFonts w:hint="default"/>
          <w:lang w:val="en-US" w:eastAsia="zh-CN"/>
        </w:rPr>
        <w:t xml:space="preserve">被保险人的从业人员受酒精、毒品或管制药品影响； </w:t>
      </w:r>
    </w:p>
    <w:p>
      <w:pPr>
        <w:bidi w:val="0"/>
        <w:rPr>
          <w:rFonts w:hint="default"/>
          <w:lang w:val="en-US" w:eastAsia="zh-CN"/>
        </w:rPr>
      </w:pPr>
      <w:r>
        <w:rPr>
          <w:rFonts w:hint="eastAsia"/>
          <w:lang w:val="en-US" w:eastAsia="zh-CN"/>
        </w:rPr>
        <w:t>9、</w:t>
      </w:r>
      <w:r>
        <w:rPr>
          <w:rFonts w:hint="default"/>
          <w:lang w:val="en-US" w:eastAsia="zh-CN"/>
        </w:rPr>
        <w:t>被保险人的从业人员实施自残或者自杀行为。</w:t>
      </w:r>
    </w:p>
    <w:p>
      <w:pPr>
        <w:pStyle w:val="6"/>
        <w:bidi w:val="0"/>
        <w:rPr>
          <w:rFonts w:hint="default"/>
          <w:lang w:val="en-US" w:eastAsia="zh-CN"/>
        </w:rPr>
      </w:pPr>
      <w:r>
        <w:rPr>
          <w:rFonts w:hint="eastAsia"/>
          <w:lang w:val="en-US" w:eastAsia="zh-CN"/>
        </w:rPr>
        <w:t>（二）</w:t>
      </w:r>
      <w:r>
        <w:rPr>
          <w:rFonts w:hint="default"/>
          <w:lang w:val="en-US" w:eastAsia="zh-CN"/>
        </w:rPr>
        <w:t>出现下列任一情形的，保险人</w:t>
      </w:r>
      <w:r>
        <w:rPr>
          <w:rFonts w:hint="eastAsia"/>
          <w:lang w:val="en-US" w:eastAsia="zh-CN"/>
        </w:rPr>
        <w:t>可</w:t>
      </w:r>
      <w:r>
        <w:rPr>
          <w:rFonts w:hint="default"/>
          <w:lang w:val="en-US" w:eastAsia="zh-CN"/>
        </w:rPr>
        <w:t xml:space="preserve">不负责赔偿： </w:t>
      </w:r>
    </w:p>
    <w:p>
      <w:pPr>
        <w:bidi w:val="0"/>
        <w:rPr>
          <w:rFonts w:hint="default"/>
          <w:lang w:val="en-US" w:eastAsia="zh-CN"/>
        </w:rPr>
      </w:pPr>
      <w:r>
        <w:rPr>
          <w:rFonts w:hint="eastAsia"/>
          <w:lang w:val="en-US" w:eastAsia="zh-CN"/>
        </w:rPr>
        <w:t>1、</w:t>
      </w:r>
      <w:r>
        <w:rPr>
          <w:rFonts w:hint="default"/>
          <w:lang w:val="en-US" w:eastAsia="zh-CN"/>
        </w:rPr>
        <w:t>被保险人被政府有关部门或安全生产监督管理部门责令停产整顿期间擅自从事生产发生的事故，或被政府有关部门关闭后擅自恢复生产发生的事故；</w:t>
      </w:r>
    </w:p>
    <w:p>
      <w:pPr>
        <w:bidi w:val="0"/>
        <w:rPr>
          <w:rFonts w:hint="default"/>
          <w:lang w:val="en-US" w:eastAsia="zh-CN"/>
        </w:rPr>
      </w:pPr>
      <w:r>
        <w:rPr>
          <w:rFonts w:hint="eastAsia"/>
          <w:lang w:val="en-US" w:eastAsia="zh-CN"/>
        </w:rPr>
        <w:t>2、</w:t>
      </w:r>
      <w:r>
        <w:rPr>
          <w:rFonts w:hint="default"/>
          <w:lang w:val="en-US" w:eastAsia="zh-CN"/>
        </w:rPr>
        <w:t xml:space="preserve">被保险人从事与本保险合同载明的经营范围不符的任何活动发生的事故； </w:t>
      </w:r>
    </w:p>
    <w:p>
      <w:pPr>
        <w:bidi w:val="0"/>
        <w:rPr>
          <w:rFonts w:hint="eastAsia"/>
          <w:lang w:val="en-US" w:eastAsia="zh-CN"/>
        </w:rPr>
      </w:pPr>
      <w:r>
        <w:rPr>
          <w:rFonts w:hint="eastAsia"/>
          <w:lang w:val="en-US" w:eastAsia="zh-CN"/>
        </w:rPr>
        <w:t>3、</w:t>
      </w:r>
      <w:r>
        <w:rPr>
          <w:rFonts w:hint="default"/>
          <w:lang w:val="en-US" w:eastAsia="zh-CN"/>
        </w:rPr>
        <w:t xml:space="preserve">被保险人其他违法违规经营发生的事故。  </w:t>
      </w:r>
    </w:p>
    <w:p>
      <w:pPr>
        <w:pStyle w:val="6"/>
        <w:bidi w:val="0"/>
        <w:rPr>
          <w:rFonts w:hint="eastAsia"/>
          <w:lang w:val="en-US" w:eastAsia="zh-CN"/>
        </w:rPr>
      </w:pPr>
      <w:r>
        <w:rPr>
          <w:rFonts w:hint="eastAsia"/>
          <w:lang w:val="en-US" w:eastAsia="zh-CN"/>
        </w:rPr>
        <w:t xml:space="preserve">（三）下列损失、费用和责任，保险人可不负责赔偿： </w:t>
      </w:r>
    </w:p>
    <w:p>
      <w:pPr>
        <w:bidi w:val="0"/>
        <w:rPr>
          <w:rFonts w:hint="eastAsia"/>
          <w:lang w:val="en-US" w:eastAsia="zh-CN"/>
        </w:rPr>
      </w:pPr>
      <w:r>
        <w:rPr>
          <w:rFonts w:hint="eastAsia"/>
          <w:lang w:val="en-US" w:eastAsia="zh-CN"/>
        </w:rPr>
        <w:t>1、未经有关监管部门验收或验收不合格的固定场所或设备发生火灾、爆炸事故造成的人身伤亡；</w:t>
      </w:r>
    </w:p>
    <w:p>
      <w:pPr>
        <w:bidi w:val="0"/>
        <w:rPr>
          <w:rFonts w:hint="default"/>
          <w:lang w:val="en-US" w:eastAsia="zh-CN"/>
        </w:rPr>
      </w:pPr>
      <w:r>
        <w:rPr>
          <w:rFonts w:hint="eastAsia"/>
          <w:lang w:val="en-US" w:eastAsia="zh-CN"/>
        </w:rPr>
        <w:t>2、</w:t>
      </w:r>
      <w:r>
        <w:rPr>
          <w:rFonts w:hint="default"/>
          <w:lang w:val="en-US" w:eastAsia="zh-CN"/>
        </w:rPr>
        <w:t xml:space="preserve">被保险人应该承担的合同责任，但无合同存在时仍然应由被保险人承担的经济赔偿责任不在此限； </w:t>
      </w:r>
    </w:p>
    <w:p>
      <w:pPr>
        <w:numPr>
          <w:ilvl w:val="0"/>
          <w:numId w:val="0"/>
        </w:numPr>
        <w:ind w:leftChars="200"/>
        <w:rPr>
          <w:rFonts w:hint="default"/>
          <w:lang w:val="en-US" w:eastAsia="zh-CN"/>
        </w:rPr>
      </w:pPr>
      <w:r>
        <w:rPr>
          <w:rFonts w:hint="eastAsia"/>
          <w:lang w:val="en-US" w:eastAsia="zh-CN"/>
        </w:rPr>
        <w:t>3、</w:t>
      </w:r>
      <w:r>
        <w:rPr>
          <w:rFonts w:hint="default"/>
          <w:lang w:val="en-US" w:eastAsia="zh-CN"/>
        </w:rPr>
        <w:t xml:space="preserve">罚款、罚金及惩罚性赔偿； </w:t>
      </w:r>
    </w:p>
    <w:p>
      <w:pPr>
        <w:numPr>
          <w:ilvl w:val="0"/>
          <w:numId w:val="0"/>
        </w:numPr>
        <w:ind w:leftChars="200"/>
        <w:rPr>
          <w:rFonts w:hint="default"/>
          <w:lang w:val="en-US" w:eastAsia="zh-CN"/>
        </w:rPr>
      </w:pPr>
      <w:r>
        <w:rPr>
          <w:rFonts w:hint="eastAsia"/>
          <w:lang w:val="en-US" w:eastAsia="zh-CN"/>
        </w:rPr>
        <w:t>4、</w:t>
      </w:r>
      <w:r>
        <w:rPr>
          <w:rFonts w:hint="default"/>
          <w:lang w:val="en-US" w:eastAsia="zh-CN"/>
        </w:rPr>
        <w:t xml:space="preserve">精神损害赔偿； </w:t>
      </w:r>
    </w:p>
    <w:p>
      <w:pPr>
        <w:numPr>
          <w:ilvl w:val="0"/>
          <w:numId w:val="0"/>
        </w:numPr>
        <w:ind w:leftChars="200"/>
        <w:rPr>
          <w:rFonts w:hint="default"/>
          <w:lang w:val="en-US" w:eastAsia="zh-CN"/>
        </w:rPr>
      </w:pPr>
      <w:r>
        <w:rPr>
          <w:rFonts w:hint="eastAsia"/>
          <w:lang w:val="en-US" w:eastAsia="zh-CN"/>
        </w:rPr>
        <w:t>5、</w:t>
      </w:r>
      <w:r>
        <w:rPr>
          <w:rFonts w:hint="default"/>
          <w:lang w:val="en-US" w:eastAsia="zh-CN"/>
        </w:rPr>
        <w:t xml:space="preserve">间接损失； </w:t>
      </w:r>
    </w:p>
    <w:p>
      <w:pPr>
        <w:numPr>
          <w:ilvl w:val="0"/>
          <w:numId w:val="0"/>
        </w:numPr>
        <w:ind w:leftChars="200"/>
        <w:rPr>
          <w:rFonts w:hint="default"/>
          <w:lang w:val="en-US" w:eastAsia="zh-CN"/>
        </w:rPr>
      </w:pPr>
      <w:r>
        <w:rPr>
          <w:rFonts w:hint="eastAsia"/>
          <w:lang w:val="en-US" w:eastAsia="zh-CN"/>
        </w:rPr>
        <w:t>6、</w:t>
      </w:r>
      <w:r>
        <w:rPr>
          <w:rFonts w:hint="default"/>
          <w:lang w:val="en-US" w:eastAsia="zh-CN"/>
        </w:rPr>
        <w:t xml:space="preserve">从业人员、第三者的误工费； </w:t>
      </w:r>
    </w:p>
    <w:p>
      <w:pPr>
        <w:numPr>
          <w:ilvl w:val="0"/>
          <w:numId w:val="0"/>
        </w:numPr>
        <w:ind w:leftChars="200"/>
        <w:rPr>
          <w:rFonts w:hint="default"/>
          <w:lang w:val="en-US" w:eastAsia="zh-CN"/>
        </w:rPr>
      </w:pPr>
      <w:r>
        <w:rPr>
          <w:rFonts w:hint="eastAsia"/>
          <w:lang w:val="en-US" w:eastAsia="zh-CN"/>
        </w:rPr>
        <w:t>7、</w:t>
      </w:r>
      <w:r>
        <w:rPr>
          <w:rFonts w:hint="default"/>
          <w:lang w:val="en-US" w:eastAsia="zh-CN"/>
        </w:rPr>
        <w:t>属于机动车第三者责任保险的保险责任；</w:t>
      </w:r>
    </w:p>
    <w:p>
      <w:pPr>
        <w:pStyle w:val="5"/>
        <w:bidi w:val="0"/>
        <w:rPr>
          <w:rFonts w:hint="default"/>
          <w:lang w:val="en-US" w:eastAsia="zh-CN"/>
        </w:rPr>
      </w:pPr>
      <w:r>
        <w:rPr>
          <w:rFonts w:hint="eastAsia"/>
          <w:lang w:val="en-US" w:eastAsia="zh-CN"/>
        </w:rPr>
        <w:t>四、建议投保模式</w:t>
      </w:r>
    </w:p>
    <w:p>
      <w:pPr>
        <w:bidi w:val="0"/>
        <w:rPr>
          <w:rFonts w:hint="default"/>
          <w:lang w:val="en-US" w:eastAsia="zh-CN"/>
        </w:rPr>
      </w:pPr>
      <w:r>
        <w:rPr>
          <w:rFonts w:hint="eastAsia"/>
          <w:lang w:val="en-US" w:eastAsia="zh-CN"/>
        </w:rPr>
        <w:t>建议本次投保</w:t>
      </w:r>
      <w:r>
        <w:rPr>
          <w:rFonts w:hint="default"/>
          <w:lang w:val="en-US" w:eastAsia="zh-CN"/>
        </w:rPr>
        <w:t>按自然年出保险单，按月按进行批改。</w:t>
      </w:r>
      <w:r>
        <w:rPr>
          <w:rFonts w:hint="eastAsia"/>
          <w:lang w:val="en-US" w:eastAsia="zh-CN"/>
        </w:rPr>
        <w:t>按</w:t>
      </w:r>
      <w:r>
        <w:rPr>
          <w:rFonts w:hint="default"/>
          <w:lang w:val="en-US" w:eastAsia="zh-CN"/>
        </w:rPr>
        <w:t xml:space="preserve">投保人新增员工从入司之日起纳入本保单保险范围，按短期费率月比例收取保险费；投保人员工由于退休、调离或辞退等离开企业的，离司之日起保险人不承担保险责任，退还未到期保费。投保人在每月10日前将上月增减人员名单批改申请书报保险人进行批改。 </w:t>
      </w:r>
    </w:p>
    <w:p>
      <w:pPr>
        <w:bidi w:val="0"/>
        <w:rPr>
          <w:rFonts w:hint="default"/>
          <w:lang w:val="en-US" w:eastAsia="zh-CN"/>
        </w:rPr>
      </w:pPr>
    </w:p>
    <w:p>
      <w:pPr>
        <w:bidi w:val="0"/>
        <w:rPr>
          <w:rFonts w:hint="default"/>
          <w:lang w:val="en-US" w:eastAsia="zh-CN"/>
        </w:rPr>
      </w:pPr>
    </w:p>
    <w:p>
      <w:bookmarkStart w:id="0" w:name="_GoBack"/>
      <w:bookmarkEnd w:id="0"/>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640"/>
      </w:pPr>
      <w:r>
        <w:separator/>
      </w:r>
    </w:p>
  </w:endnote>
  <w:endnote w:type="continuationSeparator" w:id="1">
    <w:p>
      <w:pPr>
        <w:spacing w:line="240" w:lineRule="auto"/>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640"/>
      </w:pPr>
      <w:r>
        <w:separator/>
      </w:r>
    </w:p>
  </w:footnote>
  <w:footnote w:type="continuationSeparator" w:id="1">
    <w:p>
      <w:pPr>
        <w:spacing w:line="240" w:lineRule="auto"/>
        <w:ind w:firstLine="64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98EFAFA"/>
    <w:multiLevelType w:val="singleLevel"/>
    <w:tmpl w:val="498EFAFA"/>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AD73734"/>
    <w:rsid w:val="00247715"/>
    <w:rsid w:val="00516BE4"/>
    <w:rsid w:val="01191161"/>
    <w:rsid w:val="01467C25"/>
    <w:rsid w:val="01CA2974"/>
    <w:rsid w:val="01E53CB7"/>
    <w:rsid w:val="028E76F3"/>
    <w:rsid w:val="02EB7224"/>
    <w:rsid w:val="03055A53"/>
    <w:rsid w:val="03B04EC2"/>
    <w:rsid w:val="04A11589"/>
    <w:rsid w:val="04F20F0A"/>
    <w:rsid w:val="06547AB5"/>
    <w:rsid w:val="06561DE6"/>
    <w:rsid w:val="067A4118"/>
    <w:rsid w:val="06F256C5"/>
    <w:rsid w:val="077818C1"/>
    <w:rsid w:val="078E4A2C"/>
    <w:rsid w:val="07D84622"/>
    <w:rsid w:val="08C56584"/>
    <w:rsid w:val="09684F89"/>
    <w:rsid w:val="09987343"/>
    <w:rsid w:val="09AC0C1E"/>
    <w:rsid w:val="09AC6E4A"/>
    <w:rsid w:val="0A613010"/>
    <w:rsid w:val="0A833606"/>
    <w:rsid w:val="0A9A5002"/>
    <w:rsid w:val="0AC97F0A"/>
    <w:rsid w:val="0ADF03E0"/>
    <w:rsid w:val="0B54308A"/>
    <w:rsid w:val="0C80001A"/>
    <w:rsid w:val="0C9F2BB0"/>
    <w:rsid w:val="0D28132B"/>
    <w:rsid w:val="0D385635"/>
    <w:rsid w:val="0D7B09B1"/>
    <w:rsid w:val="0D813E3C"/>
    <w:rsid w:val="0DE56BF8"/>
    <w:rsid w:val="0E1E1FA9"/>
    <w:rsid w:val="0E561C51"/>
    <w:rsid w:val="0F330AF4"/>
    <w:rsid w:val="101E39AF"/>
    <w:rsid w:val="108D17B5"/>
    <w:rsid w:val="10907329"/>
    <w:rsid w:val="1116482C"/>
    <w:rsid w:val="11232B1C"/>
    <w:rsid w:val="12E77731"/>
    <w:rsid w:val="13367A53"/>
    <w:rsid w:val="13DA0F5C"/>
    <w:rsid w:val="143B5127"/>
    <w:rsid w:val="14516BF4"/>
    <w:rsid w:val="14D21F99"/>
    <w:rsid w:val="14EB14EB"/>
    <w:rsid w:val="154970EC"/>
    <w:rsid w:val="17A44B80"/>
    <w:rsid w:val="17B17601"/>
    <w:rsid w:val="181F3E62"/>
    <w:rsid w:val="183F7F19"/>
    <w:rsid w:val="1862518C"/>
    <w:rsid w:val="18FB3C82"/>
    <w:rsid w:val="19A95699"/>
    <w:rsid w:val="19BB0BDE"/>
    <w:rsid w:val="19D1308C"/>
    <w:rsid w:val="1A493BD7"/>
    <w:rsid w:val="1AC76EB4"/>
    <w:rsid w:val="1BB775B6"/>
    <w:rsid w:val="1BED6538"/>
    <w:rsid w:val="1D922A07"/>
    <w:rsid w:val="1E250B8B"/>
    <w:rsid w:val="1E27464E"/>
    <w:rsid w:val="1ED8501E"/>
    <w:rsid w:val="1EE77F8D"/>
    <w:rsid w:val="1F044A1D"/>
    <w:rsid w:val="1F08665B"/>
    <w:rsid w:val="1F2E0D66"/>
    <w:rsid w:val="1F8E1117"/>
    <w:rsid w:val="1FAB0B8E"/>
    <w:rsid w:val="204A1A52"/>
    <w:rsid w:val="20691DD3"/>
    <w:rsid w:val="207D7FD2"/>
    <w:rsid w:val="20924228"/>
    <w:rsid w:val="20F31488"/>
    <w:rsid w:val="21266728"/>
    <w:rsid w:val="21720EA1"/>
    <w:rsid w:val="21A4172C"/>
    <w:rsid w:val="227F253F"/>
    <w:rsid w:val="23237CAC"/>
    <w:rsid w:val="2338660E"/>
    <w:rsid w:val="2384233C"/>
    <w:rsid w:val="23DE71C7"/>
    <w:rsid w:val="23E414E9"/>
    <w:rsid w:val="23E94E67"/>
    <w:rsid w:val="24EE02D6"/>
    <w:rsid w:val="25075F28"/>
    <w:rsid w:val="260E1E9C"/>
    <w:rsid w:val="264322D7"/>
    <w:rsid w:val="26676A77"/>
    <w:rsid w:val="27CD43A0"/>
    <w:rsid w:val="281D71C7"/>
    <w:rsid w:val="28252FB8"/>
    <w:rsid w:val="29373C1C"/>
    <w:rsid w:val="2A2E7E1C"/>
    <w:rsid w:val="2A4A301D"/>
    <w:rsid w:val="2B4A6CDD"/>
    <w:rsid w:val="2B5113A2"/>
    <w:rsid w:val="2CE07D0A"/>
    <w:rsid w:val="2D865795"/>
    <w:rsid w:val="2D9A445D"/>
    <w:rsid w:val="2E461304"/>
    <w:rsid w:val="2EE4229D"/>
    <w:rsid w:val="2F724B35"/>
    <w:rsid w:val="2F743168"/>
    <w:rsid w:val="2FC2544C"/>
    <w:rsid w:val="30707D6B"/>
    <w:rsid w:val="30EE6BC0"/>
    <w:rsid w:val="310B6CC3"/>
    <w:rsid w:val="31445DE8"/>
    <w:rsid w:val="317C1123"/>
    <w:rsid w:val="322D15A4"/>
    <w:rsid w:val="32595783"/>
    <w:rsid w:val="327038A1"/>
    <w:rsid w:val="32C348CE"/>
    <w:rsid w:val="34001FEB"/>
    <w:rsid w:val="34144A0B"/>
    <w:rsid w:val="341E5A9A"/>
    <w:rsid w:val="351E4F21"/>
    <w:rsid w:val="35F35106"/>
    <w:rsid w:val="36691DC2"/>
    <w:rsid w:val="36F86DBD"/>
    <w:rsid w:val="36F92A86"/>
    <w:rsid w:val="37EA37F7"/>
    <w:rsid w:val="383F1D56"/>
    <w:rsid w:val="3849252F"/>
    <w:rsid w:val="38636DA2"/>
    <w:rsid w:val="38C40CDD"/>
    <w:rsid w:val="39D92DA9"/>
    <w:rsid w:val="3A037468"/>
    <w:rsid w:val="3A547200"/>
    <w:rsid w:val="3A735126"/>
    <w:rsid w:val="3AC06CF5"/>
    <w:rsid w:val="3AC1164B"/>
    <w:rsid w:val="3C684035"/>
    <w:rsid w:val="3CA50A4F"/>
    <w:rsid w:val="3CBC5B8A"/>
    <w:rsid w:val="3CF633B0"/>
    <w:rsid w:val="3E9B740B"/>
    <w:rsid w:val="3EEB6624"/>
    <w:rsid w:val="3EFC4719"/>
    <w:rsid w:val="3FB47FE9"/>
    <w:rsid w:val="404115A5"/>
    <w:rsid w:val="40D25B05"/>
    <w:rsid w:val="40F538CE"/>
    <w:rsid w:val="41135BF6"/>
    <w:rsid w:val="4154161B"/>
    <w:rsid w:val="42AC08CC"/>
    <w:rsid w:val="43C33745"/>
    <w:rsid w:val="440A4040"/>
    <w:rsid w:val="4445317E"/>
    <w:rsid w:val="44C63994"/>
    <w:rsid w:val="450A2AE7"/>
    <w:rsid w:val="45772BBE"/>
    <w:rsid w:val="458014A8"/>
    <w:rsid w:val="459F0601"/>
    <w:rsid w:val="45A60518"/>
    <w:rsid w:val="45DD5F08"/>
    <w:rsid w:val="45DE404C"/>
    <w:rsid w:val="474146D0"/>
    <w:rsid w:val="477E030E"/>
    <w:rsid w:val="47A5011A"/>
    <w:rsid w:val="480728C7"/>
    <w:rsid w:val="48107272"/>
    <w:rsid w:val="48516A78"/>
    <w:rsid w:val="4878220B"/>
    <w:rsid w:val="48783CCA"/>
    <w:rsid w:val="489C78E9"/>
    <w:rsid w:val="48E5097D"/>
    <w:rsid w:val="48EB2F5F"/>
    <w:rsid w:val="490D751C"/>
    <w:rsid w:val="49E92D48"/>
    <w:rsid w:val="4AA60599"/>
    <w:rsid w:val="4ACB035A"/>
    <w:rsid w:val="4AEB38F6"/>
    <w:rsid w:val="4AF563E8"/>
    <w:rsid w:val="4B8245B8"/>
    <w:rsid w:val="4B9A0009"/>
    <w:rsid w:val="4C08611B"/>
    <w:rsid w:val="4C187EE2"/>
    <w:rsid w:val="4D331727"/>
    <w:rsid w:val="4D907918"/>
    <w:rsid w:val="4EAD06DD"/>
    <w:rsid w:val="4FAB5F74"/>
    <w:rsid w:val="4FD870D2"/>
    <w:rsid w:val="50643FBC"/>
    <w:rsid w:val="50AD3C0B"/>
    <w:rsid w:val="50D002E1"/>
    <w:rsid w:val="50E85024"/>
    <w:rsid w:val="510303D4"/>
    <w:rsid w:val="51B10F4C"/>
    <w:rsid w:val="52185C1F"/>
    <w:rsid w:val="525C59AB"/>
    <w:rsid w:val="53DE63B9"/>
    <w:rsid w:val="5519001F"/>
    <w:rsid w:val="557211E1"/>
    <w:rsid w:val="55A53E81"/>
    <w:rsid w:val="56AC5042"/>
    <w:rsid w:val="56C02915"/>
    <w:rsid w:val="575D1645"/>
    <w:rsid w:val="57D96F98"/>
    <w:rsid w:val="59A44BEB"/>
    <w:rsid w:val="5A383F24"/>
    <w:rsid w:val="5AAC7D03"/>
    <w:rsid w:val="5AD73734"/>
    <w:rsid w:val="5AF801AD"/>
    <w:rsid w:val="5B54004C"/>
    <w:rsid w:val="5BB92CA0"/>
    <w:rsid w:val="5CAB6202"/>
    <w:rsid w:val="5CE8399D"/>
    <w:rsid w:val="5CF17F21"/>
    <w:rsid w:val="5CF70E14"/>
    <w:rsid w:val="5D0B5FCB"/>
    <w:rsid w:val="5D464A98"/>
    <w:rsid w:val="5D7B2147"/>
    <w:rsid w:val="5DCF6279"/>
    <w:rsid w:val="5DDD720D"/>
    <w:rsid w:val="5E1E123D"/>
    <w:rsid w:val="5EA267E9"/>
    <w:rsid w:val="5FF26DB2"/>
    <w:rsid w:val="604C6EBF"/>
    <w:rsid w:val="61267CE2"/>
    <w:rsid w:val="621643C3"/>
    <w:rsid w:val="62301351"/>
    <w:rsid w:val="6240494F"/>
    <w:rsid w:val="625813E3"/>
    <w:rsid w:val="630A0596"/>
    <w:rsid w:val="638B6909"/>
    <w:rsid w:val="639C2116"/>
    <w:rsid w:val="63AE3DCD"/>
    <w:rsid w:val="651B74E0"/>
    <w:rsid w:val="652A690F"/>
    <w:rsid w:val="652B22E6"/>
    <w:rsid w:val="6582777E"/>
    <w:rsid w:val="658965A4"/>
    <w:rsid w:val="65D94CB2"/>
    <w:rsid w:val="66C36E31"/>
    <w:rsid w:val="66E725FE"/>
    <w:rsid w:val="674E7B8A"/>
    <w:rsid w:val="68114CC0"/>
    <w:rsid w:val="68A10590"/>
    <w:rsid w:val="68A826EA"/>
    <w:rsid w:val="68C53EC7"/>
    <w:rsid w:val="694E4300"/>
    <w:rsid w:val="6A387913"/>
    <w:rsid w:val="6C195B37"/>
    <w:rsid w:val="6D295F81"/>
    <w:rsid w:val="6D2C7EF3"/>
    <w:rsid w:val="6D60256C"/>
    <w:rsid w:val="6DA65A76"/>
    <w:rsid w:val="6DF31F18"/>
    <w:rsid w:val="6DF402F6"/>
    <w:rsid w:val="6E6B4947"/>
    <w:rsid w:val="6E841FB6"/>
    <w:rsid w:val="6EF07E62"/>
    <w:rsid w:val="6F1A2EC7"/>
    <w:rsid w:val="6FA3707C"/>
    <w:rsid w:val="70EC609D"/>
    <w:rsid w:val="711C34A1"/>
    <w:rsid w:val="712130E6"/>
    <w:rsid w:val="715A68AD"/>
    <w:rsid w:val="71AC74EC"/>
    <w:rsid w:val="71C827B5"/>
    <w:rsid w:val="721602BF"/>
    <w:rsid w:val="72B9564C"/>
    <w:rsid w:val="731B23E1"/>
    <w:rsid w:val="733A5BAB"/>
    <w:rsid w:val="73684CFA"/>
    <w:rsid w:val="740E6839"/>
    <w:rsid w:val="743131BB"/>
    <w:rsid w:val="75030864"/>
    <w:rsid w:val="75C04935"/>
    <w:rsid w:val="764A5228"/>
    <w:rsid w:val="766A43D4"/>
    <w:rsid w:val="7694451D"/>
    <w:rsid w:val="76E5404F"/>
    <w:rsid w:val="77263C36"/>
    <w:rsid w:val="776225A8"/>
    <w:rsid w:val="782C4301"/>
    <w:rsid w:val="78B56E7F"/>
    <w:rsid w:val="78CE7B35"/>
    <w:rsid w:val="79622CAD"/>
    <w:rsid w:val="7A2C0726"/>
    <w:rsid w:val="7A705EED"/>
    <w:rsid w:val="7A74798F"/>
    <w:rsid w:val="7A9A2A09"/>
    <w:rsid w:val="7BA61473"/>
    <w:rsid w:val="7BB03729"/>
    <w:rsid w:val="7C0230F4"/>
    <w:rsid w:val="7D197C36"/>
    <w:rsid w:val="7DB80D9E"/>
    <w:rsid w:val="7E183D9A"/>
    <w:rsid w:val="7EAF292F"/>
    <w:rsid w:val="7FAD19FF"/>
    <w:rsid w:val="7FFC6E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560" w:lineRule="exact"/>
      <w:ind w:firstLine="883" w:firstLineChars="200"/>
      <w:jc w:val="both"/>
    </w:pPr>
    <w:rPr>
      <w:rFonts w:eastAsia="仿宋_GB2312" w:asciiTheme="minorAscii" w:hAnsiTheme="minorAscii" w:cstheme="minorBidi"/>
      <w:kern w:val="2"/>
      <w:sz w:val="32"/>
      <w:szCs w:val="24"/>
      <w:lang w:val="en-US" w:eastAsia="zh-CN" w:bidi="ar-SA"/>
    </w:rPr>
  </w:style>
  <w:style w:type="paragraph" w:styleId="4">
    <w:name w:val="heading 1"/>
    <w:basedOn w:val="1"/>
    <w:next w:val="1"/>
    <w:qFormat/>
    <w:uiPriority w:val="0"/>
    <w:pPr>
      <w:keepNext/>
      <w:keepLines/>
      <w:spacing w:beforeLines="0" w:beforeAutospacing="0" w:afterLines="0" w:afterAutospacing="0" w:line="560" w:lineRule="exact"/>
      <w:ind w:firstLine="0" w:firstLineChars="0"/>
      <w:jc w:val="center"/>
      <w:outlineLvl w:val="0"/>
    </w:pPr>
    <w:rPr>
      <w:rFonts w:ascii="黑体" w:hAnsi="黑体" w:eastAsia="方正小标宋_GBK"/>
      <w:kern w:val="44"/>
      <w:sz w:val="44"/>
    </w:rPr>
  </w:style>
  <w:style w:type="paragraph" w:styleId="5">
    <w:name w:val="heading 2"/>
    <w:basedOn w:val="1"/>
    <w:next w:val="1"/>
    <w:unhideWhenUsed/>
    <w:qFormat/>
    <w:uiPriority w:val="0"/>
    <w:pPr>
      <w:keepNext/>
      <w:keepLines/>
      <w:spacing w:beforeLines="0" w:beforeAutospacing="0" w:afterLines="0" w:afterAutospacing="0" w:line="560" w:lineRule="exact"/>
      <w:outlineLvl w:val="1"/>
    </w:pPr>
    <w:rPr>
      <w:rFonts w:ascii="Arial" w:hAnsi="Arial" w:eastAsia="黑体"/>
    </w:rPr>
  </w:style>
  <w:style w:type="paragraph" w:styleId="6">
    <w:name w:val="heading 3"/>
    <w:basedOn w:val="1"/>
    <w:next w:val="1"/>
    <w:unhideWhenUsed/>
    <w:qFormat/>
    <w:uiPriority w:val="0"/>
    <w:pPr>
      <w:keepNext/>
      <w:keepLines/>
      <w:spacing w:beforeLines="0" w:beforeAutospacing="0" w:afterLines="0" w:afterAutospacing="0" w:line="560" w:lineRule="exact"/>
      <w:outlineLvl w:val="2"/>
    </w:pPr>
    <w:rPr>
      <w:rFonts w:eastAsia="楷体_GB2312"/>
    </w:rPr>
  </w:style>
  <w:style w:type="character" w:default="1" w:styleId="9">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First Indent 2"/>
    <w:basedOn w:val="3"/>
    <w:unhideWhenUsed/>
    <w:qFormat/>
    <w:uiPriority w:val="99"/>
    <w:pPr>
      <w:ind w:firstLine="420" w:firstLineChars="200"/>
    </w:pPr>
    <w:rPr>
      <w:rFonts w:ascii="宋体" w:hAnsi="宋体"/>
      <w:szCs w:val="28"/>
    </w:rPr>
  </w:style>
  <w:style w:type="paragraph" w:styleId="3">
    <w:name w:val="Body Text Indent"/>
    <w:basedOn w:val="1"/>
    <w:unhideWhenUsed/>
    <w:qFormat/>
    <w:uiPriority w:val="99"/>
    <w:pPr>
      <w:spacing w:after="120"/>
      <w:ind w:left="420" w:leftChars="200"/>
    </w:p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0">
    <w:name w:val="表格文字"/>
    <w:basedOn w:val="1"/>
    <w:qFormat/>
    <w:uiPriority w:val="0"/>
    <w:pPr>
      <w:widowControl/>
      <w:ind w:firstLine="0" w:firstLineChars="0"/>
      <w:jc w:val="center"/>
      <w:textAlignment w:val="center"/>
    </w:pPr>
    <w:rPr>
      <w:rFonts w:hint="eastAsia" w:ascii="仿宋" w:hAnsi="仿宋" w:eastAsia="仿宋" w:cs="仿宋"/>
      <w:color w:val="000000"/>
      <w:kern w:val="0"/>
      <w:sz w:val="24"/>
      <w:szCs w:val="21"/>
      <w:u w:val="none"/>
      <w:lang w:bidi="ar"/>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2024-11-21T02:49:00Z</dcterms:created>
  <dc:creator>丘芷梦</dc:creator>
  <cp:lastModifiedBy>丘芷梦</cp:lastModifiedBy>
  <dcterms:modified xsi:type="dcterms:W3CDTF">2024-11-21T02:50:01Z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C7CB621CA5B045C89035DF72DACDEB98</vt:lpwstr>
  </property>
</Properties>
</file>