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4CCE6" w14:textId="77777777" w:rsidR="00A4256F" w:rsidRDefault="00A4256F">
      <w:pPr>
        <w:pStyle w:val="a6"/>
        <w:jc w:val="center"/>
        <w:rPr>
          <w:rFonts w:ascii="隶书" w:eastAsia="隶书"/>
          <w:sz w:val="56"/>
          <w:szCs w:val="56"/>
        </w:rPr>
      </w:pPr>
      <w:bookmarkStart w:id="0" w:name="_Toc6059"/>
      <w:bookmarkStart w:id="1" w:name="_Toc1572"/>
    </w:p>
    <w:p w14:paraId="35153858" w14:textId="77777777" w:rsidR="00A4256F" w:rsidRDefault="00A4256F">
      <w:pPr>
        <w:pStyle w:val="a6"/>
        <w:jc w:val="center"/>
        <w:rPr>
          <w:rFonts w:ascii="隶书" w:eastAsia="隶书"/>
          <w:sz w:val="56"/>
          <w:szCs w:val="56"/>
        </w:rPr>
      </w:pPr>
    </w:p>
    <w:p w14:paraId="4C5EFA69" w14:textId="77777777" w:rsidR="00B11CE9" w:rsidRDefault="00B11CE9">
      <w:pPr>
        <w:pStyle w:val="a6"/>
        <w:spacing w:line="360" w:lineRule="auto"/>
        <w:jc w:val="center"/>
        <w:rPr>
          <w:rFonts w:ascii="黑体" w:eastAsia="黑体" w:hAnsi="黑体" w:cs="黑体" w:hint="eastAsia"/>
          <w:sz w:val="52"/>
          <w:szCs w:val="52"/>
        </w:rPr>
      </w:pPr>
      <w:r w:rsidRPr="00B11CE9">
        <w:rPr>
          <w:rFonts w:ascii="黑体" w:eastAsia="黑体" w:hAnsi="黑体" w:cs="黑体" w:hint="eastAsia"/>
          <w:sz w:val="52"/>
          <w:szCs w:val="52"/>
        </w:rPr>
        <w:t>“配网施工现场顶管机钻杆清洗装置开发与应用”项目功能测试零星采购</w:t>
      </w:r>
    </w:p>
    <w:p w14:paraId="72092795" w14:textId="0DA34A1D" w:rsidR="00A4256F" w:rsidRDefault="00000000">
      <w:pPr>
        <w:pStyle w:val="a6"/>
        <w:spacing w:line="360" w:lineRule="auto"/>
        <w:jc w:val="center"/>
        <w:rPr>
          <w:rFonts w:ascii="黑体" w:eastAsia="黑体" w:hAnsi="黑体" w:cs="黑体" w:hint="eastAsia"/>
          <w:sz w:val="52"/>
          <w:szCs w:val="52"/>
        </w:rPr>
      </w:pPr>
      <w:r>
        <w:rPr>
          <w:rFonts w:ascii="黑体" w:eastAsia="黑体" w:hAnsi="黑体" w:cs="黑体" w:hint="eastAsia"/>
          <w:sz w:val="52"/>
          <w:szCs w:val="52"/>
        </w:rPr>
        <w:t>技术要求书</w:t>
      </w:r>
    </w:p>
    <w:p w14:paraId="64407703" w14:textId="77777777" w:rsidR="00A4256F" w:rsidRDefault="00A4256F">
      <w:pPr>
        <w:spacing w:beforeLines="50" w:before="156"/>
        <w:rPr>
          <w:rFonts w:ascii="楷体_GB2312" w:eastAsia="楷体_GB2312" w:hAnsi="宋体" w:hint="eastAsia"/>
          <w:sz w:val="32"/>
          <w:szCs w:val="32"/>
        </w:rPr>
      </w:pPr>
    </w:p>
    <w:p w14:paraId="18229FE9" w14:textId="77777777" w:rsidR="00A4256F" w:rsidRDefault="00A4256F">
      <w:pPr>
        <w:spacing w:beforeLines="50" w:before="156"/>
        <w:jc w:val="center"/>
        <w:rPr>
          <w:rFonts w:ascii="楷体_GB2312" w:eastAsia="楷体_GB2312" w:hAnsi="宋体" w:hint="eastAsia"/>
          <w:sz w:val="32"/>
          <w:szCs w:val="32"/>
        </w:rPr>
      </w:pPr>
    </w:p>
    <w:p w14:paraId="035D5DC1" w14:textId="77777777" w:rsidR="00A4256F" w:rsidRDefault="00A4256F">
      <w:pPr>
        <w:spacing w:beforeLines="50" w:before="156"/>
        <w:rPr>
          <w:rFonts w:ascii="楷体_GB2312" w:eastAsia="楷体_GB2312" w:hAnsi="宋体" w:hint="eastAsia"/>
          <w:sz w:val="32"/>
          <w:szCs w:val="32"/>
        </w:rPr>
      </w:pPr>
    </w:p>
    <w:p w14:paraId="2FE259C1" w14:textId="77777777" w:rsidR="00A4256F" w:rsidRDefault="00A4256F">
      <w:pPr>
        <w:pStyle w:val="af"/>
        <w:rPr>
          <w:rStyle w:val="Char0"/>
          <w:rFonts w:ascii="黑体" w:eastAsia="黑体" w:hAnsi="黑体" w:cs="黑体" w:hint="eastAsia"/>
        </w:rPr>
      </w:pPr>
    </w:p>
    <w:p w14:paraId="199A1423" w14:textId="77777777" w:rsidR="00A4256F" w:rsidRDefault="00A4256F">
      <w:pPr>
        <w:pStyle w:val="af"/>
        <w:rPr>
          <w:rStyle w:val="Char0"/>
          <w:rFonts w:ascii="黑体" w:eastAsia="黑体" w:hAnsi="黑体" w:cs="黑体" w:hint="eastAsia"/>
        </w:rPr>
      </w:pPr>
    </w:p>
    <w:p w14:paraId="47034015" w14:textId="77777777" w:rsidR="00A4256F" w:rsidRDefault="00000000">
      <w:pPr>
        <w:pStyle w:val="af"/>
        <w:rPr>
          <w:rFonts w:ascii="黑体" w:eastAsia="黑体" w:hAnsi="黑体" w:cs="黑体" w:hint="eastAsia"/>
        </w:rPr>
        <w:sectPr w:rsidR="00A4256F">
          <w:pgSz w:w="11906" w:h="16838"/>
          <w:pgMar w:top="1440" w:right="1800" w:bottom="1440" w:left="1800" w:header="851" w:footer="992" w:gutter="0"/>
          <w:cols w:space="425"/>
          <w:docGrid w:type="lines" w:linePitch="312"/>
        </w:sectPr>
      </w:pPr>
      <w:r>
        <w:rPr>
          <w:rStyle w:val="Char0"/>
          <w:rFonts w:ascii="黑体" w:eastAsia="黑体" w:hAnsi="黑体" w:cs="黑体" w:hint="eastAsia"/>
        </w:rPr>
        <w:t>2025年08月</w:t>
      </w:r>
    </w:p>
    <w:p w14:paraId="62BE3666" w14:textId="77777777" w:rsidR="00A4256F" w:rsidRDefault="00000000">
      <w:pPr>
        <w:snapToGrid w:val="0"/>
        <w:spacing w:line="360" w:lineRule="auto"/>
        <w:jc w:val="center"/>
        <w:rPr>
          <w:rFonts w:ascii="黑体" w:eastAsia="黑体" w:hAnsi="黑体" w:cs="黑体" w:hint="eastAsia"/>
          <w:bCs/>
          <w:sz w:val="44"/>
          <w:szCs w:val="36"/>
        </w:rPr>
      </w:pPr>
      <w:bookmarkStart w:id="2" w:name="_Toc30850"/>
      <w:r>
        <w:rPr>
          <w:rFonts w:ascii="黑体" w:eastAsia="黑体" w:hAnsi="黑体" w:cs="黑体" w:hint="eastAsia"/>
          <w:bCs/>
          <w:sz w:val="44"/>
          <w:szCs w:val="36"/>
        </w:rPr>
        <w:lastRenderedPageBreak/>
        <w:t>目 录</w:t>
      </w:r>
      <w:bookmarkEnd w:id="0"/>
      <w:bookmarkEnd w:id="1"/>
      <w:bookmarkEnd w:id="2"/>
    </w:p>
    <w:p w14:paraId="3639DFEA" w14:textId="77777777" w:rsidR="00A4256F" w:rsidRDefault="00000000">
      <w:pPr>
        <w:pStyle w:val="TOC1"/>
        <w:tabs>
          <w:tab w:val="right" w:leader="dot" w:pos="8306"/>
        </w:tabs>
        <w:spacing w:line="560" w:lineRule="exact"/>
        <w:rPr>
          <w:rFonts w:ascii="黑体" w:eastAsia="黑体" w:hAnsi="黑体" w:hint="eastAsia"/>
          <w:sz w:val="24"/>
        </w:rPr>
      </w:pPr>
      <w:r>
        <w:rPr>
          <w:rFonts w:ascii="黑体" w:eastAsia="黑体" w:hAnsi="黑体" w:cs="黑体" w:hint="eastAsia"/>
          <w:sz w:val="24"/>
        </w:rPr>
        <w:fldChar w:fldCharType="begin"/>
      </w:r>
      <w:r>
        <w:rPr>
          <w:rFonts w:ascii="黑体" w:eastAsia="黑体" w:hAnsi="黑体" w:cs="黑体" w:hint="eastAsia"/>
          <w:sz w:val="24"/>
        </w:rPr>
        <w:instrText xml:space="preserve">TOC \o "1-2" \h \u </w:instrText>
      </w:r>
      <w:r>
        <w:rPr>
          <w:rFonts w:ascii="黑体" w:eastAsia="黑体" w:hAnsi="黑体" w:cs="黑体" w:hint="eastAsia"/>
          <w:sz w:val="24"/>
        </w:rPr>
        <w:fldChar w:fldCharType="separate"/>
      </w:r>
      <w:hyperlink w:anchor="_Toc13824" w:history="1">
        <w:r w:rsidR="00A4256F">
          <w:rPr>
            <w:rFonts w:ascii="黑体" w:eastAsia="黑体" w:hAnsi="黑体" w:hint="eastAsia"/>
            <w:b/>
            <w:sz w:val="24"/>
          </w:rPr>
          <w:t>总 则</w:t>
        </w:r>
        <w:r w:rsidR="00A4256F">
          <w:rPr>
            <w:rFonts w:ascii="黑体" w:eastAsia="黑体" w:hAnsi="黑体"/>
            <w:sz w:val="24"/>
          </w:rPr>
          <w:tab/>
        </w:r>
        <w:r w:rsidR="00A4256F">
          <w:rPr>
            <w:rFonts w:ascii="黑体" w:eastAsia="黑体" w:hAnsi="黑体"/>
            <w:sz w:val="24"/>
          </w:rPr>
          <w:fldChar w:fldCharType="begin"/>
        </w:r>
        <w:r w:rsidR="00A4256F">
          <w:rPr>
            <w:rFonts w:ascii="黑体" w:eastAsia="黑体" w:hAnsi="黑体"/>
            <w:sz w:val="24"/>
          </w:rPr>
          <w:instrText xml:space="preserve"> PAGEREF _Toc13824 \h </w:instrText>
        </w:r>
        <w:r w:rsidR="00A4256F">
          <w:rPr>
            <w:rFonts w:ascii="黑体" w:eastAsia="黑体" w:hAnsi="黑体"/>
            <w:sz w:val="24"/>
          </w:rPr>
        </w:r>
        <w:r w:rsidR="00A4256F">
          <w:rPr>
            <w:rFonts w:ascii="黑体" w:eastAsia="黑体" w:hAnsi="黑体"/>
            <w:sz w:val="24"/>
          </w:rPr>
          <w:fldChar w:fldCharType="separate"/>
        </w:r>
        <w:r w:rsidR="00A4256F">
          <w:rPr>
            <w:rFonts w:ascii="黑体" w:eastAsia="黑体" w:hAnsi="黑体"/>
            <w:sz w:val="24"/>
          </w:rPr>
          <w:t>2</w:t>
        </w:r>
        <w:r w:rsidR="00A4256F">
          <w:rPr>
            <w:rFonts w:ascii="黑体" w:eastAsia="黑体" w:hAnsi="黑体"/>
            <w:sz w:val="24"/>
          </w:rPr>
          <w:fldChar w:fldCharType="end"/>
        </w:r>
      </w:hyperlink>
    </w:p>
    <w:p w14:paraId="654FED52" w14:textId="77777777" w:rsidR="00A4256F" w:rsidRDefault="00A4256F">
      <w:pPr>
        <w:pStyle w:val="TOC1"/>
        <w:tabs>
          <w:tab w:val="right" w:leader="dot" w:pos="8306"/>
        </w:tabs>
        <w:spacing w:line="560" w:lineRule="exact"/>
        <w:rPr>
          <w:rFonts w:ascii="黑体" w:eastAsia="黑体" w:hAnsi="黑体" w:hint="eastAsia"/>
          <w:sz w:val="24"/>
        </w:rPr>
      </w:pPr>
      <w:hyperlink w:anchor="_Toc4772" w:history="1">
        <w:r>
          <w:rPr>
            <w:rFonts w:ascii="黑体" w:eastAsia="黑体" w:hAnsi="黑体" w:cs="黑体"/>
            <w:sz w:val="24"/>
          </w:rPr>
          <w:t>1</w:t>
        </w:r>
        <w:r>
          <w:rPr>
            <w:rFonts w:ascii="黑体" w:eastAsia="黑体" w:hAnsi="黑体" w:cs="黑体" w:hint="eastAsia"/>
            <w:sz w:val="24"/>
          </w:rPr>
          <w:t xml:space="preserve">  服务内容及目的</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_Toc4772 \h </w:instrText>
        </w:r>
        <w:r>
          <w:rPr>
            <w:rFonts w:ascii="黑体" w:eastAsia="黑体" w:hAnsi="黑体"/>
            <w:sz w:val="24"/>
          </w:rPr>
        </w:r>
        <w:r>
          <w:rPr>
            <w:rFonts w:ascii="黑体" w:eastAsia="黑体" w:hAnsi="黑体"/>
            <w:sz w:val="24"/>
          </w:rPr>
          <w:fldChar w:fldCharType="separate"/>
        </w:r>
        <w:r>
          <w:rPr>
            <w:rFonts w:ascii="黑体" w:eastAsia="黑体" w:hAnsi="黑体"/>
            <w:sz w:val="24"/>
          </w:rPr>
          <w:t>3</w:t>
        </w:r>
        <w:r>
          <w:rPr>
            <w:rFonts w:ascii="黑体" w:eastAsia="黑体" w:hAnsi="黑体"/>
            <w:sz w:val="24"/>
          </w:rPr>
          <w:fldChar w:fldCharType="end"/>
        </w:r>
      </w:hyperlink>
    </w:p>
    <w:p w14:paraId="46505069" w14:textId="77777777" w:rsidR="00A4256F" w:rsidRDefault="00A4256F">
      <w:pPr>
        <w:pStyle w:val="TOC1"/>
        <w:tabs>
          <w:tab w:val="right" w:leader="dot" w:pos="8306"/>
        </w:tabs>
        <w:spacing w:line="560" w:lineRule="exact"/>
        <w:rPr>
          <w:rFonts w:ascii="黑体" w:eastAsia="黑体" w:hAnsi="黑体" w:hint="eastAsia"/>
          <w:sz w:val="24"/>
        </w:rPr>
      </w:pPr>
      <w:hyperlink w:anchor="_Toc2001" w:history="1">
        <w:r>
          <w:rPr>
            <w:rFonts w:ascii="黑体" w:eastAsia="黑体" w:hAnsi="黑体" w:cs="黑体"/>
            <w:sz w:val="24"/>
          </w:rPr>
          <w:t>2</w:t>
        </w:r>
        <w:r>
          <w:rPr>
            <w:rFonts w:ascii="黑体" w:eastAsia="黑体" w:hAnsi="黑体" w:cs="黑体" w:hint="eastAsia"/>
            <w:sz w:val="24"/>
          </w:rPr>
          <w:t xml:space="preserve">  主要技术指标要求</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_Toc2001 \h </w:instrText>
        </w:r>
        <w:r>
          <w:rPr>
            <w:rFonts w:ascii="黑体" w:eastAsia="黑体" w:hAnsi="黑体"/>
            <w:sz w:val="24"/>
          </w:rPr>
        </w:r>
        <w:r>
          <w:rPr>
            <w:rFonts w:ascii="黑体" w:eastAsia="黑体" w:hAnsi="黑体"/>
            <w:sz w:val="24"/>
          </w:rPr>
          <w:fldChar w:fldCharType="separate"/>
        </w:r>
        <w:r>
          <w:rPr>
            <w:rFonts w:ascii="黑体" w:eastAsia="黑体" w:hAnsi="黑体"/>
            <w:sz w:val="24"/>
          </w:rPr>
          <w:t>3</w:t>
        </w:r>
        <w:r>
          <w:rPr>
            <w:rFonts w:ascii="黑体" w:eastAsia="黑体" w:hAnsi="黑体"/>
            <w:sz w:val="24"/>
          </w:rPr>
          <w:fldChar w:fldCharType="end"/>
        </w:r>
      </w:hyperlink>
    </w:p>
    <w:p w14:paraId="12299C05" w14:textId="77777777" w:rsidR="00A4256F" w:rsidRDefault="00A4256F">
      <w:pPr>
        <w:pStyle w:val="TOC1"/>
        <w:tabs>
          <w:tab w:val="right" w:leader="dot" w:pos="8306"/>
        </w:tabs>
        <w:spacing w:line="560" w:lineRule="exact"/>
        <w:rPr>
          <w:rFonts w:ascii="黑体" w:eastAsia="黑体" w:hAnsi="黑体" w:hint="eastAsia"/>
          <w:sz w:val="24"/>
        </w:rPr>
      </w:pPr>
      <w:hyperlink w:anchor="_Toc30385" w:history="1">
        <w:r>
          <w:rPr>
            <w:rFonts w:ascii="黑体" w:eastAsia="黑体" w:hAnsi="黑体" w:cs="黑体"/>
            <w:sz w:val="24"/>
          </w:rPr>
          <w:t>3</w:t>
        </w:r>
        <w:r>
          <w:rPr>
            <w:rFonts w:ascii="黑体" w:eastAsia="黑体" w:hAnsi="黑体" w:cs="黑体" w:hint="eastAsia"/>
            <w:sz w:val="24"/>
          </w:rPr>
          <w:t xml:space="preserve">  成果交付与验收</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_Toc30385 \h </w:instrText>
        </w:r>
        <w:r>
          <w:rPr>
            <w:rFonts w:ascii="黑体" w:eastAsia="黑体" w:hAnsi="黑体"/>
            <w:sz w:val="24"/>
          </w:rPr>
        </w:r>
        <w:r>
          <w:rPr>
            <w:rFonts w:ascii="黑体" w:eastAsia="黑体" w:hAnsi="黑体"/>
            <w:sz w:val="24"/>
          </w:rPr>
          <w:fldChar w:fldCharType="separate"/>
        </w:r>
        <w:r>
          <w:rPr>
            <w:rFonts w:ascii="黑体" w:eastAsia="黑体" w:hAnsi="黑体"/>
            <w:sz w:val="24"/>
          </w:rPr>
          <w:t>4</w:t>
        </w:r>
        <w:r>
          <w:rPr>
            <w:rFonts w:ascii="黑体" w:eastAsia="黑体" w:hAnsi="黑体"/>
            <w:sz w:val="24"/>
          </w:rPr>
          <w:fldChar w:fldCharType="end"/>
        </w:r>
      </w:hyperlink>
    </w:p>
    <w:p w14:paraId="6153376B" w14:textId="77777777" w:rsidR="00A4256F" w:rsidRDefault="00A4256F">
      <w:pPr>
        <w:pStyle w:val="TOC1"/>
        <w:tabs>
          <w:tab w:val="right" w:leader="dot" w:pos="8306"/>
        </w:tabs>
        <w:spacing w:line="560" w:lineRule="exact"/>
        <w:rPr>
          <w:rFonts w:ascii="黑体" w:eastAsia="黑体" w:hAnsi="黑体" w:hint="eastAsia"/>
          <w:sz w:val="24"/>
        </w:rPr>
      </w:pPr>
      <w:hyperlink w:anchor="_Toc24706" w:history="1">
        <w:r>
          <w:rPr>
            <w:rFonts w:ascii="黑体" w:eastAsia="黑体" w:hAnsi="黑体" w:cs="黑体"/>
            <w:sz w:val="24"/>
          </w:rPr>
          <w:t>4</w:t>
        </w:r>
        <w:r>
          <w:rPr>
            <w:rFonts w:ascii="黑体" w:eastAsia="黑体" w:hAnsi="黑体" w:cs="黑体" w:hint="eastAsia"/>
            <w:sz w:val="24"/>
          </w:rPr>
          <w:t xml:space="preserve">  资格要求</w:t>
        </w:r>
        <w:r>
          <w:rPr>
            <w:rFonts w:ascii="黑体" w:eastAsia="黑体" w:hAnsi="黑体"/>
            <w:sz w:val="24"/>
          </w:rPr>
          <w:tab/>
        </w:r>
        <w:r>
          <w:rPr>
            <w:rFonts w:ascii="黑体" w:eastAsia="黑体" w:hAnsi="黑体"/>
            <w:sz w:val="24"/>
          </w:rPr>
          <w:fldChar w:fldCharType="begin"/>
        </w:r>
        <w:r>
          <w:rPr>
            <w:rFonts w:ascii="黑体" w:eastAsia="黑体" w:hAnsi="黑体"/>
            <w:sz w:val="24"/>
          </w:rPr>
          <w:instrText xml:space="preserve"> PAGEREF _Toc24706 \h </w:instrText>
        </w:r>
        <w:r>
          <w:rPr>
            <w:rFonts w:ascii="黑体" w:eastAsia="黑体" w:hAnsi="黑体"/>
            <w:sz w:val="24"/>
          </w:rPr>
        </w:r>
        <w:r>
          <w:rPr>
            <w:rFonts w:ascii="黑体" w:eastAsia="黑体" w:hAnsi="黑体"/>
            <w:sz w:val="24"/>
          </w:rPr>
          <w:fldChar w:fldCharType="separate"/>
        </w:r>
        <w:r>
          <w:rPr>
            <w:rFonts w:ascii="黑体" w:eastAsia="黑体" w:hAnsi="黑体"/>
            <w:sz w:val="24"/>
          </w:rPr>
          <w:t>5</w:t>
        </w:r>
        <w:r>
          <w:rPr>
            <w:rFonts w:ascii="黑体" w:eastAsia="黑体" w:hAnsi="黑体"/>
            <w:sz w:val="24"/>
          </w:rPr>
          <w:fldChar w:fldCharType="end"/>
        </w:r>
      </w:hyperlink>
    </w:p>
    <w:p w14:paraId="5081E846" w14:textId="77777777" w:rsidR="00A4256F" w:rsidRDefault="00000000">
      <w:pPr>
        <w:pStyle w:val="TOC1"/>
        <w:tabs>
          <w:tab w:val="right" w:leader="dot" w:pos="8306"/>
        </w:tabs>
        <w:snapToGrid w:val="0"/>
        <w:spacing w:line="560" w:lineRule="exact"/>
        <w:rPr>
          <w:rFonts w:ascii="黑体" w:eastAsia="黑体" w:hAnsi="黑体" w:cs="黑体" w:hint="eastAsia"/>
          <w:b/>
          <w:sz w:val="24"/>
        </w:rPr>
      </w:pPr>
      <w:r>
        <w:rPr>
          <w:rFonts w:ascii="黑体" w:eastAsia="黑体" w:hAnsi="黑体" w:cs="黑体" w:hint="eastAsia"/>
          <w:sz w:val="24"/>
        </w:rPr>
        <w:fldChar w:fldCharType="end"/>
      </w:r>
    </w:p>
    <w:p w14:paraId="22B8AE8E" w14:textId="77777777" w:rsidR="00A4256F" w:rsidRDefault="00000000">
      <w:pPr>
        <w:rPr>
          <w:rFonts w:ascii="宋体" w:hAnsi="宋体" w:hint="eastAsia"/>
          <w:b/>
          <w:sz w:val="30"/>
        </w:rPr>
      </w:pPr>
      <w:r>
        <w:rPr>
          <w:rFonts w:ascii="宋体" w:hAnsi="宋体"/>
          <w:b/>
          <w:sz w:val="30"/>
        </w:rPr>
        <w:br w:type="page"/>
      </w:r>
    </w:p>
    <w:p w14:paraId="220D515C" w14:textId="77777777" w:rsidR="00A4256F" w:rsidRDefault="00000000">
      <w:pPr>
        <w:spacing w:line="480" w:lineRule="auto"/>
        <w:jc w:val="center"/>
        <w:outlineLvl w:val="0"/>
        <w:rPr>
          <w:rFonts w:ascii="宋体" w:hAnsi="宋体" w:hint="eastAsia"/>
          <w:b/>
          <w:sz w:val="32"/>
        </w:rPr>
      </w:pPr>
      <w:bookmarkStart w:id="3" w:name="_Toc17586"/>
      <w:bookmarkStart w:id="4" w:name="_Toc13824"/>
      <w:bookmarkStart w:id="5" w:name="_Toc161832193"/>
      <w:bookmarkStart w:id="6" w:name="_Toc266713645"/>
      <w:bookmarkStart w:id="7" w:name="_Toc32374"/>
      <w:bookmarkStart w:id="8" w:name="_Toc19589"/>
      <w:r>
        <w:rPr>
          <w:rFonts w:ascii="宋体" w:hAnsi="宋体" w:hint="eastAsia"/>
          <w:b/>
          <w:sz w:val="32"/>
        </w:rPr>
        <w:lastRenderedPageBreak/>
        <w:t>总 则</w:t>
      </w:r>
      <w:bookmarkEnd w:id="3"/>
      <w:bookmarkEnd w:id="4"/>
      <w:bookmarkEnd w:id="5"/>
      <w:bookmarkEnd w:id="6"/>
      <w:bookmarkEnd w:id="7"/>
      <w:bookmarkEnd w:id="8"/>
    </w:p>
    <w:p w14:paraId="73F6ECBE" w14:textId="77777777" w:rsidR="00A4256F" w:rsidRDefault="00000000">
      <w:pPr>
        <w:numPr>
          <w:ilvl w:val="0"/>
          <w:numId w:val="2"/>
        </w:numPr>
        <w:spacing w:line="360" w:lineRule="auto"/>
        <w:rPr>
          <w:rFonts w:ascii="宋体" w:hAnsi="宋体" w:hint="eastAsia"/>
          <w:bCs/>
          <w:sz w:val="24"/>
        </w:rPr>
      </w:pPr>
      <w:r>
        <w:rPr>
          <w:rFonts w:ascii="宋体" w:hAnsi="宋体" w:hint="eastAsia"/>
          <w:bCs/>
          <w:sz w:val="24"/>
        </w:rPr>
        <w:t>本文件为该零星采购项目的技术要求书。</w:t>
      </w:r>
    </w:p>
    <w:p w14:paraId="62E5294F" w14:textId="77777777" w:rsidR="00A4256F" w:rsidRDefault="00000000">
      <w:pPr>
        <w:numPr>
          <w:ilvl w:val="0"/>
          <w:numId w:val="2"/>
        </w:numPr>
        <w:spacing w:line="360" w:lineRule="auto"/>
        <w:rPr>
          <w:rFonts w:ascii="宋体" w:hAnsi="宋体" w:hint="eastAsia"/>
          <w:bCs/>
          <w:sz w:val="24"/>
          <w:szCs w:val="22"/>
        </w:rPr>
      </w:pPr>
      <w:r>
        <w:rPr>
          <w:rFonts w:ascii="宋体" w:hAnsi="宋体" w:hint="eastAsia"/>
          <w:bCs/>
          <w:sz w:val="24"/>
          <w:szCs w:val="22"/>
        </w:rPr>
        <w:t>采购服务提供方</w:t>
      </w:r>
      <w:r>
        <w:rPr>
          <w:rFonts w:hint="eastAsia"/>
          <w:sz w:val="24"/>
        </w:rPr>
        <w:t>需要提供满足</w:t>
      </w:r>
      <w:r>
        <w:rPr>
          <w:rFonts w:ascii="宋体" w:hAnsi="宋体" w:hint="eastAsia"/>
          <w:bCs/>
          <w:sz w:val="24"/>
          <w:szCs w:val="22"/>
        </w:rPr>
        <w:t>本技术要求书制定目标的装置功能第三方测试服务，以及在项目进行中为达成既定目标提</w:t>
      </w:r>
      <w:r>
        <w:rPr>
          <w:rFonts w:hint="eastAsia"/>
          <w:sz w:val="24"/>
        </w:rPr>
        <w:t>出的其他</w:t>
      </w:r>
      <w:bookmarkStart w:id="9" w:name="_Hlk173933519"/>
      <w:r>
        <w:rPr>
          <w:rFonts w:hint="eastAsia"/>
          <w:sz w:val="24"/>
        </w:rPr>
        <w:t>优化调整</w:t>
      </w:r>
      <w:bookmarkEnd w:id="9"/>
      <w:r>
        <w:rPr>
          <w:rFonts w:hint="eastAsia"/>
          <w:sz w:val="24"/>
        </w:rPr>
        <w:t>需求。</w:t>
      </w:r>
    </w:p>
    <w:p w14:paraId="0C6EB84F" w14:textId="77777777" w:rsidR="00A4256F" w:rsidRDefault="00000000">
      <w:pPr>
        <w:numPr>
          <w:ilvl w:val="0"/>
          <w:numId w:val="2"/>
        </w:numPr>
        <w:spacing w:line="360" w:lineRule="auto"/>
        <w:rPr>
          <w:rFonts w:ascii="宋体" w:hAnsi="宋体" w:hint="eastAsia"/>
          <w:bCs/>
          <w:sz w:val="24"/>
          <w:szCs w:val="22"/>
        </w:rPr>
      </w:pPr>
      <w:r>
        <w:rPr>
          <w:rFonts w:ascii="宋体" w:hAnsi="宋体" w:hint="eastAsia"/>
          <w:bCs/>
          <w:sz w:val="24"/>
          <w:szCs w:val="22"/>
        </w:rPr>
        <w:t>本技术要求书未尽事宜，由双方协商确定。</w:t>
      </w:r>
    </w:p>
    <w:p w14:paraId="0EA164CD" w14:textId="77777777" w:rsidR="00A4256F" w:rsidRDefault="00000000">
      <w:pPr>
        <w:pStyle w:val="af0"/>
        <w:spacing w:before="312"/>
        <w:rPr>
          <w:rFonts w:hint="eastAsia"/>
          <w:szCs w:val="22"/>
        </w:rPr>
      </w:pPr>
      <w:r>
        <w:rPr>
          <w:rFonts w:hint="eastAsia"/>
          <w:szCs w:val="22"/>
        </w:rPr>
        <w:br w:type="page"/>
      </w:r>
    </w:p>
    <w:p w14:paraId="60A4C57E" w14:textId="77777777" w:rsidR="00A4256F" w:rsidRDefault="00000000">
      <w:pPr>
        <w:pStyle w:val="af0"/>
        <w:spacing w:before="312"/>
        <w:outlineLvl w:val="0"/>
        <w:rPr>
          <w:rFonts w:asciiTheme="minorEastAsia" w:eastAsiaTheme="minorEastAsia" w:hAnsiTheme="minorEastAsia" w:cstheme="minorEastAsia" w:hint="eastAsia"/>
          <w:bCs/>
          <w:color w:val="C00000"/>
        </w:rPr>
      </w:pPr>
      <w:bookmarkStart w:id="10" w:name="_Toc4772"/>
      <w:bookmarkStart w:id="11" w:name="_Toc161832194"/>
      <w:r>
        <w:rPr>
          <w:rFonts w:ascii="黑体" w:eastAsia="黑体" w:hAnsi="黑体" w:cs="黑体"/>
          <w:sz w:val="28"/>
          <w:szCs w:val="28"/>
        </w:rPr>
        <w:lastRenderedPageBreak/>
        <w:t>1</w:t>
      </w:r>
      <w:r>
        <w:rPr>
          <w:rFonts w:ascii="黑体" w:eastAsia="黑体" w:hAnsi="黑体" w:cs="黑体" w:hint="eastAsia"/>
          <w:sz w:val="28"/>
          <w:szCs w:val="28"/>
        </w:rPr>
        <w:t xml:space="preserve">  服务内容及目的</w:t>
      </w:r>
      <w:bookmarkEnd w:id="10"/>
      <w:bookmarkEnd w:id="11"/>
    </w:p>
    <w:p w14:paraId="1D21AD42" w14:textId="4B359EFF" w:rsidR="00A4256F" w:rsidRDefault="00000000">
      <w:pPr>
        <w:spacing w:line="360" w:lineRule="auto"/>
        <w:ind w:firstLineChars="200" w:firstLine="480"/>
        <w:rPr>
          <w:rFonts w:ascii="宋体" w:hAnsi="宋体" w:hint="eastAsia"/>
          <w:kern w:val="0"/>
          <w:sz w:val="24"/>
        </w:rPr>
      </w:pPr>
      <w:r>
        <w:rPr>
          <w:rFonts w:ascii="宋体" w:hAnsi="宋体" w:hint="eastAsia"/>
          <w:kern w:val="0"/>
          <w:sz w:val="24"/>
        </w:rPr>
        <w:t>在配网10kV地下电缆施工过程中，往往经常由于部分路段不能开挖，需要采用顶管机进行顶管敷设管道施工。但因为顶管机的钻杆在回收过程中会粘有淤泥，如不进行清理，会对机器的运行造成损害，影响设备后续使用。在这种场景下通常采用人工清洁的方式，例如人工扫把配合水桶浇淋清洁，该类方式需要多人协作，人工成本大，清洁效率慢，严重干扰顶管施工的进度。</w:t>
      </w:r>
    </w:p>
    <w:p w14:paraId="29782F61" w14:textId="77777777" w:rsidR="00A4256F" w:rsidRDefault="00000000">
      <w:pPr>
        <w:spacing w:line="360" w:lineRule="auto"/>
        <w:ind w:firstLineChars="200" w:firstLine="480"/>
        <w:rPr>
          <w:rFonts w:ascii="宋体" w:hAnsi="宋体" w:hint="eastAsia"/>
          <w:kern w:val="0"/>
          <w:sz w:val="24"/>
        </w:rPr>
      </w:pPr>
      <w:r>
        <w:rPr>
          <w:rFonts w:ascii="宋体" w:hAnsi="宋体" w:hint="eastAsia"/>
          <w:kern w:val="0"/>
          <w:sz w:val="24"/>
        </w:rPr>
        <w:t>本项目拟结合传统人工清洁效率低，成本高的困境，项目组通过现场调研，结合现场环境应用需要，拟充分考虑顶管机钻杆需要快速清洗淤泥，清洗方便，控制可靠等功能特点，开发一种新的顶管机钻杆清洗装置，提升配网施工现场顶管施工效率，解决人工扫把配合水桶浇淋清洁顶管机钻杆效率低、人力成本高的困难，有效降低一线工作人员的劳作强度及用工成本。</w:t>
      </w:r>
    </w:p>
    <w:p w14:paraId="7CB30259" w14:textId="36CA6F08" w:rsidR="00A4256F" w:rsidRDefault="00000000">
      <w:pPr>
        <w:spacing w:line="360" w:lineRule="auto"/>
        <w:ind w:firstLineChars="200" w:firstLine="480"/>
        <w:rPr>
          <w:rFonts w:ascii="黑体" w:eastAsia="黑体" w:hAnsi="黑体" w:cs="黑体" w:hint="eastAsia"/>
          <w:bCs/>
          <w:sz w:val="24"/>
        </w:rPr>
      </w:pPr>
      <w:r>
        <w:rPr>
          <w:rFonts w:hint="eastAsia"/>
          <w:sz w:val="24"/>
        </w:rPr>
        <w:t>服务方需要提供满足主要技术指标要求的</w:t>
      </w:r>
      <w:r>
        <w:rPr>
          <w:rFonts w:ascii="宋体" w:hAnsi="宋体" w:hint="eastAsia"/>
          <w:bCs/>
          <w:sz w:val="24"/>
          <w:szCs w:val="22"/>
        </w:rPr>
        <w:t>测试服务</w:t>
      </w:r>
      <w:r>
        <w:rPr>
          <w:rFonts w:hint="eastAsia"/>
          <w:sz w:val="24"/>
        </w:rPr>
        <w:t>，以及在项目进行中为达成既定目标提出的其他</w:t>
      </w:r>
      <w:r w:rsidR="00BB5042">
        <w:rPr>
          <w:rFonts w:hint="eastAsia"/>
          <w:sz w:val="24"/>
        </w:rPr>
        <w:t>服务</w:t>
      </w:r>
      <w:r>
        <w:rPr>
          <w:rFonts w:hint="eastAsia"/>
          <w:sz w:val="24"/>
        </w:rPr>
        <w:t>需求。</w:t>
      </w:r>
    </w:p>
    <w:p w14:paraId="7A6E0A63" w14:textId="77777777" w:rsidR="00A4256F" w:rsidRDefault="00000000">
      <w:pPr>
        <w:pStyle w:val="af0"/>
        <w:spacing w:before="312"/>
        <w:outlineLvl w:val="0"/>
        <w:rPr>
          <w:rFonts w:asciiTheme="minorEastAsia" w:eastAsiaTheme="minorEastAsia" w:hAnsiTheme="minorEastAsia" w:cstheme="minorEastAsia" w:hint="eastAsia"/>
          <w:bCs/>
          <w:color w:val="C00000"/>
        </w:rPr>
      </w:pPr>
      <w:bookmarkStart w:id="12" w:name="_Toc161832195"/>
      <w:bookmarkStart w:id="13" w:name="_Toc2001"/>
      <w:r>
        <w:rPr>
          <w:rFonts w:ascii="黑体" w:eastAsia="黑体" w:hAnsi="黑体" w:cs="黑体"/>
          <w:sz w:val="28"/>
          <w:szCs w:val="28"/>
        </w:rPr>
        <w:t>2</w:t>
      </w:r>
      <w:r>
        <w:rPr>
          <w:rFonts w:ascii="黑体" w:eastAsia="黑体" w:hAnsi="黑体" w:cs="黑体" w:hint="eastAsia"/>
          <w:sz w:val="28"/>
          <w:szCs w:val="28"/>
        </w:rPr>
        <w:t xml:space="preserve">  主要技术指标要求</w:t>
      </w:r>
      <w:bookmarkEnd w:id="12"/>
      <w:bookmarkEnd w:id="13"/>
    </w:p>
    <w:p w14:paraId="49C65602" w14:textId="77777777" w:rsidR="00A4256F" w:rsidRDefault="00000000">
      <w:pPr>
        <w:spacing w:line="360" w:lineRule="auto"/>
        <w:ind w:firstLineChars="200" w:firstLine="480"/>
        <w:jc w:val="left"/>
        <w:rPr>
          <w:sz w:val="24"/>
        </w:rPr>
      </w:pPr>
      <w:bookmarkStart w:id="14" w:name="_Toc266713650"/>
      <w:bookmarkStart w:id="15" w:name="_Toc30385"/>
      <w:bookmarkStart w:id="16" w:name="_Toc161832196"/>
      <w:r>
        <w:rPr>
          <w:rFonts w:hint="eastAsia"/>
          <w:sz w:val="24"/>
        </w:rPr>
        <w:t>本项目所研制的装置具体要求如下：</w:t>
      </w:r>
    </w:p>
    <w:p w14:paraId="4AEB6363" w14:textId="77777777" w:rsidR="00A4256F" w:rsidRDefault="00000000">
      <w:pPr>
        <w:spacing w:line="360" w:lineRule="auto"/>
        <w:ind w:firstLineChars="200" w:firstLine="480"/>
        <w:jc w:val="left"/>
        <w:rPr>
          <w:sz w:val="24"/>
        </w:rPr>
      </w:pPr>
      <w:r>
        <w:rPr>
          <w:rFonts w:hint="eastAsia"/>
          <w:sz w:val="24"/>
        </w:rPr>
        <w:t>一种新的顶管机钻杆清洗装置主要通过挂载在用顶管机回收处进行钻杆清洗，结构集成了旋转自摩擦清洁环形刮扫模块、双重环形</w:t>
      </w:r>
      <w:r>
        <w:rPr>
          <w:rFonts w:hint="eastAsia"/>
          <w:sz w:val="24"/>
        </w:rPr>
        <w:t>45</w:t>
      </w:r>
      <w:r>
        <w:rPr>
          <w:rFonts w:hint="eastAsia"/>
          <w:sz w:val="24"/>
        </w:rPr>
        <w:t>°喷头模块、双管道节能水泵模块等，采用淋</w:t>
      </w:r>
      <w:r>
        <w:rPr>
          <w:rFonts w:hint="eastAsia"/>
          <w:sz w:val="24"/>
        </w:rPr>
        <w:t>-</w:t>
      </w:r>
      <w:r>
        <w:rPr>
          <w:rFonts w:hint="eastAsia"/>
          <w:sz w:val="24"/>
        </w:rPr>
        <w:t>扫</w:t>
      </w:r>
      <w:r>
        <w:rPr>
          <w:rFonts w:hint="eastAsia"/>
          <w:sz w:val="24"/>
        </w:rPr>
        <w:t>-</w:t>
      </w:r>
      <w:r>
        <w:rPr>
          <w:rFonts w:hint="eastAsia"/>
          <w:sz w:val="24"/>
        </w:rPr>
        <w:t>冲</w:t>
      </w:r>
      <w:r>
        <w:rPr>
          <w:rFonts w:hint="eastAsia"/>
          <w:sz w:val="24"/>
        </w:rPr>
        <w:t>-</w:t>
      </w:r>
      <w:r>
        <w:rPr>
          <w:rFonts w:hint="eastAsia"/>
          <w:sz w:val="24"/>
        </w:rPr>
        <w:t>刮，四道工艺进行清洁，可有效降低一线工作人员的劳作强度及用工成本。其工具结构组成主要包括凹型底座模块、环形喷头模块、环形扫模块、环形刮模块、双管道水泵模块、数储水组件等结构组成。主要技术要求如下：</w:t>
      </w:r>
    </w:p>
    <w:p w14:paraId="765BBA13" w14:textId="77777777" w:rsidR="00A4256F" w:rsidRDefault="00000000">
      <w:pPr>
        <w:spacing w:line="360" w:lineRule="auto"/>
        <w:ind w:firstLineChars="200" w:firstLine="480"/>
        <w:jc w:val="left"/>
        <w:rPr>
          <w:sz w:val="24"/>
        </w:rPr>
      </w:pPr>
      <w:r>
        <w:rPr>
          <w:rFonts w:hint="eastAsia"/>
          <w:sz w:val="24"/>
        </w:rPr>
        <w:t>（</w:t>
      </w:r>
      <w:r>
        <w:rPr>
          <w:rFonts w:hint="eastAsia"/>
          <w:sz w:val="24"/>
        </w:rPr>
        <w:t>1</w:t>
      </w:r>
      <w:r>
        <w:rPr>
          <w:rFonts w:hint="eastAsia"/>
          <w:sz w:val="24"/>
        </w:rPr>
        <w:t>）研究分析钻杆的结构特点及大小，提出适应各种顶管机钻杆清洗结构可靠的清洁装置可行性方案。</w:t>
      </w:r>
    </w:p>
    <w:p w14:paraId="709C0397" w14:textId="77777777" w:rsidR="00A4256F" w:rsidRDefault="00000000">
      <w:pPr>
        <w:spacing w:line="360" w:lineRule="auto"/>
        <w:ind w:firstLineChars="200" w:firstLine="480"/>
        <w:jc w:val="left"/>
        <w:rPr>
          <w:sz w:val="24"/>
        </w:rPr>
      </w:pPr>
      <w:r>
        <w:rPr>
          <w:rFonts w:hint="eastAsia"/>
          <w:sz w:val="24"/>
        </w:rPr>
        <w:t>（</w:t>
      </w:r>
      <w:r>
        <w:rPr>
          <w:rFonts w:hint="eastAsia"/>
          <w:sz w:val="24"/>
        </w:rPr>
        <w:t>2</w:t>
      </w:r>
      <w:r>
        <w:rPr>
          <w:rFonts w:hint="eastAsia"/>
          <w:sz w:val="24"/>
        </w:rPr>
        <w:t>）结合顶管钻头旋转回收方式，研发旋转自摩擦清洁环形刮扫模块，采用扫、刮两种结构进行清洁，并充分考虑旋转受力点，开发配套支撑底座，可适配多种钻杆清洁需要。</w:t>
      </w:r>
    </w:p>
    <w:p w14:paraId="1A3A943E" w14:textId="77777777" w:rsidR="00A4256F" w:rsidRDefault="00000000">
      <w:pPr>
        <w:spacing w:line="360" w:lineRule="auto"/>
        <w:ind w:firstLineChars="200" w:firstLine="480"/>
        <w:jc w:val="left"/>
        <w:rPr>
          <w:rFonts w:ascii="宋体" w:hAnsi="宋体" w:cs="宋体" w:hint="eastAsia"/>
          <w:kern w:val="0"/>
          <w:sz w:val="24"/>
        </w:rPr>
      </w:pPr>
      <w:r>
        <w:rPr>
          <w:rFonts w:hint="eastAsia"/>
          <w:sz w:val="24"/>
        </w:rPr>
        <w:t>（</w:t>
      </w:r>
      <w:r>
        <w:rPr>
          <w:rFonts w:hint="eastAsia"/>
          <w:sz w:val="24"/>
        </w:rPr>
        <w:t>3</w:t>
      </w:r>
      <w:r>
        <w:rPr>
          <w:rFonts w:hint="eastAsia"/>
          <w:sz w:val="24"/>
        </w:rPr>
        <w:t>）考虑到顽固性淤泥清洁困难，研发双重环形</w:t>
      </w:r>
      <w:r>
        <w:rPr>
          <w:rFonts w:hint="eastAsia"/>
          <w:sz w:val="24"/>
        </w:rPr>
        <w:t>45</w:t>
      </w:r>
      <w:r>
        <w:rPr>
          <w:rFonts w:hint="eastAsia"/>
          <w:sz w:val="24"/>
        </w:rPr>
        <w:t>°喷头及双管道节能水泵模块，结合环形刮扫模块，实现“淋</w:t>
      </w:r>
      <w:r>
        <w:rPr>
          <w:rFonts w:hint="eastAsia"/>
          <w:sz w:val="24"/>
        </w:rPr>
        <w:t>-</w:t>
      </w:r>
      <w:r>
        <w:rPr>
          <w:rFonts w:hint="eastAsia"/>
          <w:sz w:val="24"/>
        </w:rPr>
        <w:t>扫</w:t>
      </w:r>
      <w:r>
        <w:rPr>
          <w:rFonts w:hint="eastAsia"/>
          <w:sz w:val="24"/>
        </w:rPr>
        <w:t>-</w:t>
      </w:r>
      <w:r>
        <w:rPr>
          <w:rFonts w:hint="eastAsia"/>
          <w:sz w:val="24"/>
        </w:rPr>
        <w:t>冲</w:t>
      </w:r>
      <w:r>
        <w:rPr>
          <w:rFonts w:hint="eastAsia"/>
          <w:sz w:val="24"/>
        </w:rPr>
        <w:t>-</w:t>
      </w:r>
      <w:r>
        <w:rPr>
          <w:rFonts w:hint="eastAsia"/>
          <w:sz w:val="24"/>
        </w:rPr>
        <w:t>刮”，四道工艺进行高效率清洁，</w:t>
      </w:r>
      <w:r>
        <w:rPr>
          <w:rFonts w:hint="eastAsia"/>
          <w:sz w:val="24"/>
        </w:rPr>
        <w:lastRenderedPageBreak/>
        <w:t>降低用人成本。</w:t>
      </w:r>
    </w:p>
    <w:p w14:paraId="5455D34F" w14:textId="77777777" w:rsidR="00A4256F" w:rsidRDefault="00000000">
      <w:pPr>
        <w:pStyle w:val="af0"/>
        <w:spacing w:before="312"/>
        <w:outlineLvl w:val="0"/>
        <w:rPr>
          <w:rFonts w:ascii="黑体" w:eastAsia="黑体" w:hAnsi="黑体" w:cs="黑体" w:hint="eastAsia"/>
          <w:sz w:val="28"/>
          <w:szCs w:val="28"/>
        </w:rPr>
      </w:pPr>
      <w:r>
        <w:rPr>
          <w:rFonts w:ascii="黑体" w:eastAsia="黑体" w:hAnsi="黑体" w:cs="黑体"/>
          <w:sz w:val="28"/>
          <w:szCs w:val="28"/>
        </w:rPr>
        <w:t>3</w:t>
      </w:r>
      <w:r>
        <w:rPr>
          <w:rFonts w:ascii="黑体" w:eastAsia="黑体" w:hAnsi="黑体" w:cs="黑体" w:hint="eastAsia"/>
          <w:sz w:val="28"/>
          <w:szCs w:val="28"/>
        </w:rPr>
        <w:t xml:space="preserve">  </w:t>
      </w:r>
      <w:bookmarkEnd w:id="14"/>
      <w:r>
        <w:rPr>
          <w:rFonts w:ascii="黑体" w:eastAsia="黑体" w:hAnsi="黑体" w:cs="黑体" w:hint="eastAsia"/>
          <w:sz w:val="28"/>
          <w:szCs w:val="28"/>
        </w:rPr>
        <w:t>成果交付与验收</w:t>
      </w:r>
      <w:bookmarkEnd w:id="15"/>
      <w:bookmarkEnd w:id="16"/>
    </w:p>
    <w:p w14:paraId="7B984DCB" w14:textId="0580FFE7" w:rsidR="00A4256F" w:rsidRDefault="00000000">
      <w:pPr>
        <w:spacing w:line="360" w:lineRule="auto"/>
        <w:ind w:firstLineChars="200" w:firstLine="480"/>
        <w:rPr>
          <w:rFonts w:asciiTheme="minorEastAsia" w:eastAsiaTheme="minorEastAsia" w:hAnsiTheme="minorEastAsia" w:cstheme="minorEastAsia" w:hint="eastAsia"/>
          <w:color w:val="000000"/>
          <w:sz w:val="24"/>
        </w:rPr>
      </w:pPr>
      <w:bookmarkStart w:id="17" w:name="_Toc161832197"/>
      <w:r>
        <w:rPr>
          <w:rFonts w:asciiTheme="minorEastAsia" w:eastAsiaTheme="minorEastAsia" w:hAnsiTheme="minorEastAsia" w:cstheme="minorEastAsia" w:hint="eastAsia"/>
          <w:color w:val="000000"/>
          <w:sz w:val="24"/>
        </w:rPr>
        <w:t>1、装置功能第三方测试服务：提供配网施工现场</w:t>
      </w:r>
      <w:r>
        <w:rPr>
          <w:rFonts w:ascii="宋体" w:hAnsi="宋体" w:hint="eastAsia"/>
          <w:sz w:val="24"/>
        </w:rPr>
        <w:t>顶管机钻杆清洗装置研制</w:t>
      </w:r>
      <w:r>
        <w:rPr>
          <w:rFonts w:asciiTheme="minorEastAsia" w:eastAsiaTheme="minorEastAsia" w:hAnsiTheme="minorEastAsia" w:cstheme="minorEastAsia" w:hint="eastAsia"/>
          <w:color w:val="000000"/>
          <w:sz w:val="24"/>
        </w:rPr>
        <w:t>所需的装置功能第三方测试服务，最终交付</w:t>
      </w:r>
      <w:r w:rsidR="00DE1858">
        <w:rPr>
          <w:rFonts w:asciiTheme="minorEastAsia" w:eastAsiaTheme="minorEastAsia" w:hAnsiTheme="minorEastAsia" w:cstheme="minorEastAsia" w:hint="eastAsia"/>
          <w:color w:val="000000"/>
          <w:sz w:val="24"/>
        </w:rPr>
        <w:t>具备CNAS资质的</w:t>
      </w:r>
      <w:r>
        <w:rPr>
          <w:rFonts w:asciiTheme="minorEastAsia" w:eastAsiaTheme="minorEastAsia" w:hAnsiTheme="minorEastAsia" w:cstheme="minorEastAsia" w:hint="eastAsia"/>
          <w:color w:val="000000"/>
          <w:sz w:val="24"/>
        </w:rPr>
        <w:t>第三方测试报告1篇。</w:t>
      </w:r>
    </w:p>
    <w:p w14:paraId="1CED6B9F" w14:textId="79A3041F" w:rsidR="00A4256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2、乙方需于2025年11月30日前交付符合要求的</w:t>
      </w:r>
      <w:r>
        <w:rPr>
          <w:rFonts w:hint="eastAsia"/>
          <w:sz w:val="24"/>
        </w:rPr>
        <w:t>成果</w:t>
      </w:r>
      <w:r>
        <w:rPr>
          <w:rFonts w:asciiTheme="minorEastAsia" w:eastAsiaTheme="minorEastAsia" w:hAnsiTheme="minorEastAsia" w:cstheme="minorEastAsia" w:hint="eastAsia"/>
          <w:color w:val="000000"/>
          <w:sz w:val="24"/>
        </w:rPr>
        <w:t>，并通过甲方验收，同时需协助甲方完成本项目的相关资料整理，包括协助甲方完成发明专利等知识产权的编写，协助甲方完成项目资料收集、整理，配合甲方通过项目结题验收。</w:t>
      </w:r>
    </w:p>
    <w:p w14:paraId="24485ACC" w14:textId="77777777" w:rsidR="00A4256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3、 供应商须承诺至少安排一正式员工专职与甲方对接跟进项目工作，并配合项目开展试点应用工作；</w:t>
      </w:r>
    </w:p>
    <w:p w14:paraId="06D01530" w14:textId="77777777" w:rsidR="00A4256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4、在甲方要求下供应商能够派正式员工定期驻点不少于3个月，配合甲方完成试点应用，开展现场交流、确认实施方案、现场测试、项目验收等相关工作。</w:t>
      </w:r>
    </w:p>
    <w:p w14:paraId="77C97414" w14:textId="77777777" w:rsidR="00A4256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5、供应商最少提供一年以上售后服务工作，配合甲方申报相关奖项等。</w:t>
      </w:r>
    </w:p>
    <w:p w14:paraId="5B466470" w14:textId="77777777" w:rsidR="00A4256F" w:rsidRDefault="00000000">
      <w:pPr>
        <w:spacing w:line="360" w:lineRule="auto"/>
        <w:ind w:firstLineChars="200" w:firstLine="480"/>
        <w:rPr>
          <w:rFonts w:asciiTheme="minorEastAsia" w:eastAsiaTheme="minorEastAsia" w:hAnsiTheme="minorEastAsia" w:cstheme="minorEastAsia" w:hint="eastAsia"/>
          <w:color w:val="000000"/>
          <w:sz w:val="24"/>
        </w:rPr>
      </w:pPr>
      <w:r>
        <w:rPr>
          <w:rFonts w:asciiTheme="minorEastAsia" w:eastAsiaTheme="minorEastAsia" w:hAnsiTheme="minorEastAsia" w:cstheme="minorEastAsia" w:hint="eastAsia"/>
          <w:color w:val="000000"/>
          <w:sz w:val="24"/>
        </w:rPr>
        <w:t>6、供应商如果不能按时按质完成，东莞供电局将按照南网电网公司相关规定对供应商采取相关处罚。</w:t>
      </w:r>
    </w:p>
    <w:p w14:paraId="368806F0" w14:textId="77777777" w:rsidR="00A4256F" w:rsidRDefault="00000000">
      <w:pPr>
        <w:pStyle w:val="af0"/>
        <w:spacing w:before="312"/>
        <w:outlineLvl w:val="0"/>
        <w:rPr>
          <w:rFonts w:ascii="黑体" w:eastAsia="黑体" w:hAnsi="黑体" w:cs="黑体" w:hint="eastAsia"/>
          <w:sz w:val="28"/>
          <w:szCs w:val="28"/>
        </w:rPr>
      </w:pPr>
      <w:bookmarkStart w:id="18" w:name="_Toc24706"/>
      <w:bookmarkStart w:id="19" w:name="_Toc161832200"/>
      <w:bookmarkEnd w:id="17"/>
      <w:r>
        <w:rPr>
          <w:rFonts w:ascii="黑体" w:eastAsia="黑体" w:hAnsi="黑体" w:cs="黑体"/>
          <w:sz w:val="28"/>
          <w:szCs w:val="28"/>
        </w:rPr>
        <w:t>4</w:t>
      </w:r>
      <w:r>
        <w:rPr>
          <w:rFonts w:ascii="黑体" w:eastAsia="黑体" w:hAnsi="黑体" w:cs="黑体" w:hint="eastAsia"/>
          <w:sz w:val="28"/>
          <w:szCs w:val="28"/>
        </w:rPr>
        <w:t xml:space="preserve">  资格要求</w:t>
      </w:r>
      <w:bookmarkEnd w:id="18"/>
      <w:bookmarkEnd w:id="19"/>
    </w:p>
    <w:tbl>
      <w:tblPr>
        <w:tblW w:w="9465" w:type="dxa"/>
        <w:tblInd w:w="93" w:type="dxa"/>
        <w:tblLook w:val="04A0" w:firstRow="1" w:lastRow="0" w:firstColumn="1" w:lastColumn="0" w:noHBand="0" w:noVBand="1"/>
      </w:tblPr>
      <w:tblGrid>
        <w:gridCol w:w="648"/>
        <w:gridCol w:w="8817"/>
      </w:tblGrid>
      <w:tr w:rsidR="00A4256F" w14:paraId="76FC20A4" w14:textId="77777777">
        <w:trPr>
          <w:trHeight w:val="660"/>
        </w:trPr>
        <w:tc>
          <w:tcPr>
            <w:tcW w:w="648" w:type="dxa"/>
            <w:tcBorders>
              <w:top w:val="single" w:sz="4" w:space="0" w:color="000000"/>
              <w:left w:val="single" w:sz="4" w:space="0" w:color="000000"/>
              <w:bottom w:val="single" w:sz="4" w:space="0" w:color="000000"/>
              <w:right w:val="single" w:sz="4" w:space="0" w:color="000000"/>
            </w:tcBorders>
            <w:noWrap/>
            <w:vAlign w:val="center"/>
          </w:tcPr>
          <w:p w14:paraId="1B7EEE65" w14:textId="77777777" w:rsidR="00A4256F" w:rsidRDefault="00000000">
            <w:pPr>
              <w:widowControl/>
              <w:jc w:val="center"/>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kern w:val="0"/>
                <w:sz w:val="20"/>
                <w:szCs w:val="20"/>
                <w:lang w:bidi="ar"/>
              </w:rPr>
              <w:t>1</w:t>
            </w:r>
          </w:p>
        </w:tc>
        <w:tc>
          <w:tcPr>
            <w:tcW w:w="8817" w:type="dxa"/>
            <w:tcBorders>
              <w:top w:val="single" w:sz="4" w:space="0" w:color="000000"/>
              <w:left w:val="single" w:sz="4" w:space="0" w:color="000000"/>
              <w:bottom w:val="single" w:sz="4" w:space="0" w:color="000000"/>
              <w:right w:val="single" w:sz="4" w:space="0" w:color="000000"/>
            </w:tcBorders>
            <w:vAlign w:val="center"/>
          </w:tcPr>
          <w:p w14:paraId="6F8C5DEC" w14:textId="5F19512B" w:rsidR="00A4256F" w:rsidRDefault="00000000">
            <w:pPr>
              <w:widowControl/>
              <w:spacing w:line="300" w:lineRule="exact"/>
              <w:jc w:val="left"/>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kern w:val="0"/>
                <w:sz w:val="20"/>
                <w:szCs w:val="20"/>
                <w:lang w:bidi="ar"/>
              </w:rPr>
              <w:t>能提供营业执照或企业法人营业执照</w:t>
            </w:r>
            <w:r w:rsidR="00BB5042">
              <w:rPr>
                <w:rFonts w:ascii="微软雅黑" w:eastAsia="微软雅黑" w:hAnsi="微软雅黑" w:cs="微软雅黑" w:hint="eastAsia"/>
                <w:color w:val="000000"/>
                <w:kern w:val="0"/>
                <w:sz w:val="20"/>
                <w:szCs w:val="20"/>
                <w:lang w:bidi="ar"/>
              </w:rPr>
              <w:t>，提供</w:t>
            </w:r>
            <w:r w:rsidR="00BB5042" w:rsidRPr="00BB5042">
              <w:rPr>
                <w:rFonts w:ascii="微软雅黑" w:eastAsia="微软雅黑" w:hAnsi="微软雅黑" w:cs="微软雅黑" w:hint="eastAsia"/>
                <w:color w:val="000000"/>
                <w:kern w:val="0"/>
                <w:sz w:val="20"/>
                <w:szCs w:val="20"/>
                <w:lang w:bidi="ar"/>
              </w:rPr>
              <w:t>CNAS和CMA</w:t>
            </w:r>
            <w:r w:rsidR="00BB5042">
              <w:rPr>
                <w:rFonts w:ascii="微软雅黑" w:eastAsia="微软雅黑" w:hAnsi="微软雅黑" w:cs="微软雅黑" w:hint="eastAsia"/>
                <w:color w:val="000000"/>
                <w:kern w:val="0"/>
                <w:sz w:val="20"/>
                <w:szCs w:val="20"/>
                <w:lang w:bidi="ar"/>
              </w:rPr>
              <w:t>资质证书；</w:t>
            </w:r>
          </w:p>
        </w:tc>
      </w:tr>
      <w:tr w:rsidR="00A4256F" w14:paraId="58947704" w14:textId="77777777">
        <w:trPr>
          <w:trHeight w:val="422"/>
        </w:trPr>
        <w:tc>
          <w:tcPr>
            <w:tcW w:w="648" w:type="dxa"/>
            <w:tcBorders>
              <w:top w:val="single" w:sz="4" w:space="0" w:color="000000"/>
              <w:left w:val="single" w:sz="4" w:space="0" w:color="000000"/>
              <w:bottom w:val="single" w:sz="4" w:space="0" w:color="000000"/>
              <w:right w:val="single" w:sz="4" w:space="0" w:color="000000"/>
            </w:tcBorders>
            <w:noWrap/>
            <w:vAlign w:val="center"/>
          </w:tcPr>
          <w:p w14:paraId="417D21CC" w14:textId="77777777" w:rsidR="00A4256F" w:rsidRDefault="00000000">
            <w:pPr>
              <w:widowControl/>
              <w:jc w:val="center"/>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kern w:val="0"/>
                <w:sz w:val="20"/>
                <w:szCs w:val="20"/>
                <w:lang w:bidi="ar"/>
              </w:rPr>
              <w:t>2</w:t>
            </w:r>
          </w:p>
        </w:tc>
        <w:tc>
          <w:tcPr>
            <w:tcW w:w="8817" w:type="dxa"/>
            <w:tcBorders>
              <w:top w:val="single" w:sz="4" w:space="0" w:color="000000"/>
              <w:left w:val="single" w:sz="4" w:space="0" w:color="000000"/>
              <w:bottom w:val="single" w:sz="4" w:space="0" w:color="000000"/>
              <w:right w:val="single" w:sz="4" w:space="0" w:color="000000"/>
            </w:tcBorders>
            <w:vAlign w:val="center"/>
          </w:tcPr>
          <w:p w14:paraId="78867070" w14:textId="77777777" w:rsidR="00A4256F" w:rsidRDefault="00000000">
            <w:pPr>
              <w:widowControl/>
              <w:spacing w:line="300" w:lineRule="exact"/>
              <w:jc w:val="left"/>
              <w:textAlignment w:val="center"/>
              <w:rPr>
                <w:rFonts w:ascii="微软雅黑" w:eastAsia="微软雅黑" w:hAnsi="微软雅黑" w:cs="微软雅黑" w:hint="eastAsia"/>
                <w:color w:val="000000"/>
                <w:sz w:val="20"/>
                <w:szCs w:val="20"/>
              </w:rPr>
            </w:pPr>
            <w:r>
              <w:rPr>
                <w:rFonts w:ascii="微软雅黑" w:eastAsia="微软雅黑" w:hAnsi="微软雅黑" w:cs="微软雅黑" w:hint="eastAsia"/>
                <w:color w:val="000000"/>
                <w:sz w:val="20"/>
                <w:szCs w:val="20"/>
              </w:rPr>
              <w:t>本项目报价下浮率高于5% （不含本身）的需附成本分析报告。成本分析报告需充分说明费用的组成、降低成本的合理措施及在其他项目中应用过的经验等，未提供成本分析报告视为原则性不响应招标文件要求，作否决投标处理。</w:t>
            </w:r>
          </w:p>
        </w:tc>
      </w:tr>
    </w:tbl>
    <w:p w14:paraId="7D925504" w14:textId="77777777" w:rsidR="00A4256F" w:rsidRDefault="00A4256F">
      <w:pPr>
        <w:spacing w:line="360" w:lineRule="auto"/>
        <w:rPr>
          <w:rFonts w:asciiTheme="minorEastAsia" w:eastAsiaTheme="minorEastAsia" w:hAnsiTheme="minorEastAsia" w:cstheme="minorEastAsia" w:hint="eastAsia"/>
          <w:color w:val="000000"/>
          <w:sz w:val="24"/>
        </w:rPr>
      </w:pPr>
    </w:p>
    <w:sectPr w:rsidR="00A4256F">
      <w:pgSz w:w="11906" w:h="16838"/>
      <w:pgMar w:top="1440" w:right="1800" w:bottom="1440" w:left="1800"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12C290B"/>
    <w:multiLevelType w:val="singleLevel"/>
    <w:tmpl w:val="D12C290B"/>
    <w:lvl w:ilvl="0">
      <w:start w:val="1"/>
      <w:numFmt w:val="decimal"/>
      <w:pStyle w:val="1"/>
      <w:lvlText w:val="%1."/>
      <w:lvlJc w:val="left"/>
      <w:pPr>
        <w:ind w:left="425" w:hanging="425"/>
      </w:pPr>
      <w:rPr>
        <w:rFonts w:hint="default"/>
      </w:rPr>
    </w:lvl>
  </w:abstractNum>
  <w:abstractNum w:abstractNumId="1" w15:restartNumberingAfterBreak="0">
    <w:nsid w:val="5E537055"/>
    <w:multiLevelType w:val="singleLevel"/>
    <w:tmpl w:val="5E537055"/>
    <w:lvl w:ilvl="0">
      <w:start w:val="1"/>
      <w:numFmt w:val="decimal"/>
      <w:lvlText w:val="%1."/>
      <w:lvlJc w:val="left"/>
      <w:pPr>
        <w:ind w:left="425" w:hanging="425"/>
      </w:pPr>
      <w:rPr>
        <w:rFonts w:hint="default"/>
      </w:rPr>
    </w:lvl>
  </w:abstractNum>
  <w:num w:numId="1" w16cid:durableId="1791704728">
    <w:abstractNumId w:val="0"/>
  </w:num>
  <w:num w:numId="2" w16cid:durableId="503126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GEwOGRmOGExYzk1YmViOTkzZmNhNDJlZDE5NzRhMzQifQ=="/>
  </w:docVars>
  <w:rsids>
    <w:rsidRoot w:val="56112EA9"/>
    <w:rsid w:val="0000270B"/>
    <w:rsid w:val="00040023"/>
    <w:rsid w:val="00063188"/>
    <w:rsid w:val="00072471"/>
    <w:rsid w:val="000B652E"/>
    <w:rsid w:val="000C1A6F"/>
    <w:rsid w:val="00113C97"/>
    <w:rsid w:val="00156123"/>
    <w:rsid w:val="0018128B"/>
    <w:rsid w:val="001D7134"/>
    <w:rsid w:val="002167BF"/>
    <w:rsid w:val="00265B88"/>
    <w:rsid w:val="002B69BC"/>
    <w:rsid w:val="002D207B"/>
    <w:rsid w:val="003E0E7E"/>
    <w:rsid w:val="003E2B1B"/>
    <w:rsid w:val="004249C6"/>
    <w:rsid w:val="0045760C"/>
    <w:rsid w:val="004D6A0E"/>
    <w:rsid w:val="006444FE"/>
    <w:rsid w:val="00695983"/>
    <w:rsid w:val="006D47D2"/>
    <w:rsid w:val="00796FA4"/>
    <w:rsid w:val="007B0D5A"/>
    <w:rsid w:val="007B6A1A"/>
    <w:rsid w:val="008318A5"/>
    <w:rsid w:val="008F319A"/>
    <w:rsid w:val="00920102"/>
    <w:rsid w:val="009C2EA5"/>
    <w:rsid w:val="00A20B78"/>
    <w:rsid w:val="00A4256F"/>
    <w:rsid w:val="00B11CE9"/>
    <w:rsid w:val="00B666BF"/>
    <w:rsid w:val="00B66E81"/>
    <w:rsid w:val="00BB5042"/>
    <w:rsid w:val="00D65EB0"/>
    <w:rsid w:val="00DA0CC7"/>
    <w:rsid w:val="00DE1858"/>
    <w:rsid w:val="00E469BB"/>
    <w:rsid w:val="00E82FB1"/>
    <w:rsid w:val="00EF3934"/>
    <w:rsid w:val="00F54233"/>
    <w:rsid w:val="00F664EB"/>
    <w:rsid w:val="00F70D2D"/>
    <w:rsid w:val="00F86AF1"/>
    <w:rsid w:val="00FA06B1"/>
    <w:rsid w:val="00FF6FAF"/>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B664A"/>
    <w:rsid w:val="0DDE0C6E"/>
    <w:rsid w:val="0DE44AB1"/>
    <w:rsid w:val="0F573D98"/>
    <w:rsid w:val="0FBF064C"/>
    <w:rsid w:val="10011F66"/>
    <w:rsid w:val="10972384"/>
    <w:rsid w:val="110F2EEB"/>
    <w:rsid w:val="11402C86"/>
    <w:rsid w:val="11950633"/>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ECA397E"/>
    <w:rsid w:val="1FBD1E67"/>
    <w:rsid w:val="1FD46916"/>
    <w:rsid w:val="20D855DF"/>
    <w:rsid w:val="21783778"/>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9774DB"/>
    <w:rsid w:val="2DAC4578"/>
    <w:rsid w:val="2DB36870"/>
    <w:rsid w:val="2DEA6350"/>
    <w:rsid w:val="2E260032"/>
    <w:rsid w:val="2E380045"/>
    <w:rsid w:val="2E743CC0"/>
    <w:rsid w:val="2EFA1D2E"/>
    <w:rsid w:val="2F2E6BFF"/>
    <w:rsid w:val="2FC241F2"/>
    <w:rsid w:val="2FEF2882"/>
    <w:rsid w:val="30045C2F"/>
    <w:rsid w:val="308129DD"/>
    <w:rsid w:val="30DF2B6C"/>
    <w:rsid w:val="313E1E7A"/>
    <w:rsid w:val="31AC4E73"/>
    <w:rsid w:val="330E4E8B"/>
    <w:rsid w:val="33161353"/>
    <w:rsid w:val="334E3954"/>
    <w:rsid w:val="335E270E"/>
    <w:rsid w:val="34255CC8"/>
    <w:rsid w:val="35023A98"/>
    <w:rsid w:val="358A1AD4"/>
    <w:rsid w:val="358B06A1"/>
    <w:rsid w:val="35E41FA9"/>
    <w:rsid w:val="360B40D3"/>
    <w:rsid w:val="365574C6"/>
    <w:rsid w:val="3661221B"/>
    <w:rsid w:val="379963C7"/>
    <w:rsid w:val="37A433E0"/>
    <w:rsid w:val="37AE0477"/>
    <w:rsid w:val="38004B22"/>
    <w:rsid w:val="38BE6922"/>
    <w:rsid w:val="39140E3A"/>
    <w:rsid w:val="398C2739"/>
    <w:rsid w:val="39E974DB"/>
    <w:rsid w:val="3C3045D4"/>
    <w:rsid w:val="3C4C5078"/>
    <w:rsid w:val="3DC862F7"/>
    <w:rsid w:val="3DDE3626"/>
    <w:rsid w:val="3E28408B"/>
    <w:rsid w:val="401C5798"/>
    <w:rsid w:val="40794199"/>
    <w:rsid w:val="408A19B3"/>
    <w:rsid w:val="40CF0453"/>
    <w:rsid w:val="40E16D7E"/>
    <w:rsid w:val="40F005A0"/>
    <w:rsid w:val="40F0643B"/>
    <w:rsid w:val="41414714"/>
    <w:rsid w:val="419C13AE"/>
    <w:rsid w:val="41A73FEA"/>
    <w:rsid w:val="41B40E40"/>
    <w:rsid w:val="424D6740"/>
    <w:rsid w:val="425C406C"/>
    <w:rsid w:val="42DF02D2"/>
    <w:rsid w:val="43D1165A"/>
    <w:rsid w:val="44C917FC"/>
    <w:rsid w:val="455D70B3"/>
    <w:rsid w:val="45AD67D6"/>
    <w:rsid w:val="45CF1EF0"/>
    <w:rsid w:val="45E20A8C"/>
    <w:rsid w:val="469E66E7"/>
    <w:rsid w:val="46A71AFC"/>
    <w:rsid w:val="47097B32"/>
    <w:rsid w:val="47382C50"/>
    <w:rsid w:val="473A0E5B"/>
    <w:rsid w:val="476617B8"/>
    <w:rsid w:val="47A74B50"/>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197C6D"/>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423E56"/>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07069B"/>
    <w:rsid w:val="68AC152E"/>
    <w:rsid w:val="68C83A2C"/>
    <w:rsid w:val="695323C7"/>
    <w:rsid w:val="69DF4A2B"/>
    <w:rsid w:val="69EA7D86"/>
    <w:rsid w:val="6B023115"/>
    <w:rsid w:val="6D401C96"/>
    <w:rsid w:val="6D7E7A20"/>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3D7A07"/>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AC76E"/>
  <w15:docId w15:val="{738BFCDC-9AF6-43E6-9048-E423A72EE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0">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tabs>
        <w:tab w:val="left" w:pos="720"/>
      </w:tabs>
      <w:adjustRightInd w:val="0"/>
      <w:spacing w:line="320" w:lineRule="atLeast"/>
      <w:ind w:left="720" w:hanging="720"/>
      <w:outlineLvl w:val="1"/>
    </w:pPr>
    <w:rPr>
      <w:rFonts w:ascii="黑体" w:eastAsia="黑体" w:hAnsi="Arial" w:cs="宋体"/>
      <w:kern w:val="0"/>
      <w:sz w:val="28"/>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4"/>
    <w:next w:val="a4"/>
    <w:uiPriority w:val="99"/>
    <w:unhideWhenUsed/>
    <w:qFormat/>
    <w:pPr>
      <w:spacing w:after="120"/>
    </w:pPr>
  </w:style>
  <w:style w:type="paragraph" w:styleId="a4">
    <w:name w:val="Title"/>
    <w:basedOn w:val="a"/>
    <w:next w:val="a"/>
    <w:qFormat/>
    <w:pPr>
      <w:spacing w:before="240" w:after="60"/>
      <w:jc w:val="center"/>
      <w:outlineLvl w:val="0"/>
    </w:pPr>
    <w:rPr>
      <w:rFonts w:ascii="Cambria" w:hAnsi="Cambria"/>
      <w:b/>
      <w:bCs/>
      <w:sz w:val="32"/>
      <w:szCs w:val="32"/>
    </w:rPr>
  </w:style>
  <w:style w:type="paragraph" w:styleId="a5">
    <w:name w:val="annotation text"/>
    <w:basedOn w:val="a"/>
    <w:qFormat/>
    <w:pPr>
      <w:jc w:val="left"/>
    </w:pPr>
  </w:style>
  <w:style w:type="paragraph" w:styleId="a6">
    <w:name w:val="Plain Text"/>
    <w:basedOn w:val="a"/>
    <w:qFormat/>
    <w:rPr>
      <w:rFonts w:ascii="宋体" w:hAnsi="Courier New" w:cs="Courier New"/>
      <w:szCs w:val="21"/>
    </w:rPr>
  </w:style>
  <w:style w:type="paragraph" w:styleId="a7">
    <w:name w:val="Balloon Text"/>
    <w:basedOn w:val="a"/>
    <w:link w:val="a8"/>
    <w:qFormat/>
    <w:rPr>
      <w:sz w:val="18"/>
      <w:szCs w:val="18"/>
    </w:rPr>
  </w:style>
  <w:style w:type="paragraph" w:styleId="a9">
    <w:name w:val="footer"/>
    <w:basedOn w:val="a"/>
    <w:qFormat/>
    <w:pPr>
      <w:tabs>
        <w:tab w:val="center" w:pos="4153"/>
        <w:tab w:val="right" w:pos="8306"/>
      </w:tabs>
      <w:snapToGrid w:val="0"/>
      <w:jc w:val="left"/>
    </w:pPr>
    <w:rPr>
      <w:sz w:val="18"/>
    </w:rPr>
  </w:style>
  <w:style w:type="paragraph" w:styleId="aa">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TOC2">
    <w:name w:val="toc 2"/>
    <w:basedOn w:val="a"/>
    <w:next w:val="a"/>
    <w:uiPriority w:val="39"/>
    <w:qFormat/>
    <w:pPr>
      <w:tabs>
        <w:tab w:val="right" w:leader="dot" w:pos="8302"/>
      </w:tabs>
      <w:snapToGrid w:val="0"/>
      <w:spacing w:line="360" w:lineRule="auto"/>
      <w:ind w:left="525" w:hanging="4"/>
    </w:pPr>
    <w:rPr>
      <w:sz w:val="24"/>
      <w:szCs w:val="20"/>
    </w:rPr>
  </w:style>
  <w:style w:type="paragraph" w:styleId="ab">
    <w:name w:val="Normal (Web)"/>
    <w:basedOn w:val="a"/>
    <w:uiPriority w:val="99"/>
    <w:unhideWhenUsed/>
    <w:qFormat/>
    <w:pPr>
      <w:spacing w:beforeAutospacing="1" w:afterAutospacing="1"/>
      <w:jc w:val="left"/>
    </w:pPr>
    <w:rPr>
      <w:kern w:val="0"/>
      <w:sz w:val="24"/>
    </w:rPr>
  </w:style>
  <w:style w:type="table" w:styleId="a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qFormat/>
  </w:style>
  <w:style w:type="paragraph" w:customStyle="1" w:styleId="1">
    <w:name w:val="标题1"/>
    <w:basedOn w:val="2"/>
    <w:next w:val="a"/>
    <w:qFormat/>
    <w:pPr>
      <w:numPr>
        <w:numId w:val="1"/>
      </w:numPr>
    </w:pPr>
    <w:rPr>
      <w:rFonts w:hAnsi="黑体"/>
    </w:rPr>
  </w:style>
  <w:style w:type="paragraph" w:customStyle="1" w:styleId="ae">
    <w:name w:val="首页项目名称"/>
    <w:link w:val="Char"/>
    <w:qFormat/>
    <w:pPr>
      <w:jc w:val="center"/>
    </w:pPr>
    <w:rPr>
      <w:rFonts w:eastAsia="隶书"/>
      <w:sz w:val="52"/>
    </w:rPr>
  </w:style>
  <w:style w:type="paragraph" w:customStyle="1" w:styleId="af">
    <w:name w:val="首页日期"/>
    <w:basedOn w:val="a"/>
    <w:link w:val="Char0"/>
    <w:qFormat/>
    <w:pPr>
      <w:jc w:val="center"/>
    </w:pPr>
    <w:rPr>
      <w:rFonts w:eastAsia="楷体"/>
      <w:sz w:val="32"/>
    </w:rPr>
  </w:style>
  <w:style w:type="character" w:customStyle="1" w:styleId="Char">
    <w:name w:val="首页项目名称 Char"/>
    <w:link w:val="ae"/>
    <w:qFormat/>
    <w:rPr>
      <w:rFonts w:ascii="Times New Roman" w:eastAsia="隶书" w:hAnsi="Times New Roman"/>
      <w:sz w:val="52"/>
    </w:rPr>
  </w:style>
  <w:style w:type="character" w:customStyle="1" w:styleId="Char0">
    <w:name w:val="首页日期 Char"/>
    <w:link w:val="af"/>
    <w:qFormat/>
    <w:rPr>
      <w:rFonts w:ascii="Times New Roman" w:eastAsia="楷体" w:hAnsi="Times New Roman"/>
      <w:sz w:val="32"/>
    </w:rPr>
  </w:style>
  <w:style w:type="paragraph" w:customStyle="1" w:styleId="af0">
    <w:name w:val="一标题"/>
    <w:link w:val="Char1"/>
    <w:qFormat/>
    <w:pPr>
      <w:spacing w:beforeLines="100" w:before="100" w:line="360" w:lineRule="auto"/>
    </w:pPr>
    <w:rPr>
      <w:rFonts w:ascii="宋体" w:hAnsi="宋体"/>
      <w:b/>
      <w:sz w:val="24"/>
    </w:rPr>
  </w:style>
  <w:style w:type="character" w:customStyle="1" w:styleId="Char1">
    <w:name w:val="一标题 Char"/>
    <w:link w:val="af0"/>
    <w:qFormat/>
    <w:rPr>
      <w:rFonts w:ascii="宋体" w:eastAsia="宋体" w:hAnsi="宋体" w:cs="Times New Roman"/>
      <w:b/>
      <w:sz w:val="24"/>
    </w:rPr>
  </w:style>
  <w:style w:type="paragraph" w:customStyle="1" w:styleId="Style0">
    <w:name w:val="_Style 0"/>
    <w:qFormat/>
    <w:pPr>
      <w:widowControl w:val="0"/>
      <w:jc w:val="both"/>
    </w:pPr>
    <w:rPr>
      <w:kern w:val="2"/>
      <w:sz w:val="21"/>
      <w:szCs w:val="24"/>
    </w:rPr>
  </w:style>
  <w:style w:type="character" w:customStyle="1" w:styleId="font21">
    <w:name w:val="font21"/>
    <w:basedOn w:val="a1"/>
    <w:qFormat/>
    <w:rPr>
      <w:rFonts w:ascii="微软雅黑" w:eastAsia="微软雅黑" w:hAnsi="微软雅黑" w:cs="微软雅黑" w:hint="eastAsia"/>
      <w:color w:val="000000"/>
      <w:sz w:val="20"/>
      <w:szCs w:val="20"/>
      <w:u w:val="none"/>
    </w:rPr>
  </w:style>
  <w:style w:type="character" w:customStyle="1" w:styleId="font31">
    <w:name w:val="font31"/>
    <w:basedOn w:val="a1"/>
    <w:qFormat/>
    <w:rPr>
      <w:rFonts w:ascii="微软雅黑" w:eastAsia="微软雅黑" w:hAnsi="微软雅黑" w:cs="微软雅黑" w:hint="eastAsia"/>
      <w:b/>
      <w:bCs/>
      <w:color w:val="FF0000"/>
      <w:sz w:val="20"/>
      <w:szCs w:val="20"/>
      <w:u w:val="none"/>
    </w:rPr>
  </w:style>
  <w:style w:type="character" w:customStyle="1" w:styleId="font41">
    <w:name w:val="font41"/>
    <w:basedOn w:val="a1"/>
    <w:qFormat/>
    <w:rPr>
      <w:rFonts w:ascii="微软雅黑" w:eastAsia="微软雅黑" w:hAnsi="微软雅黑" w:cs="微软雅黑" w:hint="eastAsia"/>
      <w:b/>
      <w:bCs/>
      <w:color w:val="000000"/>
      <w:sz w:val="20"/>
      <w:szCs w:val="20"/>
      <w:u w:val="none"/>
    </w:rPr>
  </w:style>
  <w:style w:type="character" w:customStyle="1" w:styleId="a8">
    <w:name w:val="批注框文本 字符"/>
    <w:basedOn w:val="a1"/>
    <w:link w:val="a7"/>
    <w:qFormat/>
    <w:rPr>
      <w:kern w:val="2"/>
      <w:sz w:val="18"/>
      <w:szCs w:val="18"/>
    </w:rPr>
  </w:style>
  <w:style w:type="paragraph" w:styleId="af1">
    <w:name w:val="List Paragraph"/>
    <w:basedOn w:val="a"/>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925</Words>
  <Characters>935</Characters>
  <Application>Microsoft Office Word</Application>
  <DocSecurity>0</DocSecurity>
  <Lines>49</Lines>
  <Paragraphs>44</Paragraphs>
  <ScaleCrop>false</ScaleCrop>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shenpeiyi</dc:creator>
  <cp:lastModifiedBy>c17111</cp:lastModifiedBy>
  <cp:revision>17</cp:revision>
  <dcterms:created xsi:type="dcterms:W3CDTF">2024-03-20T05:13:00Z</dcterms:created>
  <dcterms:modified xsi:type="dcterms:W3CDTF">2025-08-20T08:39:00Z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C2508E4775C14C5DA8DF9D68F7E51353_13</vt:lpwstr>
  </property>
  <property fmtid="{D5CDD505-2E9C-101B-9397-08002B2CF9AE}" pid="4" name="KSOTemplateDocerSaveRecord">
    <vt:lpwstr>eyJoZGlkIjoiMGEwOGRmOGExYzk1YmViOTkzZmNhNDJlZDE5NzRhMzQiLCJ1c2VySWQiOiIzMjEzNTk0MTMifQ==</vt:lpwstr>
  </property>
</Properties>
</file>