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kern w:val="0"/>
          <w:sz w:val="52"/>
          <w:szCs w:val="52"/>
          <w:lang w:val="en-US" w:eastAsia="zh-CN" w:bidi="ar-SA"/>
        </w:rPr>
      </w:pPr>
    </w:p>
    <w:p>
      <w:pPr>
        <w:jc w:val="center"/>
        <w:rPr>
          <w:rFonts w:hint="eastAsia" w:ascii="黑体" w:hAnsi="黑体" w:eastAsia="黑体" w:cs="黑体"/>
          <w:kern w:val="0"/>
          <w:sz w:val="52"/>
          <w:szCs w:val="52"/>
          <w:lang w:val="en-US" w:eastAsia="zh-CN" w:bidi="ar-SA"/>
        </w:rPr>
      </w:pPr>
    </w:p>
    <w:p>
      <w:pPr>
        <w:jc w:val="center"/>
        <w:rPr>
          <w:rFonts w:hint="eastAsia" w:ascii="黑体" w:hAnsi="黑体" w:eastAsia="黑体" w:cs="黑体"/>
          <w:kern w:val="0"/>
          <w:sz w:val="52"/>
          <w:szCs w:val="52"/>
          <w:lang w:val="en-US" w:eastAsia="zh-CN" w:bidi="ar-SA"/>
        </w:rPr>
      </w:pPr>
    </w:p>
    <w:p>
      <w:pPr>
        <w:jc w:val="center"/>
        <w:rPr>
          <w:rFonts w:hint="eastAsia" w:ascii="黑体" w:hAnsi="黑体" w:eastAsia="黑体" w:cs="黑体"/>
          <w:kern w:val="0"/>
          <w:sz w:val="52"/>
          <w:szCs w:val="52"/>
          <w:lang w:val="en-US" w:eastAsia="zh-CN" w:bidi="ar-SA"/>
        </w:rPr>
      </w:pPr>
    </w:p>
    <w:p>
      <w:pPr>
        <w:jc w:val="center"/>
        <w:rPr>
          <w:rFonts w:hint="eastAsia" w:ascii="黑体" w:hAnsi="黑体" w:eastAsia="黑体" w:cs="黑体"/>
          <w:kern w:val="0"/>
          <w:sz w:val="52"/>
          <w:szCs w:val="52"/>
          <w:lang w:val="en-US" w:eastAsia="zh-CN" w:bidi="ar-SA"/>
        </w:rPr>
      </w:pPr>
      <w:r>
        <w:rPr>
          <w:rFonts w:hint="eastAsia" w:ascii="黑体" w:hAnsi="黑体" w:eastAsia="黑体" w:cs="黑体"/>
          <w:kern w:val="0"/>
          <w:sz w:val="52"/>
          <w:szCs w:val="52"/>
          <w:lang w:val="en-US" w:eastAsia="zh-CN" w:bidi="ar-SA"/>
        </w:rPr>
        <w:t>配电开关柜二次核相插孔校验装置项目物资采购技术要求</w:t>
      </w:r>
    </w:p>
    <w:p>
      <w:pPr>
        <w:pStyle w:val="2"/>
        <w:outlineLvl w:val="9"/>
        <w:rPr>
          <w:rFonts w:hint="eastAsia" w:ascii="黑体" w:hAnsi="黑体" w:eastAsia="黑体" w:cs="黑体"/>
          <w:kern w:val="0"/>
          <w:sz w:val="52"/>
          <w:szCs w:val="52"/>
          <w:lang w:val="en-US" w:eastAsia="zh-CN" w:bidi="ar-SA"/>
        </w:rPr>
      </w:pPr>
    </w:p>
    <w:p>
      <w:pPr>
        <w:pStyle w:val="3"/>
        <w:outlineLvl w:val="9"/>
        <w:rPr>
          <w:rFonts w:hint="eastAsia" w:ascii="黑体" w:hAnsi="黑体" w:eastAsia="黑体" w:cs="黑体"/>
          <w:kern w:val="0"/>
          <w:sz w:val="52"/>
          <w:szCs w:val="52"/>
          <w:lang w:val="en-US" w:eastAsia="zh-CN" w:bidi="ar-SA"/>
        </w:rPr>
      </w:pPr>
    </w:p>
    <w:p>
      <w:pPr>
        <w:rPr>
          <w:rFonts w:hint="eastAsia" w:ascii="黑体" w:hAnsi="黑体" w:eastAsia="黑体" w:cs="黑体"/>
          <w:kern w:val="0"/>
          <w:sz w:val="52"/>
          <w:szCs w:val="52"/>
          <w:lang w:val="en-US" w:eastAsia="zh-CN" w:bidi="ar-SA"/>
        </w:rPr>
      </w:pPr>
    </w:p>
    <w:p>
      <w:pPr>
        <w:pStyle w:val="2"/>
        <w:outlineLvl w:val="9"/>
        <w:rPr>
          <w:rFonts w:hint="eastAsia" w:ascii="黑体" w:hAnsi="黑体" w:eastAsia="黑体" w:cs="黑体"/>
          <w:kern w:val="0"/>
          <w:sz w:val="52"/>
          <w:szCs w:val="52"/>
          <w:lang w:val="en-US" w:eastAsia="zh-CN" w:bidi="ar-SA"/>
        </w:rPr>
      </w:pPr>
    </w:p>
    <w:p>
      <w:pPr>
        <w:pStyle w:val="3"/>
        <w:outlineLvl w:val="9"/>
        <w:rPr>
          <w:rFonts w:hint="eastAsia" w:ascii="黑体" w:hAnsi="黑体" w:eastAsia="黑体" w:cs="黑体"/>
          <w:kern w:val="0"/>
          <w:sz w:val="52"/>
          <w:szCs w:val="52"/>
          <w:lang w:val="en-US" w:eastAsia="zh-CN" w:bidi="ar-SA"/>
        </w:rPr>
      </w:pPr>
    </w:p>
    <w:p>
      <w:pPr>
        <w:rPr>
          <w:rFonts w:hint="eastAsia" w:ascii="黑体" w:hAnsi="黑体" w:eastAsia="黑体" w:cs="黑体"/>
          <w:kern w:val="0"/>
          <w:sz w:val="52"/>
          <w:szCs w:val="52"/>
          <w:lang w:val="en-US" w:eastAsia="zh-CN" w:bidi="ar-SA"/>
        </w:rPr>
      </w:pPr>
    </w:p>
    <w:p>
      <w:pPr>
        <w:spacing w:line="480" w:lineRule="auto"/>
        <w:jc w:val="center"/>
        <w:outlineLvl w:val="0"/>
        <w:rPr>
          <w:rStyle w:val="9"/>
          <w:rFonts w:hint="eastAsia" w:ascii="黑体" w:hAnsi="黑体" w:eastAsia="黑体" w:cs="黑体"/>
          <w:kern w:val="2"/>
          <w:szCs w:val="24"/>
          <w:lang w:val="en-US" w:eastAsia="zh-CN"/>
        </w:rPr>
      </w:pPr>
      <w:bookmarkStart w:id="0" w:name="_Toc17721"/>
      <w:r>
        <w:rPr>
          <w:rStyle w:val="9"/>
          <w:rFonts w:hint="eastAsia" w:ascii="黑体" w:hAnsi="黑体" w:eastAsia="黑体" w:cs="黑体"/>
          <w:kern w:val="2"/>
          <w:szCs w:val="24"/>
          <w:lang w:val="en-US" w:eastAsia="zh-CN"/>
        </w:rPr>
        <w:t>二〇二五年八月</w:t>
      </w:r>
      <w:bookmarkEnd w:id="0"/>
    </w:p>
    <w:p>
      <w:pPr>
        <w:rPr>
          <w:rFonts w:hint="eastAsia" w:ascii="宋体" w:hAnsi="宋体"/>
          <w:b/>
          <w:sz w:val="32"/>
        </w:rPr>
      </w:pPr>
      <w:bookmarkStart w:id="1" w:name="_Toc266713645"/>
      <w:bookmarkStart w:id="2" w:name="_Toc17586"/>
      <w:bookmarkStart w:id="3" w:name="_Toc19589"/>
      <w:bookmarkStart w:id="4" w:name="_Toc150452272"/>
      <w:bookmarkStart w:id="5" w:name="_Toc32374"/>
      <w:r>
        <w:rPr>
          <w:rFonts w:hint="eastAsia" w:ascii="宋体" w:hAnsi="宋体"/>
          <w:b/>
          <w:sz w:val="32"/>
        </w:rPr>
        <w:br w:type="page"/>
      </w:r>
    </w:p>
    <w:p>
      <w:pPr>
        <w:rPr>
          <w:rFonts w:hint="eastAsia" w:ascii="宋体" w:hAnsi="宋体"/>
          <w:b/>
          <w:sz w:val="32"/>
        </w:rPr>
      </w:pPr>
    </w:p>
    <w:sdt>
      <w:sdtPr>
        <w:rPr>
          <w:rFonts w:ascii="宋体" w:hAnsi="宋体" w:eastAsia="宋体" w:cstheme="minorBidi"/>
          <w:kern w:val="2"/>
          <w:sz w:val="21"/>
          <w:szCs w:val="24"/>
          <w:lang w:val="en-US" w:eastAsia="zh-CN" w:bidi="ar-SA"/>
        </w:rPr>
        <w:id w:val="147455733"/>
        <w15:color w:val="DBDBDB"/>
        <w:docPartObj>
          <w:docPartGallery w:val="Table of Contents"/>
          <w:docPartUnique/>
        </w:docPartObj>
      </w:sdtPr>
      <w:sdtEndPr>
        <w:rPr>
          <w:rFonts w:hint="eastAsia" w:ascii="仿宋_GB2312" w:hAnsi="仿宋_GB2312" w:eastAsia="仿宋_GB2312" w:cs="Arial"/>
          <w:b/>
          <w:bCs/>
          <w:kern w:val="2"/>
          <w:sz w:val="32"/>
          <w:szCs w:val="20"/>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1"/>
            <w:tabs>
              <w:tab w:val="right" w:leader="dot" w:pos="8306"/>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_Toc12187 </w:instrText>
          </w:r>
          <w:r>
            <w:rPr>
              <w:rFonts w:hint="eastAsia"/>
            </w:rPr>
            <w:fldChar w:fldCharType="separate"/>
          </w:r>
          <w:r>
            <w:rPr>
              <w:rFonts w:hint="eastAsia" w:ascii="宋体" w:hAnsi="宋体"/>
            </w:rPr>
            <w:t>总 则</w:t>
          </w:r>
          <w:r>
            <w:tab/>
          </w:r>
          <w:r>
            <w:fldChar w:fldCharType="begin"/>
          </w:r>
          <w:r>
            <w:instrText xml:space="preserve"> PAGEREF _Toc12187 \h </w:instrText>
          </w:r>
          <w:r>
            <w:fldChar w:fldCharType="separate"/>
          </w:r>
          <w:r>
            <w:t>3</w:t>
          </w:r>
          <w:r>
            <w:fldChar w:fldCharType="end"/>
          </w:r>
          <w:r>
            <w:rPr>
              <w:rFonts w:hint="eastAsia"/>
            </w:rPr>
            <w:fldChar w:fldCharType="end"/>
          </w:r>
        </w:p>
        <w:p>
          <w:pPr>
            <w:pStyle w:val="11"/>
            <w:tabs>
              <w:tab w:val="right" w:leader="dot" w:pos="8306"/>
            </w:tabs>
          </w:pPr>
          <w:r>
            <w:rPr>
              <w:rFonts w:hint="eastAsia"/>
            </w:rPr>
            <w:fldChar w:fldCharType="begin"/>
          </w:r>
          <w:r>
            <w:rPr>
              <w:rFonts w:hint="eastAsia"/>
            </w:rPr>
            <w:instrText xml:space="preserve"> HYPERLINK \l _Toc2053 </w:instrText>
          </w:r>
          <w:r>
            <w:rPr>
              <w:rFonts w:hint="eastAsia"/>
            </w:rPr>
            <w:fldChar w:fldCharType="separate"/>
          </w:r>
          <w:r>
            <w:rPr>
              <w:rFonts w:hint="eastAsia" w:ascii="黑体" w:hAnsi="黑体" w:eastAsia="黑体" w:cs="黑体"/>
              <w:szCs w:val="28"/>
            </w:rPr>
            <w:t>1  标的概况</w:t>
          </w:r>
          <w:r>
            <w:tab/>
          </w:r>
          <w:r>
            <w:fldChar w:fldCharType="begin"/>
          </w:r>
          <w:r>
            <w:instrText xml:space="preserve"> PAGEREF _Toc2053 \h </w:instrText>
          </w:r>
          <w:r>
            <w:fldChar w:fldCharType="separate"/>
          </w:r>
          <w:r>
            <w:t>4</w:t>
          </w:r>
          <w:r>
            <w:fldChar w:fldCharType="end"/>
          </w:r>
          <w:r>
            <w:rPr>
              <w:rFonts w:hint="eastAsia"/>
            </w:rPr>
            <w:fldChar w:fldCharType="end"/>
          </w:r>
        </w:p>
        <w:p>
          <w:pPr>
            <w:pStyle w:val="11"/>
            <w:tabs>
              <w:tab w:val="right" w:leader="dot" w:pos="8306"/>
            </w:tabs>
          </w:pPr>
          <w:r>
            <w:rPr>
              <w:rFonts w:hint="eastAsia"/>
            </w:rPr>
            <w:fldChar w:fldCharType="begin"/>
          </w:r>
          <w:r>
            <w:rPr>
              <w:rFonts w:hint="eastAsia"/>
            </w:rPr>
            <w:instrText xml:space="preserve"> HYPERLINK \l _Toc19396 </w:instrText>
          </w:r>
          <w:r>
            <w:rPr>
              <w:rFonts w:hint="eastAsia"/>
            </w:rPr>
            <w:fldChar w:fldCharType="separate"/>
          </w:r>
          <w:r>
            <w:rPr>
              <w:rFonts w:hint="eastAsia" w:ascii="黑体" w:hAnsi="黑体" w:eastAsia="黑体" w:cs="黑体"/>
              <w:szCs w:val="28"/>
            </w:rPr>
            <w:t xml:space="preserve">2  </w:t>
          </w:r>
          <w:r>
            <w:rPr>
              <w:rFonts w:hint="eastAsia" w:ascii="黑体" w:hAnsi="黑体" w:eastAsia="黑体" w:cs="黑体"/>
              <w:szCs w:val="28"/>
              <w:lang w:val="en-US" w:eastAsia="zh-CN"/>
            </w:rPr>
            <w:t>采购物资清单</w:t>
          </w:r>
          <w:r>
            <w:tab/>
          </w:r>
          <w:r>
            <w:fldChar w:fldCharType="begin"/>
          </w:r>
          <w:r>
            <w:instrText xml:space="preserve"> PAGEREF _Toc19396 \h </w:instrText>
          </w:r>
          <w:r>
            <w:fldChar w:fldCharType="separate"/>
          </w:r>
          <w:r>
            <w:t>4</w:t>
          </w:r>
          <w:r>
            <w:fldChar w:fldCharType="end"/>
          </w:r>
          <w:r>
            <w:rPr>
              <w:rFonts w:hint="eastAsia"/>
            </w:rPr>
            <w:fldChar w:fldCharType="end"/>
          </w:r>
        </w:p>
        <w:p>
          <w:pPr>
            <w:pStyle w:val="11"/>
            <w:tabs>
              <w:tab w:val="right" w:leader="dot" w:pos="8306"/>
            </w:tabs>
          </w:pPr>
          <w:r>
            <w:rPr>
              <w:rFonts w:hint="eastAsia"/>
            </w:rPr>
            <w:fldChar w:fldCharType="begin"/>
          </w:r>
          <w:r>
            <w:rPr>
              <w:rFonts w:hint="eastAsia"/>
            </w:rPr>
            <w:instrText xml:space="preserve"> HYPERLINK \l _Toc7809 </w:instrText>
          </w:r>
          <w:r>
            <w:rPr>
              <w:rFonts w:hint="eastAsia"/>
            </w:rPr>
            <w:fldChar w:fldCharType="separate"/>
          </w:r>
          <w:r>
            <w:rPr>
              <w:rFonts w:hint="eastAsia" w:ascii="黑体" w:hAnsi="黑体" w:eastAsia="黑体" w:cs="黑体"/>
              <w:szCs w:val="28"/>
              <w:lang w:val="en-US" w:eastAsia="zh-CN"/>
            </w:rPr>
            <w:t>3</w:t>
          </w:r>
          <w:r>
            <w:rPr>
              <w:rFonts w:hint="eastAsia" w:ascii="黑体" w:hAnsi="黑体" w:eastAsia="黑体" w:cs="黑体"/>
              <w:szCs w:val="28"/>
            </w:rPr>
            <w:t xml:space="preserve">  </w:t>
          </w:r>
          <w:r>
            <w:rPr>
              <w:rFonts w:hint="eastAsia" w:ascii="黑体" w:hAnsi="黑体" w:eastAsia="黑体" w:cs="黑体"/>
              <w:szCs w:val="28"/>
              <w:lang w:val="en-US" w:eastAsia="zh-CN"/>
            </w:rPr>
            <w:t>供应商资质要求</w:t>
          </w:r>
          <w:r>
            <w:tab/>
          </w:r>
          <w:r>
            <w:fldChar w:fldCharType="begin"/>
          </w:r>
          <w:r>
            <w:instrText xml:space="preserve"> PAGEREF _Toc7809 \h </w:instrText>
          </w:r>
          <w:r>
            <w:fldChar w:fldCharType="separate"/>
          </w:r>
          <w:r>
            <w:t>5</w:t>
          </w:r>
          <w:r>
            <w:fldChar w:fldCharType="end"/>
          </w:r>
          <w:r>
            <w:rPr>
              <w:rFonts w:hint="eastAsia"/>
            </w:rPr>
            <w:fldChar w:fldCharType="end"/>
          </w:r>
        </w:p>
        <w:p>
          <w:pPr>
            <w:pStyle w:val="2"/>
            <w:rPr>
              <w:rFonts w:hint="eastAsia"/>
            </w:rPr>
          </w:pPr>
          <w:r>
            <w:rPr>
              <w:rFonts w:hint="eastAsia"/>
            </w:rPr>
            <w:fldChar w:fldCharType="end"/>
          </w:r>
        </w:p>
      </w:sdtContent>
    </w:sdt>
    <w:p>
      <w:pPr>
        <w:rPr>
          <w:rFonts w:hint="eastAsia" w:ascii="宋体" w:hAnsi="宋体"/>
          <w:b/>
          <w:sz w:val="32"/>
        </w:rPr>
      </w:pPr>
      <w:bookmarkStart w:id="6" w:name="_Toc12187"/>
      <w:r>
        <w:rPr>
          <w:rFonts w:hint="eastAsia" w:ascii="宋体" w:hAnsi="宋体"/>
          <w:b/>
          <w:sz w:val="32"/>
        </w:rPr>
        <w:br w:type="page"/>
      </w:r>
    </w:p>
    <w:p>
      <w:pPr>
        <w:spacing w:line="480" w:lineRule="auto"/>
        <w:jc w:val="center"/>
        <w:outlineLvl w:val="0"/>
        <w:rPr>
          <w:rFonts w:ascii="宋体" w:hAnsi="宋体"/>
          <w:b/>
          <w:sz w:val="32"/>
        </w:rPr>
      </w:pPr>
      <w:r>
        <w:rPr>
          <w:rFonts w:hint="eastAsia" w:ascii="宋体" w:hAnsi="宋体"/>
          <w:b/>
          <w:sz w:val="32"/>
        </w:rPr>
        <w:t>总 则</w:t>
      </w:r>
      <w:bookmarkEnd w:id="1"/>
      <w:bookmarkEnd w:id="2"/>
      <w:bookmarkEnd w:id="3"/>
      <w:bookmarkEnd w:id="4"/>
      <w:bookmarkEnd w:id="5"/>
      <w:bookmarkEnd w:id="6"/>
    </w:p>
    <w:p>
      <w:pPr>
        <w:numPr>
          <w:ilvl w:val="0"/>
          <w:numId w:val="1"/>
        </w:numPr>
        <w:spacing w:line="360" w:lineRule="auto"/>
        <w:rPr>
          <w:rFonts w:ascii="宋体" w:hAnsi="宋体"/>
          <w:bCs/>
          <w:sz w:val="24"/>
          <w:highlight w:val="none"/>
        </w:rPr>
      </w:pPr>
      <w:r>
        <w:rPr>
          <w:rFonts w:hint="eastAsia" w:ascii="宋体" w:hAnsi="宋体"/>
          <w:bCs/>
          <w:sz w:val="24"/>
        </w:rPr>
        <w:t>本文</w:t>
      </w:r>
      <w:r>
        <w:rPr>
          <w:rFonts w:hint="eastAsia" w:ascii="宋体" w:hAnsi="宋体"/>
          <w:bCs/>
          <w:sz w:val="24"/>
          <w:highlight w:val="none"/>
        </w:rPr>
        <w:t>件为</w:t>
      </w:r>
      <w:r>
        <w:rPr>
          <w:rFonts w:hint="eastAsia" w:ascii="宋体" w:hAnsi="宋体" w:cs="宋体"/>
          <w:sz w:val="24"/>
          <w:highlight w:val="none"/>
        </w:rPr>
        <w:t>配电开关柜二次核相插孔校验装置</w:t>
      </w:r>
      <w:r>
        <w:rPr>
          <w:rFonts w:hint="eastAsia" w:ascii="宋体" w:hAnsi="宋体"/>
          <w:bCs/>
          <w:sz w:val="24"/>
          <w:highlight w:val="none"/>
          <w:u w:val="single"/>
        </w:rPr>
        <w:t>项目物资采购</w:t>
      </w:r>
      <w:r>
        <w:rPr>
          <w:rFonts w:hint="eastAsia" w:ascii="宋体" w:hAnsi="宋体"/>
          <w:bCs/>
          <w:sz w:val="24"/>
          <w:highlight w:val="none"/>
        </w:rPr>
        <w:t>项目技术招标文件。</w:t>
      </w:r>
    </w:p>
    <w:p>
      <w:pPr>
        <w:numPr>
          <w:ilvl w:val="0"/>
          <w:numId w:val="1"/>
        </w:numPr>
        <w:spacing w:line="360" w:lineRule="auto"/>
        <w:rPr>
          <w:rFonts w:ascii="宋体" w:hAnsi="宋体"/>
          <w:bCs/>
          <w:sz w:val="24"/>
          <w:highlight w:val="none"/>
        </w:rPr>
      </w:pPr>
      <w:r>
        <w:rPr>
          <w:rFonts w:hint="eastAsia" w:ascii="宋体" w:hAnsi="宋体"/>
          <w:bCs/>
          <w:sz w:val="24"/>
          <w:highlight w:val="none"/>
        </w:rPr>
        <w:t>本文件所描述的各</w:t>
      </w:r>
      <w:r>
        <w:rPr>
          <w:rFonts w:hint="eastAsia" w:hAnsi="宋体"/>
          <w:bCs/>
          <w:sz w:val="24"/>
          <w:highlight w:val="none"/>
        </w:rPr>
        <w:t>项技术要求</w:t>
      </w:r>
      <w:r>
        <w:rPr>
          <w:rFonts w:hint="eastAsia" w:ascii="宋体" w:hAnsi="宋体"/>
          <w:bCs/>
          <w:sz w:val="24"/>
          <w:highlight w:val="none"/>
        </w:rPr>
        <w:t>仅供投标方编制投标文件之用。</w:t>
      </w:r>
    </w:p>
    <w:p>
      <w:pPr>
        <w:numPr>
          <w:ilvl w:val="0"/>
          <w:numId w:val="1"/>
        </w:numPr>
        <w:spacing w:line="360" w:lineRule="auto"/>
        <w:rPr>
          <w:rFonts w:ascii="宋体" w:hAnsi="宋体"/>
          <w:bCs/>
          <w:sz w:val="24"/>
          <w:highlight w:val="none"/>
        </w:rPr>
      </w:pPr>
      <w:r>
        <w:rPr>
          <w:rFonts w:hint="eastAsia" w:ascii="宋体" w:hAnsi="宋体"/>
          <w:bCs/>
          <w:sz w:val="24"/>
          <w:highlight w:val="none"/>
        </w:rPr>
        <w:t>本标书仅描述基本的技术需求，并未对一切技术细节做出规定，也未充分引述有关标准和技术条文，投标方应根据需求目标提供进一步具体的可满足要求的</w:t>
      </w:r>
      <w:r>
        <w:rPr>
          <w:rFonts w:hint="eastAsia" w:hAnsi="宋体"/>
          <w:bCs/>
          <w:sz w:val="24"/>
          <w:highlight w:val="none"/>
        </w:rPr>
        <w:t>技术</w:t>
      </w:r>
      <w:r>
        <w:rPr>
          <w:rFonts w:hint="eastAsia" w:ascii="宋体" w:hAnsi="宋体"/>
          <w:bCs/>
          <w:sz w:val="24"/>
          <w:highlight w:val="none"/>
        </w:rPr>
        <w:t>指标。</w:t>
      </w:r>
    </w:p>
    <w:p>
      <w:pPr>
        <w:numPr>
          <w:ilvl w:val="0"/>
          <w:numId w:val="1"/>
        </w:numPr>
        <w:spacing w:line="360" w:lineRule="auto"/>
        <w:rPr>
          <w:rFonts w:ascii="宋体" w:hAnsi="宋体"/>
          <w:bCs/>
          <w:sz w:val="24"/>
          <w:highlight w:val="none"/>
        </w:rPr>
      </w:pPr>
      <w:r>
        <w:rPr>
          <w:rFonts w:hint="eastAsia" w:ascii="宋体" w:hAnsi="宋体"/>
          <w:bCs/>
          <w:sz w:val="24"/>
          <w:highlight w:val="none"/>
        </w:rPr>
        <w:t>投标技术文件要求文字精练、数据准确、表述及图示清晰明确，具有针对性。</w:t>
      </w:r>
    </w:p>
    <w:p>
      <w:pPr>
        <w:numPr>
          <w:ilvl w:val="0"/>
          <w:numId w:val="1"/>
        </w:numPr>
        <w:spacing w:line="360" w:lineRule="auto"/>
        <w:rPr>
          <w:rFonts w:ascii="宋体" w:hAnsi="宋体"/>
          <w:bCs/>
          <w:sz w:val="24"/>
          <w:highlight w:val="none"/>
        </w:rPr>
      </w:pPr>
      <w:r>
        <w:rPr>
          <w:rFonts w:hint="eastAsia" w:ascii="宋体" w:hAnsi="宋体"/>
          <w:bCs/>
          <w:sz w:val="24"/>
          <w:szCs w:val="22"/>
          <w:highlight w:val="none"/>
        </w:rPr>
        <w:t>投标方在投标技术文件中应对本标书逐项予以说明和答复,应如实反映投标</w:t>
      </w:r>
      <w:r>
        <w:rPr>
          <w:rFonts w:hint="eastAsia" w:hAnsi="宋体"/>
          <w:bCs/>
          <w:sz w:val="24"/>
          <w:szCs w:val="22"/>
          <w:highlight w:val="none"/>
        </w:rPr>
        <w:t>服务</w:t>
      </w:r>
      <w:r>
        <w:rPr>
          <w:rFonts w:hint="eastAsia" w:ascii="宋体" w:hAnsi="宋体"/>
          <w:bCs/>
          <w:sz w:val="24"/>
          <w:szCs w:val="22"/>
          <w:highlight w:val="none"/>
        </w:rPr>
        <w:t>与本技术规范书的技术差异。如果投标方没有提出技术差异，而在执行合同的过程中，招标方发现投标方提供的</w:t>
      </w:r>
      <w:r>
        <w:rPr>
          <w:rFonts w:hint="eastAsia" w:hAnsi="宋体"/>
          <w:bCs/>
          <w:sz w:val="24"/>
          <w:szCs w:val="22"/>
          <w:highlight w:val="none"/>
        </w:rPr>
        <w:t>服务</w:t>
      </w:r>
      <w:r>
        <w:rPr>
          <w:rFonts w:hint="eastAsia" w:ascii="宋体" w:hAnsi="宋体"/>
          <w:bCs/>
          <w:sz w:val="24"/>
          <w:szCs w:val="22"/>
          <w:highlight w:val="none"/>
        </w:rPr>
        <w:t>与其投标技术文件的条文存在差异，招标方</w:t>
      </w:r>
      <w:r>
        <w:rPr>
          <w:rFonts w:hint="eastAsia" w:hAnsi="宋体"/>
          <w:bCs/>
          <w:sz w:val="24"/>
          <w:szCs w:val="22"/>
          <w:highlight w:val="none"/>
        </w:rPr>
        <w:t>将</w:t>
      </w:r>
      <w:r>
        <w:rPr>
          <w:rFonts w:hint="eastAsia" w:ascii="宋体" w:hAnsi="宋体"/>
          <w:bCs/>
          <w:sz w:val="24"/>
          <w:szCs w:val="22"/>
          <w:highlight w:val="none"/>
        </w:rPr>
        <w:t>追究投标方违约责任</w:t>
      </w:r>
      <w:r>
        <w:rPr>
          <w:rFonts w:hint="eastAsia" w:ascii="宋体" w:hAnsi="宋体"/>
          <w:bCs/>
          <w:sz w:val="24"/>
          <w:highlight w:val="none"/>
        </w:rPr>
        <w:t>。</w:t>
      </w:r>
    </w:p>
    <w:p>
      <w:pPr>
        <w:numPr>
          <w:ilvl w:val="0"/>
          <w:numId w:val="1"/>
        </w:numPr>
        <w:spacing w:line="360" w:lineRule="auto"/>
        <w:rPr>
          <w:rFonts w:ascii="宋体" w:hAnsi="宋体"/>
          <w:bCs/>
          <w:sz w:val="24"/>
          <w:highlight w:val="none"/>
        </w:rPr>
      </w:pPr>
      <w:r>
        <w:rPr>
          <w:rFonts w:hint="eastAsia" w:ascii="宋体" w:hAnsi="宋体"/>
          <w:bCs/>
          <w:sz w:val="24"/>
          <w:szCs w:val="22"/>
          <w:highlight w:val="none"/>
        </w:rPr>
        <w:t>投标方应在投标技术部分按本技术规范书的要求</w:t>
      </w:r>
      <w:r>
        <w:rPr>
          <w:rFonts w:hint="eastAsia" w:hAnsi="宋体"/>
          <w:bCs/>
          <w:sz w:val="24"/>
          <w:szCs w:val="22"/>
          <w:highlight w:val="none"/>
        </w:rPr>
        <w:t>内容</w:t>
      </w:r>
      <w:r>
        <w:rPr>
          <w:rFonts w:hint="eastAsia" w:ascii="宋体" w:hAnsi="宋体"/>
          <w:bCs/>
          <w:sz w:val="24"/>
          <w:szCs w:val="22"/>
          <w:highlight w:val="none"/>
        </w:rPr>
        <w:t>如实详细填写投标</w:t>
      </w:r>
      <w:r>
        <w:rPr>
          <w:rFonts w:hint="eastAsia" w:hAnsi="宋体"/>
          <w:bCs/>
          <w:sz w:val="24"/>
          <w:szCs w:val="22"/>
          <w:highlight w:val="none"/>
        </w:rPr>
        <w:t>服务</w:t>
      </w:r>
      <w:r>
        <w:rPr>
          <w:rFonts w:hint="eastAsia" w:ascii="宋体" w:hAnsi="宋体"/>
          <w:bCs/>
          <w:sz w:val="24"/>
          <w:szCs w:val="22"/>
          <w:highlight w:val="none"/>
        </w:rPr>
        <w:t>的</w:t>
      </w:r>
      <w:r>
        <w:rPr>
          <w:rFonts w:hint="eastAsia" w:hAnsi="宋体"/>
          <w:bCs/>
          <w:sz w:val="24"/>
          <w:szCs w:val="22"/>
          <w:highlight w:val="none"/>
        </w:rPr>
        <w:t>范围及明细</w:t>
      </w:r>
      <w:r>
        <w:rPr>
          <w:rFonts w:hint="eastAsia" w:ascii="宋体" w:hAnsi="宋体"/>
          <w:bCs/>
          <w:sz w:val="24"/>
          <w:szCs w:val="22"/>
          <w:highlight w:val="none"/>
        </w:rPr>
        <w:t>，并在投标商务部分</w:t>
      </w:r>
      <w:r>
        <w:rPr>
          <w:rFonts w:hint="eastAsia" w:hAnsi="宋体"/>
          <w:bCs/>
          <w:sz w:val="24"/>
          <w:szCs w:val="22"/>
          <w:highlight w:val="none"/>
        </w:rPr>
        <w:t>（或报价部分）</w:t>
      </w:r>
      <w:r>
        <w:rPr>
          <w:rFonts w:hint="eastAsia" w:ascii="宋体" w:hAnsi="宋体"/>
          <w:bCs/>
          <w:sz w:val="24"/>
          <w:szCs w:val="22"/>
          <w:highlight w:val="none"/>
        </w:rPr>
        <w:t>按</w:t>
      </w:r>
      <w:r>
        <w:rPr>
          <w:rFonts w:hint="eastAsia" w:hAnsi="宋体"/>
          <w:bCs/>
          <w:sz w:val="24"/>
          <w:szCs w:val="22"/>
          <w:highlight w:val="none"/>
        </w:rPr>
        <w:t>此范围及明细</w:t>
      </w:r>
      <w:r>
        <w:rPr>
          <w:rFonts w:hint="eastAsia" w:ascii="宋体" w:hAnsi="宋体"/>
          <w:bCs/>
          <w:sz w:val="24"/>
          <w:szCs w:val="22"/>
          <w:highlight w:val="none"/>
        </w:rPr>
        <w:t>进行</w:t>
      </w:r>
      <w:r>
        <w:rPr>
          <w:rFonts w:hint="eastAsia" w:hAnsi="宋体"/>
          <w:bCs/>
          <w:sz w:val="24"/>
          <w:szCs w:val="22"/>
          <w:highlight w:val="none"/>
        </w:rPr>
        <w:t>分项</w:t>
      </w:r>
      <w:r>
        <w:rPr>
          <w:rFonts w:hint="eastAsia" w:ascii="宋体" w:hAnsi="宋体"/>
          <w:bCs/>
          <w:sz w:val="24"/>
          <w:szCs w:val="22"/>
          <w:highlight w:val="none"/>
        </w:rPr>
        <w:t>报价，如发现</w:t>
      </w:r>
      <w:r>
        <w:rPr>
          <w:rFonts w:hint="eastAsia" w:hAnsi="宋体"/>
          <w:bCs/>
          <w:sz w:val="24"/>
          <w:szCs w:val="22"/>
          <w:highlight w:val="none"/>
        </w:rPr>
        <w:t>总报价与分项报价</w:t>
      </w:r>
      <w:r>
        <w:rPr>
          <w:rFonts w:hint="eastAsia" w:ascii="宋体" w:hAnsi="宋体"/>
          <w:bCs/>
          <w:sz w:val="24"/>
          <w:szCs w:val="22"/>
          <w:highlight w:val="none"/>
        </w:rPr>
        <w:t>有矛盾之处，将按有利于招标方的条款执行</w:t>
      </w:r>
      <w:r>
        <w:rPr>
          <w:rFonts w:hint="eastAsia" w:hAnsi="宋体"/>
          <w:bCs/>
          <w:sz w:val="24"/>
          <w:szCs w:val="22"/>
          <w:highlight w:val="none"/>
        </w:rPr>
        <w:t>。</w:t>
      </w:r>
      <w:r>
        <w:rPr>
          <w:rFonts w:hint="eastAsia" w:ascii="宋体" w:hAnsi="宋体"/>
          <w:bCs/>
          <w:sz w:val="24"/>
          <w:szCs w:val="22"/>
          <w:highlight w:val="none"/>
        </w:rPr>
        <w:t xml:space="preserve"> </w:t>
      </w:r>
    </w:p>
    <w:p>
      <w:pPr>
        <w:numPr>
          <w:ilvl w:val="0"/>
          <w:numId w:val="1"/>
        </w:numPr>
        <w:spacing w:line="360" w:lineRule="auto"/>
        <w:rPr>
          <w:rFonts w:ascii="宋体" w:hAnsi="宋体"/>
          <w:bCs/>
          <w:sz w:val="24"/>
          <w:szCs w:val="22"/>
          <w:highlight w:val="none"/>
        </w:rPr>
      </w:pPr>
      <w:r>
        <w:rPr>
          <w:rFonts w:hint="eastAsia" w:ascii="宋体" w:hAnsi="宋体"/>
          <w:bCs/>
          <w:sz w:val="24"/>
          <w:szCs w:val="22"/>
          <w:highlight w:val="none"/>
        </w:rPr>
        <w:t>投标方必须仔细阅读采购文件的全部条款，并作出明确响应。采购文件带“★”号的条款及要求，报价方必须满足，若有一项不满足将否决投标。（综合评估法选用此条）</w:t>
      </w:r>
    </w:p>
    <w:p>
      <w:pPr>
        <w:numPr>
          <w:ilvl w:val="0"/>
          <w:numId w:val="1"/>
        </w:numPr>
        <w:spacing w:line="360" w:lineRule="auto"/>
        <w:rPr>
          <w:rFonts w:ascii="宋体" w:hAnsi="宋体"/>
          <w:bCs/>
          <w:sz w:val="24"/>
          <w:szCs w:val="22"/>
          <w:highlight w:val="none"/>
        </w:rPr>
      </w:pPr>
      <w:r>
        <w:rPr>
          <w:rFonts w:hint="eastAsia" w:ascii="宋体" w:hAnsi="宋体"/>
          <w:bCs/>
          <w:sz w:val="24"/>
          <w:szCs w:val="22"/>
          <w:highlight w:val="none"/>
        </w:rPr>
        <w:t>本技术规范书经买、卖双方确认后作为订货合同的技术附件，与合同正文具有同等的法律效力。</w:t>
      </w:r>
    </w:p>
    <w:p>
      <w:pPr>
        <w:numPr>
          <w:ilvl w:val="0"/>
          <w:numId w:val="1"/>
        </w:numPr>
        <w:spacing w:line="360" w:lineRule="auto"/>
        <w:rPr>
          <w:rFonts w:ascii="宋体" w:hAnsi="宋体"/>
          <w:bCs/>
          <w:sz w:val="24"/>
          <w:szCs w:val="22"/>
          <w:highlight w:val="none"/>
        </w:rPr>
      </w:pPr>
      <w:r>
        <w:rPr>
          <w:rFonts w:hint="eastAsia" w:ascii="宋体" w:hAnsi="宋体"/>
          <w:bCs/>
          <w:sz w:val="24"/>
          <w:szCs w:val="22"/>
          <w:highlight w:val="none"/>
        </w:rPr>
        <w:t>本技术规范书未尽事宜，由买、卖双方协商确定。</w:t>
      </w:r>
    </w:p>
    <w:p>
      <w:pPr>
        <w:numPr>
          <w:ilvl w:val="0"/>
          <w:numId w:val="1"/>
        </w:numPr>
        <w:spacing w:line="360" w:lineRule="auto"/>
        <w:rPr>
          <w:rFonts w:ascii="宋体" w:hAnsi="宋体"/>
          <w:bCs/>
          <w:sz w:val="24"/>
          <w:highlight w:val="none"/>
        </w:rPr>
      </w:pPr>
      <w:r>
        <w:rPr>
          <w:rFonts w:hint="eastAsia" w:ascii="宋体" w:hAnsi="宋体"/>
          <w:bCs/>
          <w:sz w:val="24"/>
          <w:highlight w:val="none"/>
        </w:rPr>
        <w:t>本标书的最终解释权归招标方。</w:t>
      </w:r>
    </w:p>
    <w:p>
      <w:pPr>
        <w:rPr>
          <w:rFonts w:hint="eastAsia"/>
          <w:highlight w:val="none"/>
          <w:lang w:val="en-US" w:eastAsia="zh-CN"/>
        </w:rPr>
      </w:pPr>
      <w:r>
        <w:rPr>
          <w:rFonts w:hint="eastAsia"/>
          <w:highlight w:val="none"/>
          <w:lang w:val="en-US" w:eastAsia="zh-CN"/>
        </w:rPr>
        <w:br w:type="page"/>
      </w:r>
    </w:p>
    <w:p>
      <w:pPr>
        <w:pStyle w:val="8"/>
        <w:spacing w:before="312"/>
        <w:outlineLvl w:val="0"/>
        <w:rPr>
          <w:rFonts w:ascii="黑体" w:hAnsi="黑体" w:eastAsia="黑体" w:cs="黑体"/>
          <w:sz w:val="28"/>
          <w:szCs w:val="28"/>
          <w:highlight w:val="none"/>
        </w:rPr>
      </w:pPr>
      <w:bookmarkStart w:id="7" w:name="_Toc150452273"/>
      <w:bookmarkStart w:id="8" w:name="_Toc2053"/>
      <w:r>
        <w:rPr>
          <w:rFonts w:hint="eastAsia" w:ascii="黑体" w:hAnsi="黑体" w:eastAsia="黑体" w:cs="黑体"/>
          <w:sz w:val="28"/>
          <w:szCs w:val="28"/>
          <w:highlight w:val="none"/>
        </w:rPr>
        <w:t>1  标的概况</w:t>
      </w:r>
      <w:bookmarkEnd w:id="7"/>
      <w:bookmarkEnd w:id="8"/>
    </w:p>
    <w:p>
      <w:pPr>
        <w:spacing w:line="360" w:lineRule="auto"/>
        <w:rPr>
          <w:rFonts w:hint="eastAsia" w:ascii="宋体" w:hAnsi="宋体" w:cs="宋体"/>
          <w:sz w:val="24"/>
          <w:highlight w:val="none"/>
        </w:rPr>
      </w:pPr>
      <w:r>
        <w:rPr>
          <w:rFonts w:hint="eastAsia" w:ascii="宋体" w:hAnsi="宋体" w:cs="宋体"/>
          <w:sz w:val="24"/>
          <w:highlight w:val="none"/>
        </w:rPr>
        <w:t>标的名称：配电开关柜二次核相插孔校验装置项目物资采购</w:t>
      </w:r>
    </w:p>
    <w:p>
      <w:pPr>
        <w:spacing w:line="360" w:lineRule="auto"/>
        <w:rPr>
          <w:rFonts w:hint="eastAsia" w:ascii="宋体" w:hAnsi="宋体" w:cs="宋体"/>
          <w:sz w:val="24"/>
          <w:highlight w:val="none"/>
        </w:rPr>
      </w:pPr>
      <w:r>
        <w:rPr>
          <w:rFonts w:hint="eastAsia" w:ascii="宋体" w:hAnsi="宋体" w:cs="宋体"/>
          <w:sz w:val="24"/>
          <w:highlight w:val="none"/>
        </w:rPr>
        <w:t>实施计划编号：LXCG0300062001881367</w:t>
      </w:r>
    </w:p>
    <w:p>
      <w:pPr>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根据广东电网公司党委《坚持“优东提西、强地带县”促进城乡区域协调发展实施方案》中“分层分级开展实战化、实景化核心能力培训”的基层基础基本技能建设要求，致力打造实战化、实景化的培训场景。</w:t>
      </w:r>
    </w:p>
    <w:p>
      <w:pPr>
        <w:spacing w:line="360" w:lineRule="auto"/>
        <w:ind w:firstLine="480" w:firstLineChars="200"/>
        <w:rPr>
          <w:rFonts w:hint="eastAsia"/>
          <w:sz w:val="24"/>
          <w:highlight w:val="none"/>
        </w:rPr>
      </w:pPr>
      <w:r>
        <w:rPr>
          <w:rFonts w:hint="eastAsia"/>
          <w:sz w:val="24"/>
          <w:highlight w:val="none"/>
          <w:lang w:val="en-US" w:eastAsia="zh-CN"/>
        </w:rPr>
        <w:t>目前在配电专业10kV线路核相核心要素培训中，因实训场地无法将实际电源接入，基本是通过操作讲解的方式进行实操培训，学员通过核相仪对10kV不带电线路进行模拟核相动作训练，无法达到所需的培训效果。</w:t>
      </w:r>
    </w:p>
    <w:p>
      <w:pPr>
        <w:spacing w:line="360" w:lineRule="auto"/>
        <w:ind w:firstLine="480" w:firstLineChars="200"/>
        <w:rPr>
          <w:rFonts w:hint="eastAsia" w:ascii="宋体" w:hAnsi="宋体" w:cs="宋体"/>
          <w:sz w:val="24"/>
          <w:highlight w:val="none"/>
          <w:lang w:val="en-US" w:eastAsia="zh-CN"/>
        </w:rPr>
      </w:pPr>
      <w:bookmarkStart w:id="9" w:name="_Toc150452274"/>
      <w:bookmarkStart w:id="10" w:name="_Toc19396"/>
      <w:r>
        <w:rPr>
          <w:rFonts w:hint="eastAsia" w:ascii="宋体" w:hAnsi="宋体" w:cs="宋体"/>
          <w:sz w:val="24"/>
          <w:highlight w:val="none"/>
          <w:lang w:val="en-US" w:eastAsia="zh-CN"/>
        </w:rPr>
        <w:t>本项目针对培训工作和日常作业中发现的10kV线路核相技能掌握问题，研发一种核相操作培训信号模拟装置，其功能包括：1、24V安全电压输入；2、可切换相位；3、工频输入电压；4、可循环电源。</w:t>
      </w:r>
      <w:bookmarkStart w:id="12" w:name="_GoBack"/>
      <w:bookmarkEnd w:id="12"/>
    </w:p>
    <w:p>
      <w:pPr>
        <w:pStyle w:val="8"/>
        <w:spacing w:before="312"/>
        <w:outlineLvl w:val="0"/>
        <w:rPr>
          <w:rFonts w:hint="default" w:ascii="黑体" w:hAnsi="黑体" w:eastAsia="黑体" w:cs="黑体"/>
          <w:sz w:val="28"/>
          <w:szCs w:val="28"/>
          <w:lang w:val="en-US" w:eastAsia="zh-CN"/>
        </w:rPr>
      </w:pPr>
      <w:r>
        <w:rPr>
          <w:rFonts w:hint="eastAsia" w:ascii="黑体" w:hAnsi="黑体" w:eastAsia="黑体" w:cs="黑体"/>
          <w:sz w:val="28"/>
          <w:szCs w:val="28"/>
        </w:rPr>
        <w:t xml:space="preserve">2  </w:t>
      </w:r>
      <w:bookmarkEnd w:id="9"/>
      <w:r>
        <w:rPr>
          <w:rFonts w:hint="eastAsia" w:ascii="黑体" w:hAnsi="黑体" w:eastAsia="黑体" w:cs="黑体"/>
          <w:sz w:val="28"/>
          <w:szCs w:val="28"/>
          <w:lang w:val="en-US" w:eastAsia="zh-CN"/>
        </w:rPr>
        <w:t>采购物资清单</w:t>
      </w:r>
      <w:bookmarkEnd w:id="10"/>
    </w:p>
    <w:tbl>
      <w:tblPr>
        <w:tblStyle w:val="6"/>
        <w:tblW w:w="83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4"/>
        <w:gridCol w:w="1465"/>
        <w:gridCol w:w="1202"/>
        <w:gridCol w:w="48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材料名称</w:t>
            </w:r>
          </w:p>
        </w:tc>
        <w:tc>
          <w:tcPr>
            <w:tcW w:w="604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814"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c>
          <w:tcPr>
            <w:tcW w:w="1465"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核相主机主控板</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工作电压</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工作电压：DC 24V（兼容 ±10% 波动）；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相位调节</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支持 0°、120°、240° 三相相位切换，调节精度≤±1°；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信号处理</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具备工频信号（50Hz）采集与分析功能，响应时间≤10ms；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通信接口</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集成 2 路 RS485 接口（用于连接工频基准信号发生器、电源管理组件），支持 Modbus 协议；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防护等级</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板载电路具备过流、过压保护，工作温度 - 10℃~55℃。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4"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c>
          <w:tcPr>
            <w:tcW w:w="1465"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工频升压组件</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输入电压</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DC 24V；</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输出电压</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AC 10kV（有效值），工频 50Hz±0.5Hz；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升压效率</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≥85%（满负荷状态）；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输出容量</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≥50VA（持续工作 30 分钟不发热过载）；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保护功能</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具备过压保护（11kV 自动切断输出）、短路保护（响应时间≤50ms）；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绝缘等级</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输出端对地绝缘电阻≥100MΩ（2500V 兆欧表测量）。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c>
          <w:tcPr>
            <w:tcW w:w="1465"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工频基准信号发生器</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输出信号</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正弦波，频率 50Hz±0.1Hz，幅度 0~10V 可调（步长 0.1V）；</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信号精度</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频率稳定度≤±0.01Hz / 小时，失真度≤0.5%；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同步功能</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支持与核相主机主控板同步触发，同步误差≤1μs；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工作电压</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DC 24V，功耗≤10W；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输出接口</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2 路 BNC 接口（用于信号输出），1 路 RS485 接口（用于主控板控制）。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c>
          <w:tcPr>
            <w:tcW w:w="1465"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电源管理组件</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 输入</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支持 DC 24V（外接电源）与电池（可循环电源）双模式切换；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输出</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Arial" w:hAnsi="Arial" w:eastAsia="等线" w:cs="Arial"/>
                <w:i w:val="0"/>
                <w:iCs w:val="0"/>
                <w:color w:val="555555"/>
                <w:sz w:val="22"/>
                <w:szCs w:val="22"/>
                <w:u w:val="none"/>
              </w:rPr>
            </w:pPr>
            <w:r>
              <w:rPr>
                <w:rFonts w:hint="eastAsia" w:ascii="等线" w:hAnsi="等线" w:eastAsia="等线" w:cs="等线"/>
                <w:i w:val="0"/>
                <w:iCs w:val="0"/>
                <w:color w:val="000000"/>
                <w:sz w:val="22"/>
                <w:szCs w:val="22"/>
                <w:u w:val="none"/>
              </w:rPr>
              <w:t>为主控板、发生器等提供 DC 24V/3A 稳定输出；为无线调制发射器提供 DC 12V/1A 输出；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效率</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≥90%（24V 输入，满负荷输出时）；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保护功能</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充保护（电池充电截止电压 13.8V）、过放保护（电池放电截止电压 10.5V）、短路保护（自动恢复）；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显示</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集成 LED 指示灯，显示电源模式（外接 / 电池）及电池电量（0~100%）。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w:t>
            </w:r>
          </w:p>
        </w:tc>
        <w:tc>
          <w:tcPr>
            <w:tcW w:w="1465"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无线调制发射器</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通信频率</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433MHz（免授权频段）；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传输距离</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≥50 米（开阔场地，无遮挡）；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调制方式</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FSK（频移键控），传输速率 9600bps；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工作电压</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DC 12V，发射电流≤100mA，待机电流≤5mA；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814"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bookmarkStart w:id="11" w:name="_Toc7809"/>
          </w:p>
        </w:tc>
        <w:tc>
          <w:tcPr>
            <w:tcW w:w="1465"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rPr>
              <w:t>抗干扰</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具备 CRC 校验功能，误码率≤10⁻⁵。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restart"/>
            <w:tcBorders>
              <w:top w:val="single" w:color="000000" w:sz="4" w:space="0"/>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6</w:t>
            </w:r>
          </w:p>
        </w:tc>
        <w:tc>
          <w:tcPr>
            <w:tcW w:w="1465" w:type="dxa"/>
            <w:vMerge w:val="restart"/>
            <w:tcBorders>
              <w:top w:val="single" w:color="000000" w:sz="4" w:space="0"/>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无线调制接收器</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eastAsia" w:ascii="等线" w:hAnsi="等线" w:eastAsia="等线" w:cs="等线"/>
                <w:i w:val="0"/>
                <w:iCs w:val="0"/>
                <w:color w:val="000000"/>
                <w:sz w:val="22"/>
                <w:szCs w:val="22"/>
                <w:u w:val="none"/>
              </w:rPr>
              <w:t>通信频率</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与无线调制发射器一致（433MHz）；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eastAsia" w:ascii="等线" w:hAnsi="等线" w:eastAsia="等线" w:cs="等线"/>
                <w:i w:val="0"/>
                <w:iCs w:val="0"/>
                <w:color w:val="000000"/>
                <w:sz w:val="22"/>
                <w:szCs w:val="22"/>
                <w:u w:val="none"/>
              </w:rPr>
              <w:t>传输距离</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≤-110dBm（1% 误码率）；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eastAsia" w:ascii="等线" w:hAnsi="等线" w:eastAsia="等线" w:cs="等线"/>
                <w:i w:val="0"/>
                <w:iCs w:val="0"/>
                <w:color w:val="000000"/>
                <w:sz w:val="22"/>
                <w:szCs w:val="22"/>
                <w:u w:val="none"/>
              </w:rPr>
              <w:t>调制方式</w:t>
            </w:r>
          </w:p>
        </w:tc>
        <w:tc>
          <w:tcPr>
            <w:tcW w:w="4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匹配 FSK 调制，支持 9600bps 速率；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eastAsia" w:ascii="等线" w:hAnsi="等线" w:eastAsia="等线" w:cs="等线"/>
                <w:i w:val="0"/>
                <w:iCs w:val="0"/>
                <w:color w:val="000000"/>
                <w:sz w:val="22"/>
                <w:szCs w:val="22"/>
                <w:u w:val="none"/>
              </w:rPr>
              <w:t>工作电压</w:t>
            </w:r>
          </w:p>
        </w:tc>
        <w:tc>
          <w:tcPr>
            <w:tcW w:w="4838"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DC 3.7V（手持终端供电）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000000"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输出接口</w:t>
            </w:r>
          </w:p>
        </w:tc>
        <w:tc>
          <w:tcPr>
            <w:tcW w:w="4838"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TTL 电平，直接连接手持终端主控板；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000000" w:sz="4" w:space="0"/>
              <w:bottom w:val="single" w:color="auto"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000000" w:sz="4" w:space="0"/>
              <w:bottom w:val="single" w:color="auto" w:sz="4" w:space="0"/>
              <w:right w:val="single" w:color="000000"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工作电流</w:t>
            </w:r>
          </w:p>
        </w:tc>
        <w:tc>
          <w:tcPr>
            <w:tcW w:w="4838"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接收状态≤20mA，待机≤1mA。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default"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7</w:t>
            </w:r>
          </w:p>
        </w:tc>
        <w:tc>
          <w:tcPr>
            <w:tcW w:w="1465"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电池</w:t>
            </w: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类型</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锂离子电池，标称电压 12V；</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容量</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≥10Ah（25℃下，1A 放电至截止电压）；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循环寿命</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≥500 次（容量保持率≥80%）；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充电参数</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支持 DC 14.6V/2A 快充，充满时间≤6 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trPr>
        <w:tc>
          <w:tcPr>
            <w:tcW w:w="814" w:type="dxa"/>
            <w:vMerge w:val="continue"/>
            <w:tcBorders>
              <w:left w:val="single" w:color="auto" w:sz="4" w:space="0"/>
              <w:bottom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bottom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 保护</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内置过温（≥60℃）、过流、过压保护电路。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default"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8</w:t>
            </w:r>
          </w:p>
        </w:tc>
        <w:tc>
          <w:tcPr>
            <w:tcW w:w="1465"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壳体</w:t>
            </w: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材质</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主机壳体采用铝合金（表面阳极氧化），手持终端壳体采用 ABS 工程塑料；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防护等级</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主机 IP54（防尘、防溅水），手持终端 IP52；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结构</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主机预留散热孔（自然散热），手持终端带防滑纹路，主机与终端均配挂绳孔。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default"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9</w:t>
            </w:r>
          </w:p>
        </w:tc>
        <w:tc>
          <w:tcPr>
            <w:tcW w:w="1465"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核相手持终端主控板</w:t>
            </w: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处理器</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≥80MHz 主频 MCU，支持 16 位 A/D 采样（采样率≥100kHz）；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相位检测</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支持对 10kV 模拟信号的相位检测，精度≤±2°；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显示驱动</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支持 2.4 英寸 TFT LCD 屏（分辨率 320×240），显示相位值、信号强度等；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工作电压</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DC 3.7V（锂电池供电）；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bottom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bottom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存储</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内置≥16MB Flash，可存储≥1000 条核相记录。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default"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10</w:t>
            </w:r>
          </w:p>
        </w:tc>
        <w:tc>
          <w:tcPr>
            <w:tcW w:w="1465"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核相手持终端电源组件</w:t>
            </w: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输入</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3.7V 锂电池（与终端电池共用）；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输出</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为终端主控板提供 3.3V/500mA，为通信组件提供 3.7V/200mA；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 </w:t>
            </w:r>
            <w:r>
              <w:rPr>
                <w:rFonts w:hint="default" w:ascii="等线" w:hAnsi="等线" w:eastAsia="等线" w:cs="等线"/>
                <w:i w:val="0"/>
                <w:iCs w:val="0"/>
                <w:color w:val="000000"/>
                <w:kern w:val="0"/>
                <w:sz w:val="22"/>
                <w:szCs w:val="22"/>
                <w:u w:val="none"/>
                <w:lang w:val="en-US" w:eastAsia="zh-CN" w:bidi="ar"/>
              </w:rPr>
              <w:t>续航</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满电状态下，连续工作≥8 小时（屏幕常亮，通信间隔 1 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充电管理</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支持 USB Type-C 接口充电（5V/1A），充电效率≥85%；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bottom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bottom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低电量报警</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电池电压≤3.3V 时，通过屏幕闪烁 + 蜂鸣提示。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814"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11</w:t>
            </w:r>
          </w:p>
        </w:tc>
        <w:tc>
          <w:tcPr>
            <w:tcW w:w="1465"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核相手持终端通信组件</w:t>
            </w: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与无线调制发射器 / 接收器兼容，通信频率 433MHz；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通信协议</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支持自定义协议（含数据加密），确保信号传输安全；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唤醒方式</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支持定时唤醒（间隔 1~60 秒可调），降低待机功耗；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工作电流</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发射状态≤80mA，接收状态≤20mA；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814"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lang w:val="en-US" w:eastAsia="zh-CN"/>
              </w:rPr>
            </w:pPr>
          </w:p>
        </w:tc>
        <w:tc>
          <w:tcPr>
            <w:tcW w:w="1465" w:type="dxa"/>
            <w:vMerge w:val="continue"/>
            <w:tcBorders>
              <w:left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 接口</w:t>
            </w: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板载 2Pin 端子，直接焊接于终端主控板。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814" w:type="dxa"/>
            <w:tcBorders>
              <w:left w:val="single" w:color="auto" w:sz="4" w:space="0"/>
              <w:bottom w:val="single" w:color="auto" w:sz="4" w:space="0"/>
              <w:right w:val="single" w:color="auto" w:sz="4" w:space="0"/>
            </w:tcBorders>
            <w:shd w:val="clear" w:color="auto" w:fill="auto"/>
            <w:noWrap/>
            <w:vAlign w:val="center"/>
          </w:tcPr>
          <w:p>
            <w:pPr>
              <w:jc w:val="center"/>
              <w:rPr>
                <w:rFonts w:hint="default"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12</w:t>
            </w:r>
          </w:p>
        </w:tc>
        <w:tc>
          <w:tcPr>
            <w:tcW w:w="1465" w:type="dxa"/>
            <w:tcBorders>
              <w:left w:val="single" w:color="auto" w:sz="4" w:space="0"/>
              <w:bottom w:val="single" w:color="auto" w:sz="4" w:space="0"/>
              <w:right w:val="single" w:color="auto" w:sz="4" w:space="0"/>
            </w:tcBorders>
            <w:shd w:val="clear" w:color="auto" w:fill="auto"/>
            <w:noWrap/>
            <w:vAlign w:val="center"/>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杂项用料</w:t>
            </w:r>
          </w:p>
        </w:tc>
        <w:tc>
          <w:tcPr>
            <w:tcW w:w="120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p>
        </w:tc>
        <w:tc>
          <w:tcPr>
            <w:tcW w:w="483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p>
        </w:tc>
      </w:tr>
    </w:tbl>
    <w:p>
      <w:pPr>
        <w:pStyle w:val="8"/>
        <w:spacing w:before="312"/>
        <w:outlineLvl w:val="0"/>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3</w:t>
      </w:r>
      <w:r>
        <w:rPr>
          <w:rFonts w:hint="eastAsia" w:ascii="黑体" w:hAnsi="黑体" w:eastAsia="黑体" w:cs="黑体"/>
          <w:sz w:val="28"/>
          <w:szCs w:val="28"/>
        </w:rPr>
        <w:t xml:space="preserve">  </w:t>
      </w:r>
      <w:r>
        <w:rPr>
          <w:rFonts w:hint="eastAsia" w:ascii="黑体" w:hAnsi="黑体" w:eastAsia="黑体" w:cs="黑体"/>
          <w:sz w:val="28"/>
          <w:szCs w:val="28"/>
          <w:lang w:val="en-US" w:eastAsia="zh-CN"/>
        </w:rPr>
        <w:t>供应商资质要求</w:t>
      </w:r>
      <w:bookmarkEnd w:id="11"/>
    </w:p>
    <w:p>
      <w:pPr>
        <w:spacing w:line="360" w:lineRule="auto"/>
        <w:ind w:firstLine="480" w:firstLineChars="200"/>
        <w:rPr>
          <w:rFonts w:hint="default"/>
          <w:sz w:val="24"/>
          <w:lang w:val="en-US" w:eastAsia="zh-CN"/>
        </w:rPr>
      </w:pPr>
      <w:r>
        <w:rPr>
          <w:rFonts w:hint="default"/>
          <w:sz w:val="24"/>
          <w:lang w:val="en-US" w:eastAsia="zh-CN"/>
        </w:rPr>
        <w:t>报价单位必须是中华人民共和国境内注册合法运作的法人或其他组织，具有独立承担民事责任的能力、独立承担零星采购项目的能力和独立履行合同的能力。</w:t>
      </w:r>
    </w:p>
    <w:p>
      <w:pPr>
        <w:spacing w:line="360" w:lineRule="auto"/>
        <w:ind w:firstLine="480" w:firstLineChars="200"/>
        <w:rPr>
          <w:rFonts w:hint="default"/>
          <w:sz w:val="24"/>
          <w:lang w:val="en-US" w:eastAsia="zh-CN"/>
        </w:rPr>
      </w:pPr>
      <w:r>
        <w:rPr>
          <w:rFonts w:hint="default"/>
          <w:sz w:val="24"/>
          <w:lang w:val="en-US" w:eastAsia="zh-CN"/>
        </w:rPr>
        <w:t>所报价格包括：设备材料价格、运输装卸费（包到各县局、施工现场的运输费、装卸费及零散物资配送费）、运输保险费、税费（包括13%的增值税）、指导调试安装、现场施工/服务费等在内的一揽子价格；如中标后不供货、或所供产品货不对板、或产品在质保期发生质量问题，愿接受梅州供电局包括无偿更换、退货、补偿损失、通报、取消资格等相应处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6C37C7"/>
    <w:rsid w:val="026C37C7"/>
    <w:rsid w:val="052F68BA"/>
    <w:rsid w:val="062475CD"/>
    <w:rsid w:val="0AAD3F14"/>
    <w:rsid w:val="0DE74C75"/>
    <w:rsid w:val="129E32BE"/>
    <w:rsid w:val="12B655C5"/>
    <w:rsid w:val="148D4C4C"/>
    <w:rsid w:val="1E207B73"/>
    <w:rsid w:val="21D267A7"/>
    <w:rsid w:val="2BBB75F0"/>
    <w:rsid w:val="33DC0927"/>
    <w:rsid w:val="38454AF6"/>
    <w:rsid w:val="39700429"/>
    <w:rsid w:val="3C6F7834"/>
    <w:rsid w:val="3D6F1615"/>
    <w:rsid w:val="3DB64A21"/>
    <w:rsid w:val="3DFE27CB"/>
    <w:rsid w:val="418E3774"/>
    <w:rsid w:val="41C42BF4"/>
    <w:rsid w:val="42470693"/>
    <w:rsid w:val="4D3D0299"/>
    <w:rsid w:val="515801C7"/>
    <w:rsid w:val="53260EC1"/>
    <w:rsid w:val="5B2C65A4"/>
    <w:rsid w:val="5DCF1135"/>
    <w:rsid w:val="62F47BAC"/>
    <w:rsid w:val="635139D5"/>
    <w:rsid w:val="63C57B72"/>
    <w:rsid w:val="6F283A37"/>
    <w:rsid w:val="787405A2"/>
    <w:rsid w:val="7C2B28E9"/>
    <w:rsid w:val="7D7F0A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before="240" w:after="60"/>
      <w:ind w:firstLine="880" w:firstLineChars="200"/>
      <w:jc w:val="center"/>
      <w:outlineLvl w:val="0"/>
    </w:pPr>
    <w:rPr>
      <w:rFonts w:ascii="仿宋_GB2312" w:hAnsi="仿宋_GB2312" w:eastAsia="仿宋_GB2312" w:cs="Arial"/>
      <w:kern w:val="2"/>
      <w:sz w:val="32"/>
      <w:szCs w:val="20"/>
      <w:lang w:val="en-US" w:eastAsia="zh-CN" w:bidi="ar-SA"/>
    </w:rPr>
  </w:style>
  <w:style w:type="paragraph" w:styleId="3">
    <w:name w:val="Title"/>
    <w:basedOn w:val="1"/>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5">
    <w:name w:val="Plain Text"/>
    <w:basedOn w:val="1"/>
    <w:qFormat/>
    <w:uiPriority w:val="0"/>
    <w:rPr>
      <w:rFonts w:ascii="宋体" w:hAnsi="Courier New" w:cs="Courier New"/>
      <w:szCs w:val="21"/>
    </w:rPr>
  </w:style>
  <w:style w:type="paragraph" w:customStyle="1" w:styleId="8">
    <w:name w:val="一标题"/>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9">
    <w:name w:val="首页日期 Char"/>
    <w:link w:val="10"/>
    <w:qFormat/>
    <w:uiPriority w:val="0"/>
    <w:rPr>
      <w:rFonts w:eastAsia="楷体"/>
      <w:kern w:val="0"/>
      <w:sz w:val="32"/>
      <w:szCs w:val="20"/>
    </w:rPr>
  </w:style>
  <w:style w:type="paragraph" w:customStyle="1" w:styleId="10">
    <w:name w:val="首页日期"/>
    <w:basedOn w:val="1"/>
    <w:link w:val="9"/>
    <w:qFormat/>
    <w:uiPriority w:val="0"/>
    <w:pPr>
      <w:jc w:val="center"/>
    </w:pPr>
    <w:rPr>
      <w:rFonts w:eastAsia="楷体"/>
      <w:kern w:val="0"/>
      <w:sz w:val="32"/>
      <w:szCs w:val="20"/>
    </w:rPr>
  </w:style>
  <w:style w:type="paragraph" w:customStyle="1" w:styleId="11">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1948</Words>
  <Characters>2129</Characters>
  <Lines>0</Lines>
  <Paragraphs>0</Paragraphs>
  <TotalTime>19</TotalTime>
  <ScaleCrop>false</ScaleCrop>
  <LinksUpToDate>false</LinksUpToDate>
  <CharactersWithSpaces>2192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2024-09-24T09:50:00Z</dcterms:created>
  <dc:creator>陈芳</dc:creator>
  <cp:lastModifiedBy>刘敬业</cp:lastModifiedBy>
  <dcterms:modified xsi:type="dcterms:W3CDTF">2025-08-25T04:27:01Z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3C4602A300664B42950A59E47C4B0466_13</vt:lpwstr>
  </property>
  <property fmtid="{D5CDD505-2E9C-101B-9397-08002B2CF9AE}" pid="4" name="KSOTemplateDocerSaveRecord">
    <vt:lpwstr>eyJoZGlkIjoiZjRiZDMxNzcxYjRiNjlmZDA3MzRlY2M3OGY4ZjRkMmQiLCJ1c2VySWQiOiIxNjUzMDQ5OTI4In0=</vt:lpwstr>
  </property>
</Properties>
</file>