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bidi w:val="0"/>
        <w:jc w:val="center"/>
        <w:rPr>
          <w:rFonts w:hint="eastAsia" w:ascii="Calibri" w:hAnsi="Calibri" w:eastAsia="宋体" w:cs="Times New Roman"/>
          <w:b/>
          <w:bCs w:val="0"/>
          <w:kern w:val="2"/>
          <w:sz w:val="32"/>
          <w:szCs w:val="32"/>
          <w:lang w:val="en-US" w:eastAsia="zh-CN" w:bidi="ar-SA"/>
        </w:rPr>
      </w:pPr>
      <w:r>
        <w:rPr>
          <w:rFonts w:ascii="Calibri" w:hAnsi="Calibri" w:eastAsia="宋体" w:cs="Times New Roman"/>
          <w:b/>
          <w:bCs w:val="0"/>
          <w:kern w:val="2"/>
          <w:sz w:val="32"/>
          <w:szCs w:val="32"/>
          <w:lang w:bidi="ar-SA"/>
        </w:rPr>
        <w:t>云南送变电工程有限司公2025</w:t>
      </w:r>
      <w:r>
        <w:rPr>
          <w:rFonts w:hint="eastAsia" w:ascii="Calibri" w:hAnsi="Calibri" w:eastAsia="宋体" w:cs="Times New Roman"/>
          <w:b/>
          <w:bCs w:val="0"/>
          <w:kern w:val="2"/>
          <w:sz w:val="32"/>
          <w:szCs w:val="32"/>
          <w:lang w:eastAsia="zh-CN" w:bidi="ar-SA"/>
        </w:rPr>
        <w:t>—</w:t>
      </w:r>
      <w:r>
        <w:rPr>
          <w:rFonts w:hint="eastAsia" w:ascii="Calibri" w:hAnsi="Calibri" w:eastAsia="宋体" w:cs="Times New Roman"/>
          <w:b/>
          <w:bCs w:val="0"/>
          <w:kern w:val="2"/>
          <w:sz w:val="32"/>
          <w:szCs w:val="32"/>
          <w:lang w:val="en-US" w:eastAsia="zh-CN" w:bidi="ar-SA"/>
        </w:rPr>
        <w:t>2026</w:t>
      </w:r>
      <w:r>
        <w:rPr>
          <w:rFonts w:ascii="Calibri" w:hAnsi="Calibri" w:eastAsia="宋体" w:cs="Times New Roman"/>
          <w:b/>
          <w:bCs w:val="0"/>
          <w:kern w:val="2"/>
          <w:sz w:val="32"/>
          <w:szCs w:val="32"/>
          <w:lang w:bidi="ar-SA"/>
        </w:rPr>
        <w:t>年门锁维修</w:t>
      </w:r>
      <w:r>
        <w:rPr>
          <w:rFonts w:hint="eastAsia" w:ascii="Calibri" w:hAnsi="Calibri" w:eastAsia="宋体" w:cs="Times New Roman"/>
          <w:b/>
          <w:bCs w:val="0"/>
          <w:kern w:val="2"/>
          <w:sz w:val="32"/>
          <w:szCs w:val="32"/>
          <w:lang w:val="en-US" w:eastAsia="zh-CN" w:bidi="ar-SA"/>
        </w:rPr>
        <w:t>服务采购</w:t>
      </w:r>
    </w:p>
    <w:p>
      <w:pPr>
        <w:widowControl w:val="0"/>
        <w:bidi w:val="0"/>
        <w:jc w:val="center"/>
        <w:rPr>
          <w:rFonts w:ascii="Calibri" w:hAnsi="Calibri" w:eastAsia="宋体" w:cs="Times New Roman"/>
          <w:b/>
          <w:bCs w:val="0"/>
          <w:kern w:val="2"/>
          <w:sz w:val="32"/>
          <w:szCs w:val="32"/>
          <w:lang w:bidi="ar-SA"/>
        </w:rPr>
      </w:pPr>
      <w:r>
        <w:rPr>
          <w:rFonts w:ascii="Calibri" w:hAnsi="Calibri" w:eastAsia="宋体" w:cs="Times New Roman"/>
          <w:b/>
          <w:bCs w:val="0"/>
          <w:kern w:val="2"/>
          <w:sz w:val="32"/>
          <w:szCs w:val="32"/>
          <w:lang w:bidi="ar-SA"/>
        </w:rPr>
        <w:t>技术规范书</w:t>
      </w:r>
      <w:bookmarkStart w:id="0" w:name="_GoBack"/>
      <w:bookmarkEnd w:id="0"/>
    </w:p>
    <w:p>
      <w:pPr>
        <w:pStyle w:val="2"/>
        <w:keepNext/>
        <w:keepLines/>
        <w:widowControl w:val="0"/>
        <w:bidi w:val="0"/>
        <w:spacing w:before="260" w:beforeLines="0" w:beforeAutospacing="0" w:after="260" w:afterLines="0" w:afterAutospacing="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  <w:t>一、总则</w:t>
      </w:r>
    </w:p>
    <w:p>
      <w:pPr>
        <w:widowControl w:val="0"/>
        <w:numPr>
          <w:ilvl w:val="0"/>
          <w:numId w:val="1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适用范围</w:t>
      </w:r>
    </w:p>
    <w:p>
      <w:pPr>
        <w:widowControl w:val="0"/>
        <w:bidi w:val="0"/>
        <w:spacing w:before="0" w:beforeAutospacing="1" w:after="0" w:afterAutospacing="1"/>
        <w:ind w:left="72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本技术规范书适用于云南送变电工程有限公司（以下简称"甲方"）所辖办公场所、变电站、仓库及其他附属设施的门锁系统维护服务，涵盖机械锁具、电子门禁装置及相关配套设施的故障诊断、预防性维护、配件更换及系统升级等作业内容。</w:t>
      </w:r>
    </w:p>
    <w:p>
      <w:pPr>
        <w:widowControl w:val="0"/>
        <w:numPr>
          <w:ilvl w:val="0"/>
          <w:numId w:val="1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规范性引用文件</w:t>
      </w:r>
    </w:p>
    <w:p>
      <w:pPr>
        <w:widowControl w:val="0"/>
        <w:numPr>
          <w:ilvl w:val="1"/>
          <w:numId w:val="1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《建筑门窗五金件通用技术要求》（GB/T 32223-2015）</w:t>
      </w:r>
    </w:p>
    <w:p>
      <w:pPr>
        <w:widowControl w:val="0"/>
        <w:numPr>
          <w:ilvl w:val="1"/>
          <w:numId w:val="1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《机械防盗锁安全技术条件》（GB 21556-2008）</w:t>
      </w:r>
    </w:p>
    <w:p>
      <w:pPr>
        <w:widowControl w:val="0"/>
        <w:numPr>
          <w:ilvl w:val="1"/>
          <w:numId w:val="1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《防火门安全技术规范》（GB 12955-2008）</w:t>
      </w:r>
    </w:p>
    <w:p>
      <w:pPr>
        <w:widowControl w:val="0"/>
        <w:numPr>
          <w:ilvl w:val="1"/>
          <w:numId w:val="1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《电子防盗锁通用技术要求》（GA 374-2019）</w:t>
      </w:r>
    </w:p>
    <w:p>
      <w:pPr>
        <w:widowControl w:val="0"/>
        <w:numPr>
          <w:ilvl w:val="1"/>
          <w:numId w:val="1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甲方现行门禁系统管理规程及设备技术参数手册</w:t>
      </w:r>
    </w:p>
    <w:p>
      <w:pPr>
        <w:widowControl w:val="0"/>
        <w:numPr>
          <w:ilvl w:val="0"/>
          <w:numId w:val="1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术语定义</w:t>
      </w:r>
    </w:p>
    <w:p>
      <w:pPr>
        <w:widowControl w:val="0"/>
        <w:numPr>
          <w:ilvl w:val="1"/>
          <w:numId w:val="1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维修服务：涵盖对门锁系统的全面检查、功能调试、部件更换及整体置换等作业内容</w:t>
      </w:r>
    </w:p>
    <w:p>
      <w:pPr>
        <w:widowControl w:val="0"/>
        <w:numPr>
          <w:ilvl w:val="1"/>
          <w:numId w:val="1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应急响应：特指因门锁系统故障导致区域出入口失效、安防功能缺失等紧急状况时，乙方须按约定时效实施的技术处置</w:t>
      </w:r>
    </w:p>
    <w:p>
      <w:pPr>
        <w:pStyle w:val="2"/>
        <w:keepNext/>
        <w:keepLines/>
        <w:widowControl w:val="0"/>
        <w:bidi w:val="0"/>
        <w:spacing w:before="260" w:beforeLines="0" w:beforeAutospacing="0" w:after="260" w:afterLines="0" w:afterAutospacing="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  <w:t>二、技术要求</w:t>
      </w:r>
    </w:p>
    <w:p>
      <w:pPr>
        <w:widowControl w:val="0"/>
        <w:numPr>
          <w:ilvl w:val="0"/>
          <w:numId w:val="2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材料与配件</w:t>
      </w:r>
    </w:p>
    <w:p>
      <w:pPr>
        <w:widowControl w:val="0"/>
        <w:numPr>
          <w:ilvl w:val="1"/>
          <w:numId w:val="2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维修作业中涉及的锁体总成、锁芯组件、密钥系统、电子控制模块等核心部件，必须符合国家强制性标准，优先采用原厂授权配件或经甲方书面核准的等效替代品</w:t>
      </w:r>
    </w:p>
    <w:p>
      <w:pPr>
        <w:widowControl w:val="0"/>
        <w:numPr>
          <w:ilvl w:val="1"/>
          <w:numId w:val="2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机械锁芯防盗等级应满足GB 21556-2008标准中B级及以上要求；电子门禁系统须具备IP54级防护性能，并配备防潮防尘保护装置，确保适应云南高原多雨潮湿气候环境</w:t>
      </w:r>
    </w:p>
    <w:p>
      <w:pPr>
        <w:widowControl w:val="0"/>
        <w:numPr>
          <w:ilvl w:val="0"/>
          <w:numId w:val="2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工具与设备</w:t>
      </w:r>
    </w:p>
    <w:p>
      <w:pPr>
        <w:widowControl w:val="0"/>
        <w:numPr>
          <w:ilvl w:val="1"/>
          <w:numId w:val="2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服务供应商（以下简称"乙方"）须配备锁芯解码器、电子锁具编程终端、扭矩测试仪等专业维修器械，同步配置绝缘电阻检测设备及全套个人防护装备</w:t>
      </w:r>
    </w:p>
    <w:p>
      <w:pPr>
        <w:widowControl w:val="0"/>
        <w:numPr>
          <w:ilvl w:val="1"/>
          <w:numId w:val="2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电子门禁系统维护须使用原厂认证调试软件，严禁实施任何形式的非法破解、越权改写或非标改装操作</w:t>
      </w:r>
    </w:p>
    <w:p>
      <w:pPr>
        <w:pStyle w:val="2"/>
        <w:keepNext/>
        <w:keepLines/>
        <w:widowControl w:val="0"/>
        <w:bidi w:val="0"/>
        <w:spacing w:before="260" w:beforeLines="0" w:beforeAutospacing="0" w:after="260" w:afterLines="0" w:afterAutospacing="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  <w:t>三、服务要求</w:t>
      </w:r>
    </w:p>
    <w:p>
      <w:pPr>
        <w:widowControl w:val="0"/>
        <w:numPr>
          <w:ilvl w:val="0"/>
          <w:numId w:val="3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时效标准</w:t>
      </w:r>
    </w:p>
    <w:p>
      <w:pPr>
        <w:widowControl w:val="0"/>
        <w:numPr>
          <w:ilvl w:val="1"/>
          <w:numId w:val="3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常规维修：自接报之时起</w:t>
      </w:r>
      <w:r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  <w:t>10分钟</w:t>
      </w: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内完成故障处置</w:t>
      </w:r>
    </w:p>
    <w:p>
      <w:pPr>
        <w:pStyle w:val="2"/>
        <w:keepNext/>
        <w:keepLines/>
        <w:widowControl w:val="0"/>
        <w:bidi w:val="0"/>
        <w:spacing w:before="260" w:beforeLines="0" w:beforeAutospacing="0" w:after="260" w:afterLines="0" w:afterAutospacing="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  <w:t>四、验收标准</w:t>
      </w:r>
    </w:p>
    <w:p>
      <w:pPr>
        <w:widowControl w:val="0"/>
        <w:numPr>
          <w:ilvl w:val="0"/>
          <w:numId w:val="4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功能验收</w:t>
      </w:r>
    </w:p>
    <w:p>
      <w:pPr>
        <w:widowControl w:val="0"/>
        <w:numPr>
          <w:ilvl w:val="1"/>
          <w:numId w:val="4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机械锁具：钥匙插拔扭矩≤1.5N·m，锁舌往复运动周期≥5000次无异常，防技术开启时间≥5分钟</w:t>
      </w:r>
    </w:p>
    <w:p>
      <w:pPr>
        <w:widowControl w:val="0"/>
        <w:numPr>
          <w:ilvl w:val="1"/>
          <w:numId w:val="4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电子门禁：生物识别误识率≤0.001%，备用电源续航≥72小时，电磁兼容性符合GB/T 17626系列标准</w:t>
      </w:r>
    </w:p>
    <w:p>
      <w:pPr>
        <w:widowControl w:val="0"/>
        <w:numPr>
          <w:ilvl w:val="0"/>
          <w:numId w:val="4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安全验收</w:t>
      </w:r>
    </w:p>
    <w:p>
      <w:pPr>
        <w:widowControl w:val="0"/>
        <w:numPr>
          <w:ilvl w:val="1"/>
          <w:numId w:val="4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锁体安装垂直度误差≤2°，面板间隙≤1.5mm，无锐角突出物</w:t>
      </w:r>
    </w:p>
    <w:p>
      <w:pPr>
        <w:widowControl w:val="0"/>
        <w:numPr>
          <w:ilvl w:val="1"/>
          <w:numId w:val="4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电子系统故障时机械应急开启响应时间≤30秒，且不触发误报警信号</w:t>
      </w:r>
    </w:p>
    <w:p>
      <w:pPr>
        <w:widowControl w:val="0"/>
        <w:numPr>
          <w:ilvl w:val="0"/>
          <w:numId w:val="4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文档验收</w:t>
      </w:r>
    </w:p>
    <w:p>
      <w:pPr>
        <w:widowControl w:val="0"/>
        <w:numPr>
          <w:ilvl w:val="1"/>
          <w:numId w:val="4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提交包含配件质检报告、系统调试日志及三维安装示意图的竣工资料包</w:t>
      </w:r>
    </w:p>
    <w:p>
      <w:pPr>
        <w:pStyle w:val="2"/>
        <w:keepNext/>
        <w:keepLines/>
        <w:widowControl w:val="0"/>
        <w:bidi w:val="0"/>
        <w:spacing w:before="260" w:beforeLines="0" w:beforeAutospacing="0" w:after="260" w:afterLines="0" w:afterAutospacing="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32"/>
          <w:szCs w:val="24"/>
          <w:lang w:bidi="ar-SA"/>
        </w:rPr>
        <w:t>五、责任与质保</w:t>
      </w:r>
    </w:p>
    <w:p>
      <w:pPr>
        <w:widowControl w:val="0"/>
        <w:numPr>
          <w:ilvl w:val="0"/>
          <w:numId w:val="5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质量保证</w:t>
      </w:r>
    </w:p>
    <w:p>
      <w:pPr>
        <w:widowControl w:val="0"/>
        <w:numPr>
          <w:ilvl w:val="1"/>
          <w:numId w:val="5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维修项目自验收合格次日起享</w:t>
      </w:r>
      <w:r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  <w:t>6</w:t>
      </w: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个月质保期，期内因施工质量导致的故障实施无偿返修</w:t>
      </w:r>
    </w:p>
    <w:p>
      <w:pPr>
        <w:widowControl w:val="0"/>
        <w:numPr>
          <w:ilvl w:val="0"/>
          <w:numId w:val="5"/>
        </w:numPr>
        <w:bidi w:val="0"/>
        <w:spacing w:before="0" w:beforeAutospacing="1" w:after="0" w:afterAutospacing="1"/>
        <w:ind w:left="720" w:hanging="360"/>
        <w:jc w:val="both"/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b/>
          <w:kern w:val="2"/>
          <w:sz w:val="21"/>
          <w:szCs w:val="24"/>
          <w:lang w:bidi="ar-SA"/>
        </w:rPr>
        <w:t>安全责任</w:t>
      </w:r>
    </w:p>
    <w:p>
      <w:pPr>
        <w:widowControl w:val="0"/>
        <w:numPr>
          <w:ilvl w:val="1"/>
          <w:numId w:val="5"/>
        </w:numPr>
        <w:bidi w:val="0"/>
        <w:spacing w:before="0" w:beforeAutospacing="1" w:after="0" w:afterAutospacing="1"/>
        <w:ind w:left="1440" w:hanging="360"/>
        <w:jc w:val="both"/>
        <w:rPr>
          <w:rFonts w:ascii="Calibri" w:hAnsi="Calibri" w:eastAsia="宋体" w:cs="Times New Roman"/>
          <w:kern w:val="2"/>
          <w:sz w:val="21"/>
          <w:szCs w:val="24"/>
          <w:lang w:bidi="ar-SA"/>
        </w:rPr>
      </w:pPr>
      <w:r>
        <w:rPr>
          <w:rFonts w:ascii="Calibri" w:hAnsi="Calibri" w:eastAsia="宋体" w:cs="Times New Roman"/>
          <w:kern w:val="2"/>
          <w:sz w:val="21"/>
          <w:szCs w:val="24"/>
          <w:lang w:bidi="ar-SA"/>
        </w:rPr>
        <w:t>作业过程中因违反技术规程造成门体结构损伤或安全事故，乙方须承担修复费用及相应法律责任</w:t>
      </w:r>
    </w:p>
    <w:p>
      <w:pPr>
        <w:pStyle w:val="2"/>
        <w:keepNext/>
        <w:keepLines/>
        <w:widowControl w:val="0"/>
        <w:numPr>
          <w:ilvl w:val="0"/>
          <w:numId w:val="6"/>
        </w:numPr>
        <w:bidi w:val="0"/>
        <w:spacing w:before="260" w:beforeLines="0" w:beforeAutospacing="0" w:after="260" w:afterLines="0" w:afterAutospacing="0" w:line="413" w:lineRule="auto"/>
        <w:jc w:val="both"/>
        <w:outlineLvl w:val="2"/>
        <w:rPr>
          <w:rFonts w:hint="eastAsia"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  <w:t>结算方式</w:t>
      </w:r>
    </w:p>
    <w:p>
      <w:pPr>
        <w:numPr>
          <w:ilvl w:val="1"/>
          <w:numId w:val="7"/>
        </w:numPr>
        <w:spacing w:before="0" w:beforeAutospacing="1" w:after="0" w:afterAutospacing="1"/>
        <w:ind w:left="1440" w:hanging="36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据实结算</w:t>
      </w:r>
    </w:p>
    <w:p>
      <w:pPr>
        <w:widowControl w:val="0"/>
        <w:bidi w:val="0"/>
        <w:jc w:val="both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68BB35"/>
    <w:multiLevelType w:val="multilevel"/>
    <w:tmpl w:val="8868BB35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</w:abstractNum>
  <w:abstractNum w:abstractNumId="1">
    <w:nsid w:val="DAA15C57"/>
    <w:multiLevelType w:val="multilevel"/>
    <w:tmpl w:val="DAA15C57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</w:abstractNum>
  <w:abstractNum w:abstractNumId="2">
    <w:nsid w:val="DC494D98"/>
    <w:multiLevelType w:val="multilevel"/>
    <w:tmpl w:val="DC494D98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</w:abstractNum>
  <w:abstractNum w:abstractNumId="3">
    <w:nsid w:val="196D0804"/>
    <w:multiLevelType w:val="singleLevel"/>
    <w:tmpl w:val="196D0804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65E580A"/>
    <w:multiLevelType w:val="multilevel"/>
    <w:tmpl w:val="465E580A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</w:abstractNum>
  <w:abstractNum w:abstractNumId="5">
    <w:nsid w:val="7654048E"/>
    <w:multiLevelType w:val="multilevel"/>
    <w:tmpl w:val="7654048E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</w:abstractNum>
  <w:abstractNum w:abstractNumId="6">
    <w:nsid w:val="7F638FE8"/>
    <w:multiLevelType w:val="multilevel"/>
    <w:tmpl w:val="7F638FE8"/>
    <w:lvl w:ilvl="0" w:tentative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9674C"/>
    <w:rsid w:val="005F4A7A"/>
    <w:rsid w:val="12E77F91"/>
    <w:rsid w:val="19CD49E1"/>
    <w:rsid w:val="496D1AEE"/>
    <w:rsid w:val="535772FE"/>
    <w:rsid w:val="70F3564B"/>
    <w:rsid w:val="7989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2025-05-21T08:05:00Z</dcterms:created>
  <dc:creator>A ༄ེཎཽཾMོr.༒胡ི࿑࿐</dc:creator>
  <cp:lastModifiedBy>于伯锋</cp:lastModifiedBy>
  <dcterms:modified xsi:type="dcterms:W3CDTF">2025-08-22T08:02:44Z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29F8682DF3DD4F4680578AEA3CBF5810_11</vt:lpwstr>
  </property>
  <property fmtid="{D5CDD505-2E9C-101B-9397-08002B2CF9AE}" pid="4" name="KSOTemplateDocerSaveRecord">
    <vt:lpwstr>eyJoZGlkIjoiOTdiZDgwNjZiYjMxYTQ4NzNlOTFkMDZmM2Q4YmM3MmQiLCJ1c2VySWQiOiIyNDY1ODQ0MjIifQ==</vt:lpwstr>
  </property>
</Properties>
</file>