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00" w:lineRule="exact"/>
        <w:ind w:firstLine="883" w:firstLineChars="200"/>
        <w:jc w:val="center"/>
        <w:rPr>
          <w:rFonts w:hint="eastAsia" w:ascii="黑体" w:hAnsi="黑体" w:eastAsia="黑体"/>
          <w:b/>
          <w:bCs/>
          <w:sz w:val="44"/>
          <w:szCs w:val="44"/>
        </w:rPr>
      </w:pPr>
      <w:r>
        <w:rPr>
          <w:rFonts w:hint="eastAsia" w:ascii="黑体" w:hAnsi="黑体" w:eastAsia="黑体"/>
          <w:b/>
          <w:bCs/>
          <w:sz w:val="44"/>
          <w:szCs w:val="44"/>
        </w:rPr>
        <w:t>广西电网能源科技有限责任公司</w:t>
      </w:r>
    </w:p>
    <w:p>
      <w:pPr>
        <w:spacing w:line="900" w:lineRule="exact"/>
        <w:ind w:firstLine="883" w:firstLineChars="200"/>
        <w:jc w:val="center"/>
        <w:rPr>
          <w:rFonts w:hint="eastAsia" w:ascii="黑体" w:hAnsi="黑体" w:eastAsia="黑体"/>
          <w:b/>
          <w:bCs/>
          <w:sz w:val="44"/>
          <w:szCs w:val="44"/>
        </w:rPr>
      </w:pPr>
      <w:r>
        <w:rPr>
          <w:rFonts w:hint="eastAsia" w:ascii="黑体" w:hAnsi="黑体" w:eastAsia="黑体"/>
          <w:b/>
          <w:bCs/>
          <w:sz w:val="44"/>
          <w:szCs w:val="44"/>
        </w:rPr>
        <w:t>高新企业认定专项审计服务</w:t>
      </w:r>
    </w:p>
    <w:p>
      <w:pPr>
        <w:spacing w:line="900" w:lineRule="exact"/>
        <w:ind w:firstLine="883" w:firstLineChars="200"/>
        <w:jc w:val="center"/>
        <w:rPr>
          <w:rFonts w:hint="eastAsia" w:ascii="黑体" w:hAnsi="黑体" w:eastAsia="黑体"/>
          <w:b/>
          <w:bCs/>
          <w:sz w:val="44"/>
          <w:szCs w:val="44"/>
        </w:rPr>
      </w:pPr>
      <w:r>
        <w:rPr>
          <w:rFonts w:hint="eastAsia" w:ascii="黑体" w:hAnsi="黑体" w:eastAsia="黑体"/>
          <w:b/>
          <w:bCs/>
          <w:sz w:val="44"/>
          <w:szCs w:val="44"/>
        </w:rPr>
        <w:t>技术规范</w:t>
      </w:r>
    </w:p>
    <w:p>
      <w:pPr>
        <w:ind w:firstLine="562" w:firstLineChars="200"/>
        <w:rPr>
          <w:rFonts w:hint="eastAsia" w:asciiTheme="minorEastAsia" w:hAnsiTheme="minorEastAsia" w:eastAsiaTheme="minorEastAsia"/>
          <w:b/>
          <w:bCs/>
          <w:sz w:val="28"/>
          <w:szCs w:val="28"/>
        </w:rPr>
      </w:pPr>
    </w:p>
    <w:p>
      <w:pPr>
        <w:keepNext w:val="0"/>
        <w:keepLines w:val="0"/>
        <w:pageBreakBefore w:val="0"/>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一、项目立项背景</w:t>
      </w:r>
    </w:p>
    <w:p>
      <w:pPr>
        <w:keepNext w:val="0"/>
        <w:keepLines w:val="0"/>
        <w:pageBreakBefore w:val="0"/>
        <w:kinsoku/>
        <w:wordWrap/>
        <w:overflowPunct/>
        <w:topLinePunct w:val="0"/>
        <w:autoSpaceDE/>
        <w:autoSpaceDN/>
        <w:bidi w:val="0"/>
        <w:adjustRightInd/>
        <w:snapToGrid/>
        <w:spacing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为切实做好公司</w:t>
      </w:r>
      <w:r>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t>高新技术企业复审</w:t>
      </w:r>
      <w:r>
        <w:rPr>
          <w:rFonts w:hint="eastAsia" w:asciiTheme="minorEastAsia" w:hAnsiTheme="minorEastAsia" w:eastAsiaTheme="minorEastAsia" w:cstheme="minorEastAsia"/>
          <w:color w:val="000000" w:themeColor="text1"/>
          <w:sz w:val="28"/>
          <w:szCs w:val="28"/>
          <w14:textFill>
            <w14:solidFill>
              <w14:schemeClr w14:val="tx1"/>
            </w14:solidFill>
          </w14:textFill>
        </w:rPr>
        <w:t>工作，计划聘请</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符合广西高新技术企业认定工作领导办公室公布名单的专项审计机构，根据《高新技术企业认定管理办法》（国科发火〔2016〕32号）、《高新技术企业认定管理工作指引》（国科发火〔2016〕195号）等相关文件精神及要求，</w:t>
      </w:r>
      <w:r>
        <w:rPr>
          <w:rFonts w:hint="eastAsia" w:asciiTheme="minorEastAsia" w:hAnsiTheme="minorEastAsia" w:eastAsiaTheme="minorEastAsia" w:cstheme="minorEastAsia"/>
          <w:color w:val="000000" w:themeColor="text1"/>
          <w:sz w:val="28"/>
          <w:szCs w:val="28"/>
          <w14:textFill>
            <w14:solidFill>
              <w14:schemeClr w14:val="tx1"/>
            </w14:solidFill>
          </w14:textFill>
        </w:rPr>
        <w:t>对</w:t>
      </w:r>
      <w:r>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t>企业近三个会计年度研究开发费用和近一个会计年度高新技术产品（服务）收入进行专项审计并出具专项审计报告</w:t>
      </w:r>
      <w:bookmarkStart w:id="0" w:name="_Hlk200374075"/>
      <w:r>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t>。</w:t>
      </w:r>
      <w:bookmarkEnd w:id="0"/>
    </w:p>
    <w:p>
      <w:pPr>
        <w:keepNext w:val="0"/>
        <w:keepLines w:val="0"/>
        <w:pageBreakBefore w:val="0"/>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二、任务内容和要求</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2" w:firstLineChars="200"/>
        <w:textAlignment w:val="auto"/>
        <w:rPr>
          <w:rFonts w:hint="eastAsia" w:asciiTheme="minorEastAsia" w:hAnsiTheme="minorEastAsia" w:eastAsiaTheme="minorEastAsia" w:cstheme="minorEastAsia"/>
          <w:b/>
          <w:bCs/>
          <w:color w:val="191919"/>
          <w:sz w:val="28"/>
          <w:szCs w:val="28"/>
        </w:rPr>
      </w:pPr>
      <w:r>
        <w:rPr>
          <w:rFonts w:hint="eastAsia" w:asciiTheme="minorEastAsia" w:hAnsiTheme="minorEastAsia" w:eastAsiaTheme="minorEastAsia" w:cstheme="minorEastAsia"/>
          <w:b/>
          <w:bCs/>
          <w:color w:val="191919"/>
          <w:sz w:val="28"/>
          <w:szCs w:val="28"/>
        </w:rPr>
        <w:t>1、近三个会计年度的研发费用分年度分项审计，内容包括：</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191919"/>
          <w:sz w:val="28"/>
          <w:szCs w:val="28"/>
          <w:lang w:eastAsia="zh-CN"/>
        </w:rPr>
      </w:pPr>
      <w:r>
        <w:rPr>
          <w:rFonts w:hint="eastAsia" w:asciiTheme="minorEastAsia" w:hAnsiTheme="minorEastAsia" w:eastAsiaTheme="minorEastAsia" w:cstheme="minorEastAsia"/>
          <w:color w:val="191919"/>
          <w:sz w:val="28"/>
          <w:szCs w:val="28"/>
        </w:rPr>
        <w:t>(1) 近三个会计年度的研发总费用、在中国境内发生的研究开发费用总额</w:t>
      </w:r>
      <w:r>
        <w:rPr>
          <w:rFonts w:hint="eastAsia" w:asciiTheme="minorEastAsia" w:hAnsiTheme="minorEastAsia" w:eastAsiaTheme="minorEastAsia" w:cstheme="minorEastAsia"/>
          <w:color w:val="191919"/>
          <w:sz w:val="28"/>
          <w:szCs w:val="28"/>
          <w:lang w:eastAsia="zh-CN"/>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w:t>
      </w:r>
      <w:r>
        <w:rPr>
          <w:rFonts w:hint="eastAsia" w:asciiTheme="minorEastAsia" w:hAnsiTheme="minorEastAsia" w:eastAsiaTheme="minorEastAsia" w:cstheme="minorEastAsia"/>
          <w:color w:val="000000" w:themeColor="text1"/>
          <w:sz w:val="28"/>
          <w:szCs w:val="28"/>
          <w14:textFill>
            <w14:solidFill>
              <w14:schemeClr w14:val="tx1"/>
            </w14:solidFill>
          </w14:textFill>
        </w:rPr>
        <w:t>重点关注《研究开发费用结构明细表》中列报的研究开发项目、研究开发费用是否符合《高新技术企业认定管理工作指引》的相关规定，是否存在将其他费用列报为研究开发费用的错报风险。</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w:t>
      </w:r>
      <w:r>
        <w:rPr>
          <w:rFonts w:hint="eastAsia" w:asciiTheme="minorEastAsia" w:hAnsiTheme="minorEastAsia" w:eastAsiaTheme="minorEastAsia" w:cstheme="minorEastAsia"/>
          <w:color w:val="000000" w:themeColor="text1"/>
          <w:sz w:val="28"/>
          <w:szCs w:val="28"/>
          <w14:textFill>
            <w14:solidFill>
              <w14:schemeClr w14:val="tx1"/>
            </w14:solidFill>
          </w14:textFill>
        </w:rPr>
        <w:t>判断研究开发费用结构合理性，将各项研究开发项目的研究开发费用项目(科目)进行结构性分析，判断其合理性</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191919"/>
          <w:sz w:val="28"/>
          <w:szCs w:val="28"/>
          <w:lang w:eastAsia="zh-CN"/>
        </w:rPr>
      </w:pPr>
      <w:r>
        <w:rPr>
          <w:rFonts w:hint="eastAsia" w:asciiTheme="minorEastAsia" w:hAnsiTheme="minorEastAsia" w:eastAsiaTheme="minorEastAsia" w:cstheme="minorEastAsia"/>
          <w:color w:val="191919"/>
          <w:sz w:val="28"/>
          <w:szCs w:val="28"/>
        </w:rPr>
        <w:t>(2)近三个会计年度的研究开发费用总额占同期销售收入总额的比例</w:t>
      </w:r>
      <w:r>
        <w:rPr>
          <w:rFonts w:hint="eastAsia" w:asciiTheme="minorEastAsia" w:hAnsiTheme="minorEastAsia" w:eastAsiaTheme="minorEastAsia" w:cstheme="minorEastAsia"/>
          <w:color w:val="191919"/>
          <w:sz w:val="28"/>
          <w:szCs w:val="28"/>
          <w:lang w:eastAsia="zh-CN"/>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检查确认企业近三个会计年度同期销售收入总额</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w:t>
      </w:r>
      <w:r>
        <w:rPr>
          <w:rFonts w:hint="eastAsia" w:asciiTheme="minorEastAsia" w:hAnsiTheme="minorEastAsia" w:eastAsiaTheme="minorEastAsia" w:cstheme="minorEastAsia"/>
          <w:color w:val="000000" w:themeColor="text1"/>
          <w:sz w:val="28"/>
          <w:szCs w:val="28"/>
          <w14:textFill>
            <w14:solidFill>
              <w14:schemeClr w14:val="tx1"/>
            </w14:solidFill>
          </w14:textFill>
        </w:rPr>
        <w:t>复核计算企业在中国境内发生的研究开发费用总额占全部研究开发费用总额的比例</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C、</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检查企业近三个会计年度的研究开发费用总额占同期销售收入总额的比例，与</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计算的结果核对是否一致</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14:textFill>
            <w14:solidFill>
              <w14:schemeClr w14:val="tx1"/>
            </w14:solidFill>
          </w14:textFill>
        </w:rPr>
        <w:t>是否符合《高新技术企业认定管理办法》的相关规定。</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(3)研究开发经费及其分年度分项明细</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检查研究开发费用结构明细表中列报的研究开发项目是否符合《高新技术企业认定管理工作指引》的相关规定，研究判断相关研发项目是否符合政策规定</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w:t>
      </w:r>
      <w:r>
        <w:rPr>
          <w:rFonts w:hint="eastAsia" w:asciiTheme="minorEastAsia" w:hAnsiTheme="minorEastAsia" w:eastAsiaTheme="minorEastAsia" w:cstheme="minorEastAsia"/>
          <w:color w:val="000000" w:themeColor="text1"/>
          <w:sz w:val="28"/>
          <w:szCs w:val="28"/>
          <w14:textFill>
            <w14:solidFill>
              <w14:schemeClr w14:val="tx1"/>
            </w14:solidFill>
          </w14:textFill>
        </w:rPr>
        <w:t>复核研究开发费用结构明细表</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中</w:t>
      </w:r>
      <w:r>
        <w:rPr>
          <w:rFonts w:hint="eastAsia" w:asciiTheme="minorEastAsia" w:hAnsiTheme="minorEastAsia" w:eastAsiaTheme="minorEastAsia" w:cstheme="minorEastAsia"/>
          <w:color w:val="000000" w:themeColor="text1"/>
          <w:sz w:val="28"/>
          <w:szCs w:val="28"/>
          <w14:textFill>
            <w14:solidFill>
              <w14:schemeClr w14:val="tx1"/>
            </w14:solidFill>
          </w14:textFill>
        </w:rPr>
        <w:t>归集核算</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的研究开发费用</w:t>
      </w:r>
      <w:r>
        <w:rPr>
          <w:rFonts w:hint="eastAsia" w:asciiTheme="minorEastAsia" w:hAnsiTheme="minorEastAsia" w:eastAsiaTheme="minorEastAsia" w:cstheme="minorEastAsia"/>
          <w:color w:val="000000" w:themeColor="text1"/>
          <w:sz w:val="28"/>
          <w:szCs w:val="28"/>
          <w14:textFill>
            <w14:solidFill>
              <w14:schemeClr w14:val="tx1"/>
            </w14:solidFill>
          </w14:textFill>
        </w:rPr>
        <w:t>是否正确</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C、</w:t>
      </w:r>
      <w:r>
        <w:rPr>
          <w:rFonts w:hint="eastAsia" w:asciiTheme="minorEastAsia" w:hAnsiTheme="minorEastAsia" w:eastAsiaTheme="minorEastAsia" w:cstheme="minorEastAsia"/>
          <w:color w:val="000000" w:themeColor="text1"/>
          <w:sz w:val="28"/>
          <w:szCs w:val="28"/>
          <w14:textFill>
            <w14:solidFill>
              <w14:schemeClr w14:val="tx1"/>
            </w14:solidFill>
          </w14:textFill>
        </w:rPr>
        <w:t>审核判断建立的研发费</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用</w:t>
      </w:r>
      <w:r>
        <w:rPr>
          <w:rFonts w:hint="eastAsia" w:asciiTheme="minorEastAsia" w:hAnsiTheme="minorEastAsia" w:eastAsiaTheme="minorEastAsia" w:cstheme="minorEastAsia"/>
          <w:color w:val="000000" w:themeColor="text1"/>
          <w:sz w:val="28"/>
          <w:szCs w:val="28"/>
          <w14:textFill>
            <w14:solidFill>
              <w14:schemeClr w14:val="tx1"/>
            </w14:solidFill>
          </w14:textFill>
        </w:rPr>
        <w:t>辅助账是否正确、完整，研发费</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用</w:t>
      </w:r>
      <w:r>
        <w:rPr>
          <w:rFonts w:hint="eastAsia" w:asciiTheme="minorEastAsia" w:hAnsiTheme="minorEastAsia" w:eastAsiaTheme="minorEastAsia" w:cstheme="minorEastAsia"/>
          <w:color w:val="000000" w:themeColor="text1"/>
          <w:sz w:val="28"/>
          <w:szCs w:val="28"/>
          <w14:textFill>
            <w14:solidFill>
              <w14:schemeClr w14:val="tx1"/>
            </w14:solidFill>
          </w14:textFill>
        </w:rPr>
        <w:t>各科目的核算有无错误</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D、</w:t>
      </w:r>
      <w:r>
        <w:rPr>
          <w:rFonts w:hint="eastAsia" w:asciiTheme="minorEastAsia" w:hAnsiTheme="minorEastAsia" w:eastAsiaTheme="minorEastAsia" w:cstheme="minorEastAsia"/>
          <w:color w:val="000000" w:themeColor="text1"/>
          <w:sz w:val="28"/>
          <w:szCs w:val="28"/>
          <w14:textFill>
            <w14:solidFill>
              <w14:schemeClr w14:val="tx1"/>
            </w14:solidFill>
          </w14:textFill>
        </w:rPr>
        <w:t>核对业务资料中披露的关键数据和研发费用明细账，按会计科目逐一审核研发费用核算的合规性与合理性</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E、</w:t>
      </w:r>
      <w:r>
        <w:rPr>
          <w:rFonts w:hint="eastAsia" w:asciiTheme="minorEastAsia" w:hAnsiTheme="minorEastAsia" w:eastAsiaTheme="minorEastAsia" w:cstheme="minorEastAsia"/>
          <w:color w:val="000000" w:themeColor="text1"/>
          <w:sz w:val="28"/>
          <w:szCs w:val="28"/>
          <w14:textFill>
            <w14:solidFill>
              <w14:schemeClr w14:val="tx1"/>
            </w14:solidFill>
          </w14:textFill>
        </w:rPr>
        <w:t>验证和判断</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是否依据《高新技术企业认定管理工作指引》规定，对研发费</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用</w:t>
      </w:r>
      <w:r>
        <w:rPr>
          <w:rFonts w:hint="eastAsia" w:asciiTheme="minorEastAsia" w:hAnsiTheme="minorEastAsia" w:eastAsiaTheme="minorEastAsia" w:cstheme="minorEastAsia"/>
          <w:color w:val="000000" w:themeColor="text1"/>
          <w:sz w:val="28"/>
          <w:szCs w:val="28"/>
          <w14:textFill>
            <w14:solidFill>
              <w14:schemeClr w14:val="tx1"/>
            </w14:solidFill>
          </w14:textFill>
        </w:rPr>
        <w:t>的范围进行正确归集</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2、高新技术产品(服务)收入专项审计，内容包括：</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(1)高新技术产品(服务)收入及其分项明细</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w:t>
      </w:r>
      <w:r>
        <w:rPr>
          <w:rFonts w:hint="eastAsia" w:asciiTheme="minorEastAsia" w:hAnsiTheme="minorEastAsia" w:eastAsiaTheme="minorEastAsia" w:cstheme="minorEastAsia"/>
          <w:color w:val="000000" w:themeColor="text1"/>
          <w:sz w:val="28"/>
          <w:szCs w:val="28"/>
          <w14:textFill>
            <w14:solidFill>
              <w14:schemeClr w14:val="tx1"/>
            </w14:solidFill>
          </w14:textFill>
        </w:rPr>
        <w:t>复核相应高新技术产品（服务）的核心技术是否属于《国家重点支持的高新技术领域》范围，并根据</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提交的资料判断其是否明显无法达到《高新技术企业认定管理工作指引》规定的高新技术产品认定标准</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B、核对</w:t>
      </w:r>
      <w:r>
        <w:rPr>
          <w:rFonts w:hint="eastAsia" w:asciiTheme="minorEastAsia" w:hAnsiTheme="minorEastAsia" w:eastAsiaTheme="minorEastAsia" w:cstheme="minorEastAsia"/>
          <w:color w:val="000000" w:themeColor="text1"/>
          <w:sz w:val="28"/>
          <w:szCs w:val="28"/>
          <w14:textFill>
            <w14:solidFill>
              <w14:schemeClr w14:val="tx1"/>
            </w14:solidFill>
          </w14:textFill>
        </w:rPr>
        <w:t>高新技术产品（服务）明细表与高新技术产品（服务）明细账中明细种类产品收入合计数核对是否相符</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C、</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检查高新技术产品（服务）收入的确认方法是否与财务报表所采用的收入确认方法相一致，是否符合适用的会计准则和相关会计制度的规定，前后各期是否保持一致</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14:textFill>
            <w14:solidFill>
              <w14:schemeClr w14:val="tx1"/>
            </w14:solidFill>
          </w14:textFill>
        </w:rPr>
        <w:t>是否符合既定的收入确认原则、方法</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(2) 技术性收入及其分项明细，包括了技术转让收入、技术承包收入、技术服务收入、接受委托科研收入等内容</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A、核对</w:t>
      </w:r>
      <w:r>
        <w:rPr>
          <w:rFonts w:hint="eastAsia" w:asciiTheme="minorEastAsia" w:hAnsiTheme="minorEastAsia" w:eastAsiaTheme="minorEastAsia" w:cstheme="minorEastAsia"/>
          <w:color w:val="000000" w:themeColor="text1"/>
          <w:sz w:val="28"/>
          <w:szCs w:val="28"/>
          <w14:textFill>
            <w14:solidFill>
              <w14:schemeClr w14:val="tx1"/>
            </w14:solidFill>
          </w14:textFill>
        </w:rPr>
        <w:t>技术收入明细表与技术性收入明细账合计数是否相符</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w:t>
      </w:r>
      <w:r>
        <w:rPr>
          <w:rFonts w:hint="eastAsia" w:asciiTheme="minorEastAsia" w:hAnsiTheme="minorEastAsia" w:eastAsiaTheme="minorEastAsia" w:cstheme="minorEastAsia"/>
          <w:color w:val="000000" w:themeColor="text1"/>
          <w:sz w:val="28"/>
          <w:szCs w:val="28"/>
          <w14:textFill>
            <w14:solidFill>
              <w14:schemeClr w14:val="tx1"/>
            </w14:solidFill>
          </w14:textFill>
        </w:rPr>
        <w:t>审核技术转让收入、技术服务收入、接受委托研究开发收入的分类是否正确</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C、</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检查技术性收入对应的核心支持技术是否属于《国家重点支持的高新技术领域》规定的范围</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D、</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检查技术性收入的确认方法是否与财务报表所采用的收入确认方法相一致，是否符合适用的会计准则和相关会计制度的规定，前后各期是否保持一致</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(3)高新技术产品(服务)收入与技术性收入之和</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(4) 最近一年高新技术产品(服务)收入占企业同期总收入的比例</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A、</w:t>
      </w:r>
      <w:r>
        <w:rPr>
          <w:rFonts w:hint="eastAsia" w:asciiTheme="minorEastAsia" w:hAnsiTheme="minorEastAsia" w:eastAsiaTheme="minorEastAsia" w:cstheme="minorEastAsia"/>
          <w:color w:val="000000" w:themeColor="text1"/>
          <w:sz w:val="28"/>
          <w:szCs w:val="28"/>
          <w14:textFill>
            <w14:solidFill>
              <w14:schemeClr w14:val="tx1"/>
            </w14:solidFill>
          </w14:textFill>
        </w:rPr>
        <w:t>按照《中华人民共和国企业所得税法》及其实施条例的规定复核计算</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的收入总额</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B、</w:t>
      </w:r>
      <w:r>
        <w:rPr>
          <w:rFonts w:hint="eastAsia" w:asciiTheme="minorEastAsia" w:hAnsiTheme="minorEastAsia" w:eastAsiaTheme="minorEastAsia" w:cstheme="minorEastAsia"/>
          <w:color w:val="000000" w:themeColor="text1"/>
          <w:sz w:val="28"/>
          <w:szCs w:val="28"/>
          <w14:textFill>
            <w14:solidFill>
              <w14:schemeClr w14:val="tx1"/>
            </w14:solidFill>
          </w14:textFill>
        </w:rPr>
        <w:t>审核近一个会计年度的企业所得税年度纳税申报表中，披露的收入总额、不征税收入、其他业务收入、营业外收入、财务费用、投资收益、其他收益、资产处置收益等相关科目的核算资料</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C、核对</w:t>
      </w:r>
      <w:r>
        <w:rPr>
          <w:rFonts w:hint="eastAsia" w:asciiTheme="minorEastAsia" w:hAnsiTheme="minorEastAsia" w:eastAsiaTheme="minorEastAsia" w:cstheme="minorEastAsia"/>
          <w:color w:val="000000" w:themeColor="text1"/>
          <w:sz w:val="28"/>
          <w:szCs w:val="28"/>
          <w14:textFill>
            <w14:solidFill>
              <w14:schemeClr w14:val="tx1"/>
            </w14:solidFill>
          </w14:textFill>
        </w:rPr>
        <w:t>审计</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报告披露</w:t>
      </w:r>
      <w:r>
        <w:rPr>
          <w:rFonts w:hint="eastAsia" w:asciiTheme="minorEastAsia" w:hAnsiTheme="minorEastAsia" w:eastAsiaTheme="minorEastAsia" w:cstheme="minorEastAsia"/>
          <w:color w:val="000000" w:themeColor="text1"/>
          <w:sz w:val="28"/>
          <w:szCs w:val="28"/>
          <w14:textFill>
            <w14:solidFill>
              <w14:schemeClr w14:val="tx1"/>
            </w14:solidFill>
          </w14:textFill>
        </w:rPr>
        <w:t>的</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总收入与公司总收入核算金额、企业所得税申报表申报的总收入是否相符</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D、</w:t>
      </w:r>
      <w:r>
        <w:rPr>
          <w:rFonts w:hint="eastAsia" w:asciiTheme="minorEastAsia" w:hAnsiTheme="minorEastAsia" w:eastAsiaTheme="minorEastAsia" w:cstheme="minorEastAsia"/>
          <w:color w:val="000000" w:themeColor="text1"/>
          <w:sz w:val="28"/>
          <w:szCs w:val="28"/>
          <w14:textFill>
            <w14:solidFill>
              <w14:schemeClr w14:val="tx1"/>
            </w14:solidFill>
          </w14:textFill>
        </w:rPr>
        <w:t>复核被鉴证人近一年度高新技术产品（服务）收入占</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同期总收入比例</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E、</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近一年度高新技术产品（服务）收入占</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同期总收入比例，与</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计算的结果核对是否一致。</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F、</w:t>
      </w:r>
      <w:r>
        <w:rPr>
          <w:rFonts w:hint="eastAsia" w:asciiTheme="minorEastAsia" w:hAnsiTheme="minorEastAsia" w:eastAsiaTheme="minorEastAsia" w:cstheme="minorEastAsia"/>
          <w:color w:val="000000" w:themeColor="text1"/>
          <w:sz w:val="28"/>
          <w:szCs w:val="28"/>
          <w14:textFill>
            <w14:solidFill>
              <w14:schemeClr w14:val="tx1"/>
            </w14:solidFill>
          </w14:textFill>
        </w:rPr>
        <w:t>检查</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主要产品（服务）收入之和在</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公司</w:t>
      </w:r>
      <w:r>
        <w:rPr>
          <w:rFonts w:hint="eastAsia" w:asciiTheme="minorEastAsia" w:hAnsiTheme="minorEastAsia" w:eastAsiaTheme="minorEastAsia" w:cstheme="minorEastAsia"/>
          <w:color w:val="000000" w:themeColor="text1"/>
          <w:sz w:val="28"/>
          <w:szCs w:val="28"/>
          <w14:textFill>
            <w14:solidFill>
              <w14:schemeClr w14:val="tx1"/>
            </w14:solidFill>
          </w14:textFill>
        </w:rPr>
        <w:t>同期高新技术产品（服务）收入中是否超过50%</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pStyle w:val="3"/>
        <w:keepNext w:val="0"/>
        <w:keepLines w:val="0"/>
        <w:pageBreakBefore w:val="0"/>
        <w:shd w:val="clear" w:color="auto" w:fill="FFFFFF"/>
        <w:kinsoku/>
        <w:wordWrap/>
        <w:overflowPunct/>
        <w:topLinePunct w:val="0"/>
        <w:autoSpaceDE/>
        <w:autoSpaceDN/>
        <w:bidi w:val="0"/>
        <w:adjustRightInd/>
        <w:snapToGrid/>
        <w:spacing w:before="151" w:beforeAutospacing="0" w:after="432" w:afterAutospacing="0" w:line="580" w:lineRule="exact"/>
        <w:ind w:firstLine="562" w:firstLineChars="200"/>
        <w:textAlignment w:val="auto"/>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3、通过审计出具</w:t>
      </w:r>
      <w:r>
        <w:rPr>
          <w:rFonts w:hint="eastAsia" w:asciiTheme="minorEastAsia" w:hAnsiTheme="minorEastAsia" w:eastAsiaTheme="minorEastAsia" w:cstheme="minorEastAsia"/>
          <w:b/>
          <w:bCs/>
          <w:color w:val="000000" w:themeColor="text1"/>
          <w:sz w:val="28"/>
          <w:szCs w:val="28"/>
          <w:shd w:val="clear" w:color="auto" w:fill="FFFFFF"/>
          <w14:textFill>
            <w14:solidFill>
              <w14:schemeClr w14:val="tx1"/>
            </w14:solidFill>
          </w14:textFill>
        </w:rPr>
        <w:t>2022年-2024</w:t>
      </w:r>
      <w:r>
        <w:rPr>
          <w:rFonts w:hint="eastAsia" w:asciiTheme="minorEastAsia" w:hAnsiTheme="minorEastAsia" w:eastAsiaTheme="minorEastAsia" w:cstheme="minorEastAsia"/>
          <w:b/>
          <w:bCs/>
          <w:color w:val="000000" w:themeColor="text1"/>
          <w:sz w:val="28"/>
          <w:szCs w:val="28"/>
          <w:shd w:val="clear" w:color="auto" w:fill="FAFAFA"/>
          <w14:textFill>
            <w14:solidFill>
              <w14:schemeClr w14:val="tx1"/>
            </w14:solidFill>
          </w14:textFill>
        </w:rPr>
        <w:t>年度研发费用和2024年度高新技术产品（服务）收入专项审计报</w:t>
      </w:r>
      <w:r>
        <w:rPr>
          <w:rFonts w:hint="eastAsia" w:asciiTheme="minorEastAsia" w:hAnsiTheme="minorEastAsia" w:eastAsiaTheme="minorEastAsia" w:cstheme="minorEastAsia"/>
          <w:b/>
          <w:bCs/>
          <w:color w:val="000000" w:themeColor="text1"/>
          <w:sz w:val="28"/>
          <w:szCs w:val="28"/>
          <w14:textFill>
            <w14:solidFill>
              <w14:schemeClr w14:val="tx1"/>
            </w14:solidFill>
          </w14:textFill>
        </w:rPr>
        <w:t>告。</w:t>
      </w:r>
    </w:p>
    <w:p>
      <w:pPr>
        <w:keepNext w:val="0"/>
        <w:keepLines w:val="0"/>
        <w:pageBreakBefore w:val="0"/>
        <w:tabs>
          <w:tab w:val="left" w:pos="0"/>
        </w:tabs>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shd w:val="clear" w:color="auto" w:fill="FAFAFA"/>
          <w14:textFill>
            <w14:solidFill>
              <w14:schemeClr w14:val="tx1"/>
            </w14:solidFill>
          </w14:textFill>
        </w:rPr>
        <w:t>4、</w:t>
      </w:r>
      <w:r>
        <w:rPr>
          <w:rFonts w:hint="eastAsia" w:asciiTheme="minorEastAsia" w:hAnsiTheme="minorEastAsia" w:eastAsiaTheme="minorEastAsia" w:cstheme="minorEastAsia"/>
          <w:b/>
          <w:bCs/>
          <w:color w:val="000000" w:themeColor="text1"/>
          <w:sz w:val="28"/>
          <w:szCs w:val="28"/>
          <w14:textFill>
            <w14:solidFill>
              <w14:schemeClr w14:val="tx1"/>
            </w14:solidFill>
          </w14:textFill>
        </w:rPr>
        <w:t>协助甲方做好研发经费归集工作，提供专业意见。</w:t>
      </w:r>
    </w:p>
    <w:p>
      <w:pPr>
        <w:keepNext w:val="0"/>
        <w:keepLines w:val="0"/>
        <w:pageBreakBefore w:val="0"/>
        <w:tabs>
          <w:tab w:val="left" w:pos="0"/>
        </w:tabs>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5、按合同约定期限提交审计报告</w:t>
      </w:r>
      <w: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包括主要说明、研究开发费结构明细表、有关年度的高新技术产品（服务）收入明细表及有关编制说明等</w:t>
      </w:r>
      <w:r>
        <w:rPr>
          <w:rFonts w:hint="eastAsia" w:asciiTheme="minorEastAsia" w:hAnsiTheme="minorEastAsia" w:eastAsiaTheme="minorEastAsia" w:cstheme="minorEastAsia"/>
          <w:b/>
          <w:bCs/>
          <w:color w:val="000000" w:themeColor="text1"/>
          <w:sz w:val="28"/>
          <w:szCs w:val="28"/>
          <w14:textFill>
            <w14:solidFill>
              <w14:schemeClr w14:val="tx1"/>
            </w14:solidFill>
          </w14:textFill>
        </w:rPr>
        <w:t>。</w:t>
      </w:r>
    </w:p>
    <w:p>
      <w:pPr>
        <w:keepNext w:val="0"/>
        <w:keepLines w:val="0"/>
        <w:pageBreakBefore w:val="0"/>
        <w:tabs>
          <w:tab w:val="left" w:pos="0"/>
        </w:tabs>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6、在审计过程中和合同结束前的后续阶段，提供专业指导意见，协助配合完成有关改进提升工作。</w:t>
      </w:r>
    </w:p>
    <w:p>
      <w:pPr>
        <w:keepNext w:val="0"/>
        <w:keepLines w:val="0"/>
        <w:pageBreakBefore w:val="0"/>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三、服务期限</w:t>
      </w:r>
    </w:p>
    <w:p>
      <w:pPr>
        <w:keepNext w:val="0"/>
        <w:keepLines w:val="0"/>
        <w:pageBreakBefore w:val="0"/>
        <w:kinsoku/>
        <w:wordWrap/>
        <w:overflowPunct/>
        <w:topLinePunct w:val="0"/>
        <w:autoSpaceDE/>
        <w:autoSpaceDN/>
        <w:bidi w:val="0"/>
        <w:adjustRightInd/>
        <w:snapToGrid/>
        <w:spacing w:line="580" w:lineRule="exact"/>
        <w:ind w:firstLine="560"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8"/>
          <w:szCs w:val="28"/>
          <w14:textFill>
            <w14:solidFill>
              <w14:schemeClr w14:val="tx1"/>
            </w14:solidFill>
          </w14:textFill>
        </w:rPr>
        <w:t>个月，起止时间以合同约定时间为准</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四、成果要求</w:t>
      </w:r>
    </w:p>
    <w:p>
      <w:pPr>
        <w:keepNext w:val="0"/>
        <w:keepLines w:val="0"/>
        <w:pageBreakBefore w:val="0"/>
        <w:kinsoku/>
        <w:wordWrap/>
        <w:overflowPunct/>
        <w:topLinePunct w:val="0"/>
        <w:autoSpaceDE/>
        <w:autoSpaceDN/>
        <w:bidi w:val="0"/>
        <w:adjustRightInd/>
        <w:snapToGrid/>
        <w:spacing w:line="580" w:lineRule="exact"/>
        <w:ind w:firstLine="560" w:firstLineChars="200"/>
        <w:textAlignment w:val="auto"/>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pPr>
      <w:r>
        <w:rPr>
          <w:rFonts w:hint="eastAsia" w:asciiTheme="minorEastAsia" w:hAnsiTheme="minorEastAsia" w:eastAsiaTheme="minorEastAsia" w:cstheme="minorEastAsia"/>
          <w:color w:val="000000" w:themeColor="text1"/>
          <w:sz w:val="28"/>
          <w:szCs w:val="28"/>
          <w:shd w:val="clear" w:color="auto" w:fill="FFFFFF"/>
          <w14:textFill>
            <w14:solidFill>
              <w14:schemeClr w14:val="tx1"/>
            </w14:solidFill>
          </w14:textFill>
        </w:rPr>
        <w:t>2022年-2024</w:t>
      </w:r>
      <w:r>
        <w:rPr>
          <w:rFonts w:hint="eastAsia" w:asciiTheme="minorEastAsia" w:hAnsiTheme="minorEastAsia" w:eastAsiaTheme="minorEastAsia" w:cstheme="minorEastAsia"/>
          <w:color w:val="000000" w:themeColor="text1"/>
          <w:sz w:val="28"/>
          <w:szCs w:val="28"/>
          <w:shd w:val="clear" w:color="auto" w:fill="FAFAFA"/>
          <w14:textFill>
            <w14:solidFill>
              <w14:schemeClr w14:val="tx1"/>
            </w14:solidFill>
          </w14:textFill>
        </w:rPr>
        <w:t>年度研发费用和2024年高新技术产品（服务）收入专项审计报告。</w:t>
      </w:r>
      <w:bookmarkStart w:id="1" w:name="_GoBack"/>
      <w:bookmarkEnd w:id="1"/>
    </w:p>
    <w:p>
      <w:pPr>
        <w:keepNext w:val="0"/>
        <w:keepLines w:val="0"/>
        <w:pageBreakBefore w:val="0"/>
        <w:kinsoku/>
        <w:wordWrap/>
        <w:overflowPunct/>
        <w:topLinePunct w:val="0"/>
        <w:autoSpaceDE/>
        <w:autoSpaceDN/>
        <w:bidi w:val="0"/>
        <w:adjustRightInd/>
        <w:snapToGrid/>
        <w:spacing w:line="580" w:lineRule="exact"/>
        <w:ind w:firstLine="562" w:firstLineChars="200"/>
        <w:textAlignment w:val="auto"/>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五、其他要求</w:t>
      </w:r>
    </w:p>
    <w:p>
      <w:pPr>
        <w:keepNext w:val="0"/>
        <w:keepLines w:val="0"/>
        <w:pageBreakBefore w:val="0"/>
        <w:kinsoku/>
        <w:wordWrap/>
        <w:overflowPunct/>
        <w:topLinePunct w:val="0"/>
        <w:autoSpaceDE/>
        <w:autoSpaceDN/>
        <w:bidi w:val="0"/>
        <w:adjustRightInd/>
        <w:snapToGrid/>
        <w:spacing w:line="580" w:lineRule="exact"/>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为保障专项审计工作的专业性、高效性和规范性，审计机构</w:t>
      </w:r>
      <w:r>
        <w:rPr>
          <w:rFonts w:hint="eastAsia" w:asciiTheme="minorEastAsia" w:hAnsiTheme="minorEastAsia" w:eastAsiaTheme="minorEastAsia" w:cstheme="minorEastAsia"/>
          <w:color w:val="000000" w:themeColor="text1"/>
          <w:sz w:val="28"/>
          <w:szCs w:val="28"/>
          <w14:textFill>
            <w14:solidFill>
              <w14:schemeClr w14:val="tx1"/>
            </w14:solidFill>
          </w14:textFill>
        </w:rPr>
        <w:t>必须</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配备至少</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14:textFill>
            <w14:solidFill>
              <w14:schemeClr w14:val="tx1"/>
            </w14:solidFill>
          </w14:textFill>
        </w:rPr>
        <w:t>个注册会计师</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或7个税务师及7</w:t>
      </w:r>
      <w:r>
        <w:rPr>
          <w:rFonts w:hint="eastAsia" w:asciiTheme="minorEastAsia" w:hAnsiTheme="minorEastAsia" w:eastAsiaTheme="minorEastAsia" w:cstheme="minorEastAsia"/>
          <w:color w:val="000000" w:themeColor="text1"/>
          <w:sz w:val="28"/>
          <w:szCs w:val="28"/>
          <w14:textFill>
            <w14:solidFill>
              <w14:schemeClr w14:val="tx1"/>
            </w14:solidFill>
          </w14:textFill>
        </w:rPr>
        <w:t>个会计师</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所有人员需具备相应的专业资质证书，且在有效期内，近三年内无违规执业记录</w:t>
      </w:r>
      <w:r>
        <w:rPr>
          <w:rFonts w:hint="eastAsia" w:asciiTheme="minorEastAsia" w:hAnsiTheme="minorEastAsia" w:eastAsiaTheme="minorEastAsia" w:cstheme="minorEastAsia"/>
          <w:color w:val="000000" w:themeColor="text1"/>
          <w:sz w:val="28"/>
          <w:szCs w:val="28"/>
          <w14:textFill>
            <w14:solidFill>
              <w14:schemeClr w14:val="tx1"/>
            </w14:solidFill>
          </w14:textFill>
        </w:rPr>
        <w:t>；</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审计机构</w:t>
      </w:r>
      <w:r>
        <w:rPr>
          <w:rFonts w:hint="eastAsia" w:asciiTheme="minorEastAsia" w:hAnsiTheme="minorEastAsia" w:eastAsiaTheme="minorEastAsia" w:cstheme="minorEastAsia"/>
          <w:color w:val="000000" w:themeColor="text1"/>
          <w:sz w:val="28"/>
          <w:szCs w:val="28"/>
          <w14:textFill>
            <w14:solidFill>
              <w14:schemeClr w14:val="tx1"/>
            </w14:solidFill>
          </w14:textFill>
        </w:rPr>
        <w:t>必须</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3</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0</w:t>
      </w:r>
      <w:r>
        <w:rPr>
          <w:rFonts w:hint="eastAsia" w:asciiTheme="minorEastAsia" w:hAnsiTheme="minorEastAsia" w:eastAsiaTheme="minorEastAsia" w:cstheme="minorEastAsia"/>
          <w:color w:val="000000" w:themeColor="text1"/>
          <w:sz w:val="28"/>
          <w:szCs w:val="28"/>
          <w14:textFill>
            <w14:solidFill>
              <w14:schemeClr w14:val="tx1"/>
            </w14:solidFill>
          </w14:textFill>
        </w:rPr>
        <w:t>天内完成</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审计</w:t>
      </w:r>
      <w:r>
        <w:rPr>
          <w:rFonts w:hint="eastAsia" w:asciiTheme="minorEastAsia" w:hAnsiTheme="minorEastAsia" w:eastAsiaTheme="minorEastAsia" w:cstheme="minorEastAsia"/>
          <w:color w:val="000000" w:themeColor="text1"/>
          <w:sz w:val="28"/>
          <w:szCs w:val="28"/>
          <w14:textFill>
            <w14:solidFill>
              <w14:schemeClr w14:val="tx1"/>
            </w14:solidFill>
          </w14:textFill>
        </w:rPr>
        <w:t>报告，</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在审计期间的前20</w:t>
      </w:r>
      <w:r>
        <w:rPr>
          <w:rFonts w:hint="eastAsia" w:asciiTheme="minorEastAsia" w:hAnsiTheme="minorEastAsia" w:eastAsiaTheme="minorEastAsia" w:cstheme="minorEastAsia"/>
          <w:color w:val="000000" w:themeColor="text1"/>
          <w:sz w:val="28"/>
          <w:szCs w:val="28"/>
          <w14:textFill>
            <w14:solidFill>
              <w14:schemeClr w14:val="tx1"/>
            </w14:solidFill>
          </w14:textFill>
        </w:rPr>
        <w:t>天</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需保证</w:t>
      </w:r>
      <w:r>
        <w:rPr>
          <w:rFonts w:hint="eastAsia" w:asciiTheme="minorEastAsia" w:hAnsiTheme="minorEastAsia" w:eastAsiaTheme="minorEastAsia" w:cstheme="minorEastAsia"/>
          <w:color w:val="000000" w:themeColor="text1"/>
          <w:sz w:val="28"/>
          <w:szCs w:val="28"/>
          <w14:textFill>
            <w14:solidFill>
              <w14:schemeClr w14:val="tx1"/>
            </w14:solidFill>
          </w14:textFill>
        </w:rPr>
        <w:t>有</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3</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名具备中级及以上职称的</w:t>
      </w:r>
      <w:r>
        <w:rPr>
          <w:rFonts w:hint="eastAsia" w:asciiTheme="minorEastAsia" w:hAnsiTheme="minorEastAsia" w:eastAsiaTheme="minorEastAsia" w:cstheme="minorEastAsia"/>
          <w:color w:val="000000" w:themeColor="text1"/>
          <w:sz w:val="28"/>
          <w:szCs w:val="28"/>
          <w14:textFill>
            <w14:solidFill>
              <w14:schemeClr w14:val="tx1"/>
            </w14:solidFill>
          </w14:textFill>
        </w:rPr>
        <w:t>人员驻点</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办公</w:t>
      </w:r>
      <w:r>
        <w:rPr>
          <w:rFonts w:hint="eastAsia" w:asciiTheme="minorEastAsia" w:hAnsiTheme="minorEastAsia" w:eastAsiaTheme="minorEastAsia" w:cstheme="minorEastAsia"/>
          <w:color w:val="000000" w:themeColor="text1"/>
          <w:sz w:val="28"/>
          <w:szCs w:val="28"/>
          <w14:textFill>
            <w14:solidFill>
              <w14:schemeClr w14:val="tx1"/>
            </w14:solidFill>
          </w14:textFill>
        </w:rPr>
        <w:t>，</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在完成审计报告后60</w:t>
      </w:r>
      <w:r>
        <w:rPr>
          <w:rFonts w:hint="eastAsia" w:asciiTheme="minorEastAsia" w:hAnsiTheme="minorEastAsia" w:eastAsiaTheme="minorEastAsia" w:cstheme="minorEastAsia"/>
          <w:color w:val="000000" w:themeColor="text1"/>
          <w:sz w:val="28"/>
          <w:szCs w:val="28"/>
          <w14:textFill>
            <w14:solidFill>
              <w14:schemeClr w14:val="tx1"/>
            </w14:solidFill>
          </w14:textFill>
        </w:rPr>
        <w:t>天</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内，</w:t>
      </w:r>
      <w:r>
        <w:rPr>
          <w:rFonts w:hint="eastAsia" w:asciiTheme="minorEastAsia" w:hAnsiTheme="minorEastAsia" w:eastAsiaTheme="minorEastAsia" w:cstheme="minorEastAsia"/>
          <w:color w:val="000000" w:themeColor="text1"/>
          <w:sz w:val="28"/>
          <w:szCs w:val="28"/>
          <w14:textFill>
            <w14:solidFill>
              <w14:schemeClr w14:val="tx1"/>
            </w14:solidFill>
          </w14:textFill>
        </w:rPr>
        <w:t>提供咨询辅导服务；</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审计机构</w:t>
      </w:r>
      <w:r>
        <w:rPr>
          <w:rFonts w:hint="eastAsia" w:asciiTheme="minorEastAsia" w:hAnsiTheme="minorEastAsia" w:eastAsiaTheme="minorEastAsia" w:cstheme="minorEastAsia"/>
          <w:color w:val="000000" w:themeColor="text1"/>
          <w:sz w:val="28"/>
          <w:szCs w:val="28"/>
          <w14:textFill>
            <w14:solidFill>
              <w14:schemeClr w14:val="tx1"/>
            </w14:solidFill>
          </w14:textFill>
        </w:rPr>
        <w:t>必须是</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广西高新技术企业认定工作领导办公室在2025年公布</w:t>
      </w:r>
      <w:r>
        <w:rPr>
          <w:rFonts w:hint="eastAsia" w:asciiTheme="minorEastAsia" w:hAnsiTheme="minorEastAsia" w:eastAsiaTheme="minorEastAsia" w:cstheme="minorEastAsia"/>
          <w:color w:val="000000" w:themeColor="text1"/>
          <w:sz w:val="28"/>
          <w:szCs w:val="28"/>
          <w14:textFill>
            <w14:solidFill>
              <w14:schemeClr w14:val="tx1"/>
            </w14:solidFill>
          </w14:textFill>
        </w:rPr>
        <w:t>名单上的</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事务所。</w:t>
      </w:r>
    </w:p>
    <w:sectPr>
      <w:pgSz w:w="11906" w:h="16838"/>
      <w:pgMar w:top="1440" w:right="1134" w:bottom="1440"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xZTNkYTE4MzcwZjBiNTE3ZTU5YTYxZWM3NjgzODMifQ=="/>
    <w:docVar w:name="KSO_WPS_MARK_KEY" w:val="4655f5ed-6cbf-42a0-8852-73c463795b6d"/>
  </w:docVars>
  <w:rsids>
    <w:rsidRoot w:val="00032C1F"/>
    <w:rsid w:val="00032C1F"/>
    <w:rsid w:val="000678D1"/>
    <w:rsid w:val="000807FB"/>
    <w:rsid w:val="00110CEA"/>
    <w:rsid w:val="001E7961"/>
    <w:rsid w:val="002749C0"/>
    <w:rsid w:val="002978C9"/>
    <w:rsid w:val="003302F4"/>
    <w:rsid w:val="003458B6"/>
    <w:rsid w:val="0036036B"/>
    <w:rsid w:val="004236CD"/>
    <w:rsid w:val="00526434"/>
    <w:rsid w:val="0054676C"/>
    <w:rsid w:val="005F3146"/>
    <w:rsid w:val="00652671"/>
    <w:rsid w:val="00665467"/>
    <w:rsid w:val="006F7DFE"/>
    <w:rsid w:val="008024DB"/>
    <w:rsid w:val="00887429"/>
    <w:rsid w:val="008A2691"/>
    <w:rsid w:val="0096673A"/>
    <w:rsid w:val="00A15A06"/>
    <w:rsid w:val="00A96BE6"/>
    <w:rsid w:val="00AF18AF"/>
    <w:rsid w:val="00C25CC5"/>
    <w:rsid w:val="00EB73F7"/>
    <w:rsid w:val="00F3155E"/>
    <w:rsid w:val="00F35F98"/>
    <w:rsid w:val="00F64D3E"/>
    <w:rsid w:val="014B38AD"/>
    <w:rsid w:val="02F765D7"/>
    <w:rsid w:val="03106FF0"/>
    <w:rsid w:val="0355401F"/>
    <w:rsid w:val="0677352A"/>
    <w:rsid w:val="076F3867"/>
    <w:rsid w:val="079D69B7"/>
    <w:rsid w:val="0A0764FF"/>
    <w:rsid w:val="0EAE0F94"/>
    <w:rsid w:val="0F6B2258"/>
    <w:rsid w:val="10597958"/>
    <w:rsid w:val="10901C8B"/>
    <w:rsid w:val="12505629"/>
    <w:rsid w:val="17C85590"/>
    <w:rsid w:val="1B9262CF"/>
    <w:rsid w:val="1BAF3475"/>
    <w:rsid w:val="1F9A41E7"/>
    <w:rsid w:val="209D7B1F"/>
    <w:rsid w:val="294E0E81"/>
    <w:rsid w:val="2B505F9D"/>
    <w:rsid w:val="2D260121"/>
    <w:rsid w:val="2E285745"/>
    <w:rsid w:val="301C48FC"/>
    <w:rsid w:val="30B96535"/>
    <w:rsid w:val="332131D2"/>
    <w:rsid w:val="34F2196C"/>
    <w:rsid w:val="37895744"/>
    <w:rsid w:val="39494A89"/>
    <w:rsid w:val="3A473020"/>
    <w:rsid w:val="3A771C78"/>
    <w:rsid w:val="40612FAD"/>
    <w:rsid w:val="408A6E31"/>
    <w:rsid w:val="4317479F"/>
    <w:rsid w:val="469A0B47"/>
    <w:rsid w:val="4A190858"/>
    <w:rsid w:val="4AAB008E"/>
    <w:rsid w:val="4B0F7DB3"/>
    <w:rsid w:val="52C47146"/>
    <w:rsid w:val="539A758F"/>
    <w:rsid w:val="53D41815"/>
    <w:rsid w:val="583C5DBB"/>
    <w:rsid w:val="5C0852E0"/>
    <w:rsid w:val="5DB563D0"/>
    <w:rsid w:val="5FD566B0"/>
    <w:rsid w:val="62F24162"/>
    <w:rsid w:val="648B5501"/>
    <w:rsid w:val="649C41FC"/>
    <w:rsid w:val="64C353EA"/>
    <w:rsid w:val="675C2222"/>
    <w:rsid w:val="6BAB1D6F"/>
    <w:rsid w:val="6FB25EDF"/>
    <w:rsid w:val="71D91092"/>
    <w:rsid w:val="72FB7C35"/>
    <w:rsid w:val="737B5940"/>
    <w:rsid w:val="75AD1FE0"/>
    <w:rsid w:val="78AD4288"/>
    <w:rsid w:val="78CD43B2"/>
    <w:rsid w:val="7918329E"/>
    <w:rsid w:val="7B0C4692"/>
    <w:rsid w:val="7FF05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宋体" w:eastAsia="宋体" w:cs="Times New Roman"/>
      <w:kern w:val="2"/>
      <w:sz w:val="24"/>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spacing w:line="240" w:lineRule="auto"/>
      <w:jc w:val="center"/>
    </w:pPr>
    <w:rPr>
      <w:sz w:val="18"/>
    </w:rPr>
  </w:style>
  <w:style w:type="paragraph" w:styleId="3">
    <w:name w:val="Normal (Web)"/>
    <w:basedOn w:val="1"/>
    <w:semiHidden/>
    <w:unhideWhenUsed/>
    <w:qFormat/>
    <w:uiPriority w:val="99"/>
    <w:pPr>
      <w:widowControl/>
      <w:spacing w:before="100" w:beforeAutospacing="1" w:after="100" w:afterAutospacing="1" w:line="240" w:lineRule="auto"/>
      <w:jc w:val="left"/>
    </w:pPr>
    <w:rPr>
      <w:rFonts w:cs="宋体"/>
      <w:kern w:val="0"/>
    </w:rPr>
  </w:style>
  <w:style w:type="paragraph" w:customStyle="1" w:styleId="6">
    <w:name w:val="标题 5（有编号）（绿盟科技）"/>
    <w:basedOn w:val="7"/>
    <w:next w:val="8"/>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9">
    <w:name w:val="Revision"/>
    <w:hidden/>
    <w:unhideWhenUsed/>
    <w:qFormat/>
    <w:uiPriority w:val="99"/>
    <w:rPr>
      <w:rFonts w:ascii="宋体" w:hAnsi="宋体"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285</Words>
  <Characters>306</Characters>
  <Lines>17</Lines>
  <Paragraphs>25</Paragraphs>
  <TotalTime>5</TotalTime>
  <ScaleCrop>false</ScaleCrop>
  <LinksUpToDate>false</LinksUpToDate>
  <CharactersWithSpaces>566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2025-01-21T03:40:00Z</dcterms:created>
  <dc:creator>Think</dc:creator>
  <cp:lastModifiedBy>Administrator</cp:lastModifiedBy>
  <dcterms:modified xsi:type="dcterms:W3CDTF">2025-09-15T00:55:59Z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35C1CF8DAAD04B929AE333875CFA74D4</vt:lpwstr>
  </property>
  <property fmtid="{D5CDD505-2E9C-101B-9397-08002B2CF9AE}" pid="4" name="KSOTemplateDocerSaveRecord">
    <vt:lpwstr>eyJoZGlkIjoiMDBkMTI0ZDlmYjI0MmRkNzA4ZjVkMTA3YzU3NzUwM2EiLCJ1c2VySWQiOiIxMTk3NzE3OTk4In0=</vt:lpwstr>
  </property>
</Properties>
</file>