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83273A">
      <w:pPr>
        <w:tabs>
          <w:tab w:val="left" w:pos="480"/>
        </w:tabs>
        <w:adjustRightInd w:val="0"/>
        <w:snapToGrid w:val="0"/>
        <w:jc w:val="center"/>
        <w:rPr>
          <w:rFonts w:hint="eastAsia" w:ascii="Times New Roman" w:hAnsi="Times New Roman" w:eastAsia="宋体" w:cs="Times New Roman"/>
          <w:b/>
          <w:sz w:val="44"/>
          <w:szCs w:val="44"/>
          <w:lang w:val="en-US" w:eastAsia="zh-CN"/>
        </w:rPr>
      </w:pPr>
    </w:p>
    <w:p w14:paraId="502AD8D9">
      <w:pPr>
        <w:tabs>
          <w:tab w:val="left" w:pos="480"/>
        </w:tabs>
        <w:adjustRightInd w:val="0"/>
        <w:snapToGrid w:val="0"/>
        <w:jc w:val="center"/>
        <w:rPr>
          <w:rFonts w:hint="eastAsia" w:ascii="Times New Roman" w:hAnsi="Times New Roman" w:eastAsia="宋体" w:cs="Times New Roman"/>
          <w:b/>
          <w:sz w:val="44"/>
          <w:szCs w:val="44"/>
          <w:lang w:val="en-US" w:eastAsia="zh-CN"/>
        </w:rPr>
      </w:pPr>
    </w:p>
    <w:p w14:paraId="28142BEB">
      <w:pPr>
        <w:tabs>
          <w:tab w:val="left" w:pos="480"/>
        </w:tabs>
        <w:adjustRightInd w:val="0"/>
        <w:snapToGrid w:val="0"/>
        <w:jc w:val="both"/>
        <w:rPr>
          <w:rFonts w:hint="eastAsia" w:ascii="Times New Roman" w:hAnsi="Times New Roman" w:eastAsia="宋体" w:cs="Times New Roman"/>
          <w:b/>
          <w:sz w:val="44"/>
          <w:szCs w:val="44"/>
          <w:lang w:val="en-US" w:eastAsia="zh-CN"/>
        </w:rPr>
      </w:pPr>
    </w:p>
    <w:p w14:paraId="150B2179">
      <w:pPr>
        <w:tabs>
          <w:tab w:val="left" w:pos="480"/>
        </w:tabs>
        <w:adjustRightInd w:val="0"/>
        <w:snapToGrid w:val="0"/>
        <w:jc w:val="center"/>
        <w:rPr>
          <w:rFonts w:hint="eastAsia" w:ascii="Times New Roman" w:hAnsi="Times New Roman" w:eastAsia="宋体" w:cs="Times New Roman"/>
          <w:b/>
          <w:sz w:val="44"/>
          <w:szCs w:val="44"/>
          <w:lang w:val="en-US" w:eastAsia="zh-CN"/>
        </w:rPr>
      </w:pPr>
      <w:r>
        <w:rPr>
          <w:rFonts w:hint="eastAsia" w:ascii="Times New Roman" w:hAnsi="Times New Roman" w:eastAsia="宋体" w:cs="Times New Roman"/>
          <w:b/>
          <w:sz w:val="44"/>
          <w:szCs w:val="44"/>
          <w:lang w:val="en-US" w:eastAsia="zh-CN"/>
        </w:rPr>
        <w:t>南方电网通用航空服务有限公司</w:t>
      </w:r>
    </w:p>
    <w:p w14:paraId="3661F275">
      <w:pPr>
        <w:tabs>
          <w:tab w:val="left" w:pos="480"/>
        </w:tabs>
        <w:adjustRightInd w:val="0"/>
        <w:snapToGrid w:val="0"/>
        <w:jc w:val="center"/>
        <w:rPr>
          <w:rFonts w:hint="default" w:eastAsia="宋体"/>
          <w:b/>
          <w:sz w:val="44"/>
          <w:szCs w:val="44"/>
          <w:lang w:val="en-US" w:eastAsia="zh-CN"/>
        </w:rPr>
      </w:pPr>
      <w:r>
        <w:rPr>
          <w:rFonts w:hint="eastAsia" w:cs="Times New Roman"/>
          <w:b/>
          <w:sz w:val="44"/>
          <w:szCs w:val="44"/>
          <w:lang w:val="en-US" w:eastAsia="zh-CN"/>
        </w:rPr>
        <w:t>多功能数字化运维调测组件研制服务</w:t>
      </w:r>
    </w:p>
    <w:p w14:paraId="731E04E7">
      <w:pPr>
        <w:tabs>
          <w:tab w:val="left" w:pos="480"/>
        </w:tabs>
        <w:adjustRightInd w:val="0"/>
        <w:snapToGrid w:val="0"/>
        <w:jc w:val="center"/>
        <w:rPr>
          <w:b/>
          <w:sz w:val="44"/>
          <w:szCs w:val="44"/>
        </w:rPr>
      </w:pPr>
      <w:r>
        <w:rPr>
          <w:b/>
          <w:sz w:val="44"/>
          <w:szCs w:val="44"/>
        </w:rPr>
        <w:t>技术规范</w:t>
      </w:r>
      <w:r>
        <w:rPr>
          <w:rFonts w:hint="eastAsia"/>
          <w:b/>
          <w:sz w:val="44"/>
          <w:szCs w:val="44"/>
        </w:rPr>
        <w:t>书</w:t>
      </w:r>
    </w:p>
    <w:p w14:paraId="272A6A19"/>
    <w:p w14:paraId="07AE04B1">
      <w:pPr>
        <w:pStyle w:val="9"/>
      </w:pPr>
    </w:p>
    <w:p w14:paraId="3E6D3800"/>
    <w:p w14:paraId="24E00432">
      <w:pPr>
        <w:pStyle w:val="9"/>
      </w:pPr>
    </w:p>
    <w:p w14:paraId="2979EEA7"/>
    <w:p w14:paraId="6CE76FFB">
      <w:pPr>
        <w:pStyle w:val="9"/>
      </w:pPr>
    </w:p>
    <w:p w14:paraId="14D98EBE"/>
    <w:p w14:paraId="0A24ABBE">
      <w:pPr>
        <w:pStyle w:val="9"/>
      </w:pPr>
    </w:p>
    <w:p w14:paraId="30BA7BBE"/>
    <w:p w14:paraId="07AD343D">
      <w:pPr>
        <w:pStyle w:val="9"/>
      </w:pPr>
    </w:p>
    <w:p w14:paraId="75A9543B"/>
    <w:p w14:paraId="003254DC"/>
    <w:p w14:paraId="68B7BD25">
      <w:pPr>
        <w:pStyle w:val="6"/>
      </w:pPr>
    </w:p>
    <w:p w14:paraId="22A56B87">
      <w:pPr>
        <w:pStyle w:val="6"/>
      </w:pPr>
    </w:p>
    <w:p w14:paraId="06C9EAD7">
      <w:pPr>
        <w:pStyle w:val="6"/>
      </w:pPr>
    </w:p>
    <w:p w14:paraId="24E6BB23">
      <w:pPr>
        <w:pStyle w:val="9"/>
      </w:pPr>
    </w:p>
    <w:p w14:paraId="233DEF86">
      <w:pPr>
        <w:jc w:val="center"/>
        <w:rPr>
          <w:rFonts w:hint="default"/>
          <w:b/>
          <w:sz w:val="30"/>
          <w:szCs w:val="30"/>
          <w:lang w:val="en-US" w:eastAsia="zh-CN"/>
        </w:rPr>
      </w:pPr>
      <w:r>
        <w:rPr>
          <w:rFonts w:hint="eastAsia"/>
          <w:b/>
          <w:sz w:val="30"/>
          <w:szCs w:val="30"/>
          <w:lang w:val="en-US" w:eastAsia="zh-CN"/>
        </w:rPr>
        <w:t>南方电网通用航空服务有限公司</w:t>
      </w:r>
    </w:p>
    <w:p w14:paraId="329B1514">
      <w:pPr>
        <w:jc w:val="center"/>
        <w:rPr>
          <w:b/>
          <w:sz w:val="30"/>
          <w:szCs w:val="30"/>
        </w:rPr>
      </w:pPr>
      <w:r>
        <w:rPr>
          <w:b/>
          <w:sz w:val="30"/>
          <w:szCs w:val="30"/>
        </w:rPr>
        <w:t>二〇</w:t>
      </w:r>
      <w:r>
        <w:rPr>
          <w:rFonts w:hint="eastAsia"/>
          <w:b/>
          <w:sz w:val="30"/>
          <w:szCs w:val="30"/>
        </w:rPr>
        <w:t>二</w:t>
      </w:r>
      <w:r>
        <w:rPr>
          <w:rFonts w:hint="eastAsia"/>
          <w:b/>
          <w:sz w:val="30"/>
          <w:szCs w:val="30"/>
          <w:lang w:val="en-US" w:eastAsia="zh-CN"/>
        </w:rPr>
        <w:t>五</w:t>
      </w:r>
      <w:r>
        <w:rPr>
          <w:b/>
          <w:sz w:val="30"/>
          <w:szCs w:val="30"/>
        </w:rPr>
        <w:t>年</w:t>
      </w:r>
      <w:r>
        <w:rPr>
          <w:rFonts w:hint="eastAsia"/>
          <w:b/>
          <w:sz w:val="30"/>
          <w:szCs w:val="30"/>
          <w:lang w:val="en-US" w:eastAsia="zh-CN"/>
        </w:rPr>
        <w:t>九</w:t>
      </w:r>
      <w:r>
        <w:rPr>
          <w:b/>
          <w:sz w:val="30"/>
          <w:szCs w:val="30"/>
        </w:rPr>
        <w:t>月</w:t>
      </w:r>
    </w:p>
    <w:p w14:paraId="721F9060">
      <w:pPr>
        <w:pStyle w:val="4"/>
        <w:rPr>
          <w:rFonts w:ascii="Times New Roman" w:hAnsi="Times New Roman"/>
          <w:szCs w:val="30"/>
        </w:rPr>
      </w:pPr>
      <w:bookmarkStart w:id="0" w:name="_Toc291690053"/>
      <w:bookmarkStart w:id="1" w:name="_Toc351722588"/>
      <w:bookmarkStart w:id="2" w:name="_Toc108688567"/>
      <w:r>
        <w:rPr>
          <w:rFonts w:hint="eastAsia" w:ascii="Times New Roman" w:hAnsi="Times New Roman"/>
          <w:szCs w:val="30"/>
          <w:lang w:val="en-US" w:eastAsia="zh-CN"/>
        </w:rPr>
        <w:t>一</w:t>
      </w:r>
      <w:r>
        <w:rPr>
          <w:rFonts w:hint="eastAsia" w:ascii="Times New Roman" w:hAnsi="Times New Roman"/>
          <w:szCs w:val="30"/>
          <w:lang w:eastAsia="zh-CN"/>
        </w:rPr>
        <w:t>、</w:t>
      </w:r>
      <w:r>
        <w:rPr>
          <w:rFonts w:hint="eastAsia" w:ascii="Times New Roman" w:hAnsi="Times New Roman"/>
          <w:szCs w:val="30"/>
        </w:rPr>
        <w:t>总则</w:t>
      </w:r>
      <w:bookmarkEnd w:id="0"/>
      <w:bookmarkEnd w:id="1"/>
      <w:bookmarkEnd w:id="2"/>
    </w:p>
    <w:p w14:paraId="62036032">
      <w:pPr>
        <w:adjustRightInd w:val="0"/>
        <w:snapToGrid w:val="0"/>
        <w:ind w:firstLine="480" w:firstLineChars="200"/>
      </w:pPr>
      <w:r>
        <w:rPr>
          <w:rFonts w:hint="eastAsia"/>
          <w:lang w:val="en-US" w:eastAsia="zh-CN"/>
        </w:rPr>
        <w:t>1.</w:t>
      </w:r>
      <w:r>
        <w:t>本技术规范仅针对</w:t>
      </w:r>
      <w:r>
        <w:rPr>
          <w:rFonts w:hint="eastAsia"/>
        </w:rPr>
        <w:t>“</w:t>
      </w:r>
      <w:r>
        <w:rPr>
          <w:rFonts w:hint="eastAsia"/>
          <w:lang w:val="en-US" w:eastAsia="zh-CN"/>
        </w:rPr>
        <w:t>多功能数字化运维调测组件研制服务</w:t>
      </w:r>
      <w:r>
        <w:rPr>
          <w:rFonts w:hint="eastAsia"/>
        </w:rPr>
        <w:t>”项目</w:t>
      </w:r>
      <w:r>
        <w:t>（以下简称项目）。</w:t>
      </w:r>
    </w:p>
    <w:p w14:paraId="29CA0943">
      <w:pPr>
        <w:numPr>
          <w:ilvl w:val="0"/>
          <w:numId w:val="0"/>
        </w:numPr>
        <w:adjustRightInd w:val="0"/>
        <w:snapToGrid w:val="0"/>
        <w:ind w:left="0" w:leftChars="0" w:firstLine="480" w:firstLineChars="200"/>
        <w:rPr>
          <w:rFonts w:hint="eastAsia" w:ascii="Times New Roman" w:hAnsi="Times New Roman" w:cs="Times New Roman"/>
          <w:kern w:val="2"/>
          <w:sz w:val="24"/>
          <w:szCs w:val="24"/>
          <w:lang w:val="en-US" w:eastAsia="zh-CN" w:bidi="ar-SA"/>
        </w:rPr>
      </w:pPr>
      <w:r>
        <w:rPr>
          <w:rFonts w:hint="eastAsia" w:ascii="Times New Roman" w:hAnsi="Times New Roman" w:cs="Times New Roman"/>
          <w:kern w:val="2"/>
          <w:sz w:val="24"/>
          <w:szCs w:val="24"/>
          <w:lang w:val="en-US" w:eastAsia="zh-CN" w:bidi="ar-SA"/>
        </w:rPr>
        <w:t>2.本设备技术规范书提出的是最低限度的技术要求，并未对一切技术细节作出规定，也未充分引述有关标准和规范的条文，</w:t>
      </w:r>
      <w:r>
        <w:rPr>
          <w:rFonts w:hint="eastAsia" w:cs="Times New Roman"/>
          <w:kern w:val="2"/>
          <w:sz w:val="24"/>
          <w:szCs w:val="24"/>
          <w:lang w:val="en-US" w:eastAsia="zh-CN" w:bidi="ar-SA"/>
        </w:rPr>
        <w:t>中标方</w:t>
      </w:r>
      <w:r>
        <w:rPr>
          <w:rFonts w:hint="eastAsia" w:ascii="Times New Roman" w:hAnsi="Times New Roman" w:cs="Times New Roman"/>
          <w:kern w:val="2"/>
          <w:sz w:val="24"/>
          <w:szCs w:val="24"/>
          <w:lang w:val="en-US" w:eastAsia="zh-CN" w:bidi="ar-SA"/>
        </w:rPr>
        <w:t>应提供符合本规范书的优质产品。</w:t>
      </w:r>
    </w:p>
    <w:p w14:paraId="76A7E0C2">
      <w:pPr>
        <w:numPr>
          <w:ilvl w:val="0"/>
          <w:numId w:val="0"/>
        </w:numPr>
        <w:adjustRightInd w:val="0"/>
        <w:snapToGrid w:val="0"/>
        <w:ind w:left="0" w:leftChars="0" w:firstLine="480" w:firstLineChars="200"/>
        <w:rPr>
          <w:rFonts w:hint="eastAsia" w:ascii="Times New Roman" w:hAnsi="Times New Roman" w:cs="Times New Roman"/>
          <w:kern w:val="2"/>
          <w:sz w:val="24"/>
          <w:szCs w:val="24"/>
          <w:lang w:val="en-US" w:eastAsia="zh-CN" w:bidi="ar-SA"/>
        </w:rPr>
      </w:pPr>
      <w:r>
        <w:rPr>
          <w:rFonts w:hint="eastAsia" w:ascii="Times New Roman" w:hAnsi="Times New Roman" w:cs="Times New Roman"/>
          <w:kern w:val="2"/>
          <w:sz w:val="24"/>
          <w:szCs w:val="24"/>
          <w:lang w:val="en-US" w:eastAsia="zh-CN" w:bidi="ar-SA"/>
        </w:rPr>
        <w:t>3.如果</w:t>
      </w:r>
      <w:r>
        <w:rPr>
          <w:rFonts w:hint="eastAsia" w:cs="Times New Roman"/>
          <w:kern w:val="2"/>
          <w:sz w:val="24"/>
          <w:szCs w:val="24"/>
          <w:lang w:val="en-US" w:eastAsia="zh-CN" w:bidi="ar-SA"/>
        </w:rPr>
        <w:t>中标方</w:t>
      </w:r>
      <w:r>
        <w:rPr>
          <w:rFonts w:hint="eastAsia" w:ascii="Times New Roman" w:hAnsi="Times New Roman" w:cs="Times New Roman"/>
          <w:kern w:val="2"/>
          <w:sz w:val="24"/>
          <w:szCs w:val="24"/>
          <w:lang w:val="en-US" w:eastAsia="zh-CN" w:bidi="ar-SA"/>
        </w:rPr>
        <w:t>没有以书面形式对本规范书的条文提出异议，则意味着报价方提供的设备完全符合本规范的要求。如有异议，不管是多么细微，都应在报价书中以“与规范书的差异”为标题的专门章节加以详细描述。</w:t>
      </w:r>
    </w:p>
    <w:p w14:paraId="758DC423">
      <w:pPr>
        <w:numPr>
          <w:ilvl w:val="0"/>
          <w:numId w:val="0"/>
        </w:numPr>
        <w:adjustRightInd w:val="0"/>
        <w:snapToGrid w:val="0"/>
        <w:ind w:left="0" w:leftChars="0" w:firstLine="480" w:firstLineChars="200"/>
      </w:pPr>
      <w:r>
        <w:rPr>
          <w:rFonts w:hint="eastAsia" w:cs="Times New Roman"/>
          <w:kern w:val="2"/>
          <w:sz w:val="24"/>
          <w:szCs w:val="24"/>
          <w:lang w:val="en-US" w:eastAsia="zh-CN" w:bidi="ar-SA"/>
        </w:rPr>
        <w:t>4</w:t>
      </w:r>
      <w:r>
        <w:rPr>
          <w:rFonts w:hint="eastAsia" w:ascii="Times New Roman" w:hAnsi="Times New Roman" w:cs="Times New Roman"/>
          <w:kern w:val="2"/>
          <w:sz w:val="24"/>
          <w:szCs w:val="24"/>
          <w:lang w:val="en-US" w:eastAsia="zh-CN" w:bidi="ar-SA"/>
        </w:rPr>
        <w:t>.本设备技术规范未尽事宜，由</w:t>
      </w:r>
      <w:r>
        <w:rPr>
          <w:rFonts w:hint="eastAsia" w:cs="Times New Roman"/>
          <w:kern w:val="2"/>
          <w:sz w:val="24"/>
          <w:szCs w:val="24"/>
          <w:lang w:val="en-US" w:eastAsia="zh-CN" w:bidi="ar-SA"/>
        </w:rPr>
        <w:t>招标方</w:t>
      </w:r>
      <w:r>
        <w:rPr>
          <w:rFonts w:hint="eastAsia" w:ascii="Times New Roman" w:hAnsi="Times New Roman" w:cs="Times New Roman"/>
          <w:kern w:val="2"/>
          <w:sz w:val="24"/>
          <w:szCs w:val="24"/>
          <w:lang w:val="en-US" w:eastAsia="zh-CN" w:bidi="ar-SA"/>
        </w:rPr>
        <w:t>和</w:t>
      </w:r>
      <w:r>
        <w:rPr>
          <w:rFonts w:hint="eastAsia" w:cs="Times New Roman"/>
          <w:kern w:val="2"/>
          <w:sz w:val="24"/>
          <w:szCs w:val="24"/>
          <w:lang w:val="en-US" w:eastAsia="zh-CN" w:bidi="ar-SA"/>
        </w:rPr>
        <w:t>中标方</w:t>
      </w:r>
      <w:r>
        <w:rPr>
          <w:rFonts w:hint="eastAsia" w:ascii="Times New Roman" w:hAnsi="Times New Roman" w:cs="Times New Roman"/>
          <w:kern w:val="2"/>
          <w:sz w:val="24"/>
          <w:szCs w:val="24"/>
          <w:lang w:val="en-US" w:eastAsia="zh-CN" w:bidi="ar-SA"/>
        </w:rPr>
        <w:t>双方协商确定。</w:t>
      </w:r>
    </w:p>
    <w:p w14:paraId="755F9719">
      <w:pPr>
        <w:pStyle w:val="4"/>
        <w:rPr>
          <w:rFonts w:hint="default" w:ascii="Times New Roman" w:hAnsi="Times New Roman" w:eastAsia="宋体"/>
          <w:szCs w:val="30"/>
          <w:lang w:val="en-US" w:eastAsia="zh-CN"/>
        </w:rPr>
      </w:pPr>
      <w:bookmarkStart w:id="3" w:name="_Toc108688568"/>
      <w:r>
        <w:rPr>
          <w:rFonts w:hint="eastAsia" w:ascii="Times New Roman" w:hAnsi="Times New Roman"/>
          <w:szCs w:val="30"/>
          <w:lang w:val="en-US" w:eastAsia="zh-CN"/>
        </w:rPr>
        <w:t>二</w:t>
      </w:r>
      <w:r>
        <w:rPr>
          <w:rFonts w:hint="eastAsia" w:ascii="Times New Roman" w:hAnsi="Times New Roman"/>
          <w:szCs w:val="30"/>
          <w:lang w:eastAsia="zh-CN"/>
        </w:rPr>
        <w:t>、</w:t>
      </w:r>
      <w:bookmarkEnd w:id="3"/>
      <w:r>
        <w:rPr>
          <w:rFonts w:hint="eastAsia" w:ascii="Times New Roman" w:hAnsi="Times New Roman"/>
          <w:szCs w:val="30"/>
          <w:lang w:val="en-US" w:eastAsia="zh-CN"/>
        </w:rPr>
        <w:t>项目概况</w:t>
      </w:r>
    </w:p>
    <w:p w14:paraId="6BD38494">
      <w:pPr>
        <w:ind w:firstLine="480" w:firstLineChars="200"/>
        <w:rPr>
          <w:rFonts w:hint="eastAsia"/>
          <w:lang w:val="en-US" w:eastAsia="zh-CN"/>
        </w:rPr>
      </w:pPr>
      <w:r>
        <w:rPr>
          <w:rFonts w:hint="eastAsia"/>
        </w:rPr>
        <w:t>多功能数字化运维调测组件</w:t>
      </w:r>
      <w:r>
        <w:rPr>
          <w:rFonts w:hint="eastAsia"/>
          <w:lang w:val="en-US" w:eastAsia="zh-CN"/>
        </w:rPr>
        <w:t>研制项目</w:t>
      </w:r>
      <w:r>
        <w:rPr>
          <w:rFonts w:hint="eastAsia"/>
        </w:rPr>
        <w:t>致力于解决现有调测装备在接线便携度、散热、功能集成等方面的不足，从而提高配电终端的运维效率。通过这种新型组件的应用，可以更好地保障电力系统的稳定运行，确保电力供应的可靠性和安全性。</w:t>
      </w:r>
      <w:r>
        <w:rPr>
          <w:rFonts w:hint="eastAsia"/>
          <w:lang w:val="en-US" w:eastAsia="zh-CN"/>
        </w:rPr>
        <w:t xml:space="preserve">  </w:t>
      </w:r>
    </w:p>
    <w:p w14:paraId="48394260">
      <w:pPr>
        <w:pStyle w:val="4"/>
        <w:rPr>
          <w:rFonts w:hint="eastAsia" w:ascii="Times New Roman" w:hAnsi="Times New Roman"/>
          <w:szCs w:val="30"/>
          <w:lang w:val="en-US" w:eastAsia="zh-CN"/>
        </w:rPr>
      </w:pPr>
      <w:r>
        <w:rPr>
          <w:rFonts w:hint="eastAsia" w:ascii="Times New Roman" w:hAnsi="Times New Roman"/>
          <w:szCs w:val="30"/>
          <w:lang w:val="en-US" w:eastAsia="zh-CN"/>
        </w:rPr>
        <w:t>三、研究内容</w:t>
      </w:r>
    </w:p>
    <w:p w14:paraId="7E0A4897">
      <w:pPr>
        <w:pStyle w:val="6"/>
        <w:rPr>
          <w:rFonts w:hint="default"/>
          <w:lang w:val="en-US" w:eastAsia="zh-CN"/>
        </w:rPr>
      </w:pPr>
      <w:r>
        <w:rPr>
          <w:rFonts w:hint="eastAsia"/>
          <w:lang w:val="en-US" w:eastAsia="zh-CN"/>
        </w:rPr>
        <w:t>3.</w:t>
      </w:r>
      <w:r>
        <w:rPr>
          <w:rFonts w:hint="default"/>
          <w:lang w:val="en-US" w:eastAsia="zh-CN"/>
        </w:rPr>
        <w:t>1</w:t>
      </w:r>
      <w:r>
        <w:rPr>
          <w:rFonts w:hint="eastAsia"/>
          <w:lang w:val="en-US" w:eastAsia="zh-CN"/>
        </w:rPr>
        <w:t xml:space="preserve"> </w:t>
      </w:r>
      <w:r>
        <w:rPr>
          <w:rFonts w:hint="default"/>
          <w:lang w:val="en-US" w:eastAsia="zh-CN"/>
        </w:rPr>
        <w:t>便携式快速接线机制研究</w:t>
      </w:r>
    </w:p>
    <w:p w14:paraId="118E3CAE">
      <w:pPr>
        <w:pStyle w:val="6"/>
        <w:rPr>
          <w:rFonts w:hint="default"/>
          <w:lang w:val="en-US" w:eastAsia="zh-CN"/>
        </w:rPr>
      </w:pPr>
      <w:r>
        <w:rPr>
          <w:rFonts w:hint="default"/>
          <w:lang w:val="en-US" w:eastAsia="zh-CN"/>
        </w:rPr>
        <w:t>针对接线结构进行专项优化设计，提升高密度接线的可靠性，并进一步优化物理防设机制。通过采用参数化建模技术，对设备接口布局进行全面重构，</w:t>
      </w:r>
      <w:r>
        <w:rPr>
          <w:rFonts w:hint="eastAsia"/>
          <w:lang w:val="en-US" w:eastAsia="zh-CN"/>
        </w:rPr>
        <w:t>研究</w:t>
      </w:r>
      <w:r>
        <w:rPr>
          <w:rFonts w:hint="default"/>
          <w:lang w:val="en-US" w:eastAsia="zh-CN"/>
        </w:rPr>
        <w:t>更为高效和精确的布局设计，确保接线的稳定性和可靠性</w:t>
      </w:r>
      <w:r>
        <w:rPr>
          <w:rFonts w:hint="eastAsia"/>
          <w:lang w:val="en-US" w:eastAsia="zh-CN"/>
        </w:rPr>
        <w:t>，实现</w:t>
      </w:r>
      <w:r>
        <w:rPr>
          <w:rFonts w:hint="eastAsia" w:ascii="宋体" w:hAnsi="宋体" w:eastAsia="宋体" w:cs="Times New Roman"/>
          <w:sz w:val="24"/>
          <w:lang w:val="en-US" w:eastAsia="zh-CN"/>
        </w:rPr>
        <w:t>支持快速接线，单次接线平均耗时小于5分钟</w:t>
      </w:r>
      <w:r>
        <w:rPr>
          <w:rFonts w:hint="default"/>
          <w:lang w:val="en-US" w:eastAsia="zh-CN"/>
        </w:rPr>
        <w:t>。</w:t>
      </w:r>
    </w:p>
    <w:p w14:paraId="11C77893">
      <w:pPr>
        <w:pStyle w:val="6"/>
        <w:rPr>
          <w:rFonts w:hint="eastAsia"/>
          <w:lang w:val="en-US" w:eastAsia="zh-CN"/>
        </w:rPr>
      </w:pPr>
      <w:r>
        <w:rPr>
          <w:rFonts w:hint="eastAsia"/>
          <w:lang w:val="en-US" w:eastAsia="zh-CN"/>
        </w:rPr>
        <w:t>3.2 多物理场耦合散热技术研究</w:t>
      </w:r>
    </w:p>
    <w:p w14:paraId="142E0B73">
      <w:pPr>
        <w:pStyle w:val="6"/>
        <w:rPr>
          <w:rFonts w:hint="eastAsia"/>
          <w:lang w:val="en-US" w:eastAsia="zh-CN"/>
        </w:rPr>
      </w:pPr>
      <w:r>
        <w:rPr>
          <w:rFonts w:hint="eastAsia"/>
          <w:lang w:val="en-US" w:eastAsia="zh-CN"/>
        </w:rPr>
        <w:t>基于计算传热学的三维热流通道模型，研究先进的拓扑优化算法，设计梯度化的散热架构。通过多层次、多手段的复合散热机制，支持组件长时间稳定运行，核心芯片及其他子组件的表面温度小于60℃。</w:t>
      </w:r>
    </w:p>
    <w:p w14:paraId="7BE750CF">
      <w:pPr>
        <w:pStyle w:val="6"/>
        <w:rPr>
          <w:rFonts w:hint="default"/>
          <w:lang w:val="en-US" w:eastAsia="zh-CN"/>
        </w:rPr>
      </w:pPr>
      <w:r>
        <w:rPr>
          <w:rFonts w:hint="default"/>
          <w:lang w:val="en-US" w:eastAsia="zh-CN"/>
        </w:rPr>
        <w:t>3.</w:t>
      </w:r>
      <w:r>
        <w:rPr>
          <w:rFonts w:hint="eastAsia"/>
          <w:lang w:val="en-US" w:eastAsia="zh-CN"/>
        </w:rPr>
        <w:t xml:space="preserve">3 </w:t>
      </w:r>
      <w:r>
        <w:rPr>
          <w:rFonts w:hint="default"/>
          <w:lang w:val="en-US" w:eastAsia="zh-CN"/>
        </w:rPr>
        <w:t>多功能集成技术开发</w:t>
      </w:r>
    </w:p>
    <w:p w14:paraId="43510F75">
      <w:pPr>
        <w:pStyle w:val="6"/>
        <w:rPr>
          <w:rFonts w:hint="default" w:ascii="宋体" w:hAnsi="宋体" w:cs="Times New Roman"/>
          <w:sz w:val="24"/>
          <w:lang w:val="en-US" w:eastAsia="zh-CN"/>
        </w:rPr>
      </w:pPr>
      <w:r>
        <w:rPr>
          <w:rFonts w:hint="default"/>
          <w:lang w:val="en-US" w:eastAsia="zh-CN"/>
        </w:rPr>
        <w:t>构建一个集成"功能模组-智能分析-交互通信"的协同工作框架</w:t>
      </w:r>
      <w:r>
        <w:rPr>
          <w:rFonts w:hint="eastAsia"/>
          <w:lang w:val="en-US" w:eastAsia="zh-CN"/>
        </w:rPr>
        <w:t>，</w:t>
      </w:r>
      <w:r>
        <w:rPr>
          <w:rFonts w:hint="default"/>
          <w:lang w:val="en-US" w:eastAsia="zh-CN"/>
        </w:rPr>
        <w:t>实现设备的多功能集成，通过重点突破动作逻辑检测、三遥综合测试和智能通信等关键技术，来提升系统的整体性能和智能化水平。</w:t>
      </w:r>
      <w:r>
        <w:rPr>
          <w:rFonts w:hint="default" w:ascii="宋体" w:hAnsi="宋体" w:cs="Times New Roman"/>
          <w:sz w:val="24"/>
          <w:lang w:val="en-US" w:eastAsia="zh-CN"/>
        </w:rPr>
        <w:t>支持测试仪实现动作逻辑检测、三遥综合测试和智能通信功能。支持协作输出电压0-264V、电流0-30A，输出误差小于±0.2%。</w:t>
      </w:r>
    </w:p>
    <w:p w14:paraId="644A01CB">
      <w:pPr>
        <w:pStyle w:val="4"/>
        <w:rPr>
          <w:rFonts w:hint="eastAsia" w:ascii="Times New Roman" w:hAnsi="Times New Roman" w:eastAsia="宋体"/>
          <w:szCs w:val="30"/>
          <w:lang w:val="en-US" w:eastAsia="zh-CN"/>
        </w:rPr>
      </w:pPr>
      <w:bookmarkStart w:id="4" w:name="_Toc108688569"/>
      <w:r>
        <w:rPr>
          <w:rFonts w:hint="eastAsia" w:ascii="Times New Roman" w:hAnsi="Times New Roman"/>
          <w:szCs w:val="30"/>
          <w:lang w:val="en-US" w:eastAsia="zh-CN"/>
        </w:rPr>
        <w:t>四、</w:t>
      </w:r>
      <w:r>
        <w:rPr>
          <w:rFonts w:hint="eastAsia" w:ascii="Times New Roman" w:hAnsi="Times New Roman"/>
          <w:szCs w:val="30"/>
        </w:rPr>
        <w:t>服务</w:t>
      </w:r>
      <w:bookmarkEnd w:id="4"/>
      <w:r>
        <w:rPr>
          <w:rFonts w:hint="eastAsia" w:ascii="Times New Roman" w:hAnsi="Times New Roman"/>
          <w:szCs w:val="30"/>
          <w:lang w:val="en-US" w:eastAsia="zh-CN"/>
        </w:rPr>
        <w:t>要求</w:t>
      </w:r>
    </w:p>
    <w:p w14:paraId="776DDBE0">
      <w:pPr>
        <w:pStyle w:val="6"/>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4.1交付物</w:t>
      </w:r>
    </w:p>
    <w:p w14:paraId="57431FB0">
      <w:pPr>
        <w:pStyle w:val="16"/>
        <w:framePr w:wrap="auto" w:vAnchor="margin" w:hAnchor="text" w:yAlign="inline"/>
        <w:numPr>
          <w:ilvl w:val="0"/>
          <w:numId w:val="1"/>
        </w:numPr>
        <w:spacing w:line="384" w:lineRule="auto"/>
        <w:ind w:left="0" w:leftChars="0" w:firstLine="480" w:firstLineChars="200"/>
        <w:jc w:val="both"/>
        <w:rPr>
          <w:rFonts w:hint="eastAsia" w:ascii="宋体" w:hAnsi="宋体" w:eastAsia="宋体" w:cs="宋体"/>
          <w:lang w:val="en-US" w:eastAsia="zh-CN"/>
        </w:rPr>
      </w:pPr>
      <w:r>
        <w:rPr>
          <w:rFonts w:hint="eastAsia" w:ascii="宋体" w:hAnsi="宋体" w:eastAsia="宋体" w:cs="宋体"/>
          <w:lang w:val="en-US" w:eastAsia="zh-CN"/>
        </w:rPr>
        <w:t>多功能数字化运维调测组件1套</w:t>
      </w:r>
    </w:p>
    <w:p w14:paraId="574AA557">
      <w:pPr>
        <w:pStyle w:val="16"/>
        <w:framePr w:wrap="auto" w:vAnchor="margin" w:hAnchor="text" w:yAlign="inline"/>
        <w:numPr>
          <w:ilvl w:val="0"/>
          <w:numId w:val="1"/>
        </w:numPr>
        <w:spacing w:line="384" w:lineRule="auto"/>
        <w:ind w:left="0" w:leftChars="0" w:firstLine="480" w:firstLineChars="200"/>
        <w:jc w:val="both"/>
        <w:rPr>
          <w:rFonts w:hint="eastAsia" w:ascii="宋体" w:hAnsi="宋体" w:eastAsia="宋体" w:cs="宋体"/>
          <w:lang w:val="en-US" w:eastAsia="zh-CN"/>
        </w:rPr>
      </w:pPr>
      <w:r>
        <w:rPr>
          <w:rFonts w:hint="eastAsia" w:ascii="宋体" w:hAnsi="宋体" w:eastAsia="宋体" w:cs="宋体"/>
          <w:lang w:val="en-US" w:eastAsia="zh-CN"/>
        </w:rPr>
        <w:t>第三方检测报告1份</w:t>
      </w:r>
    </w:p>
    <w:p w14:paraId="528524E2">
      <w:pPr>
        <w:pStyle w:val="6"/>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4.2技术服务要求</w:t>
      </w:r>
    </w:p>
    <w:p w14:paraId="7B0A729A">
      <w:pPr>
        <w:pStyle w:val="16"/>
        <w:framePr w:wrap="auto" w:vAnchor="margin" w:hAnchor="text" w:yAlign="inline"/>
        <w:numPr>
          <w:ilvl w:val="0"/>
          <w:numId w:val="1"/>
        </w:numPr>
        <w:spacing w:line="384" w:lineRule="auto"/>
        <w:ind w:left="0" w:leftChars="0" w:firstLine="480" w:firstLineChars="200"/>
        <w:jc w:val="both"/>
        <w:rPr>
          <w:rFonts w:hint="eastAsia" w:ascii="宋体" w:hAnsi="宋体" w:eastAsia="宋体" w:cs="宋体"/>
          <w:lang w:val="en-US" w:eastAsia="zh-CN"/>
        </w:rPr>
      </w:pPr>
      <w:r>
        <w:rPr>
          <w:rFonts w:hint="eastAsia" w:ascii="宋体" w:hAnsi="宋体" w:eastAsia="宋体" w:cs="宋体"/>
          <w:lang w:val="en-US" w:eastAsia="zh-CN"/>
        </w:rPr>
        <w:t>为确保招标方人员全面参与项目研发全过程。招标方指派技术人员组成技术团队参与核心技术攻关。中标方应指派本单位主要技术负责人配合招标方技术团队的工作。</w:t>
      </w:r>
    </w:p>
    <w:p w14:paraId="5D5E1B33">
      <w:pPr>
        <w:pStyle w:val="16"/>
        <w:framePr w:wrap="auto" w:vAnchor="margin" w:hAnchor="text" w:yAlign="inline"/>
        <w:numPr>
          <w:ilvl w:val="0"/>
          <w:numId w:val="1"/>
        </w:numPr>
        <w:spacing w:line="384" w:lineRule="auto"/>
        <w:ind w:left="0" w:leftChars="0" w:firstLine="480" w:firstLineChars="200"/>
        <w:jc w:val="both"/>
        <w:rPr>
          <w:rFonts w:hint="default" w:ascii="宋体" w:hAnsi="宋体" w:eastAsia="宋体" w:cs="宋体"/>
          <w:lang w:val="en-US" w:eastAsia="zh-CN"/>
        </w:rPr>
      </w:pPr>
      <w:r>
        <w:rPr>
          <w:rFonts w:hint="eastAsia" w:ascii="宋体" w:hAnsi="宋体" w:eastAsia="宋体" w:cs="宋体"/>
          <w:lang w:val="en-US" w:eastAsia="zh-CN"/>
        </w:rPr>
        <w:t>招标方技术团队有权对中标方研发制造全过程的技术工作进行检查监督，有权参与设备图纸设计、审核、主要原材料选用、重大技术变更等关键技术环节工作。中标方应在设备研发、制造主要技术节点通知招标方技术团队参与。</w:t>
      </w:r>
    </w:p>
    <w:p w14:paraId="23276FDC">
      <w:pPr>
        <w:pStyle w:val="6"/>
        <w:rPr>
          <w:rFonts w:hint="eastAsia" w:ascii="Times New Roman" w:hAnsi="Times New Roman" w:eastAsia="宋体" w:cs="Times New Roman"/>
          <w:lang w:val="zh-TW" w:eastAsia="zh-CN"/>
        </w:rPr>
      </w:pPr>
      <w:bookmarkStart w:id="5" w:name="_Toc9295"/>
      <w:r>
        <w:rPr>
          <w:rFonts w:hint="eastAsia" w:ascii="Times New Roman" w:hAnsi="Times New Roman" w:eastAsia="宋体" w:cs="Times New Roman"/>
          <w:lang w:val="en-US" w:eastAsia="zh-CN"/>
        </w:rPr>
        <w:t>4.3材料要求</w:t>
      </w:r>
    </w:p>
    <w:p w14:paraId="09430066">
      <w:pPr>
        <w:pStyle w:val="16"/>
        <w:framePr w:wrap="auto" w:vAnchor="margin" w:hAnchor="text" w:yAlign="inline"/>
        <w:numPr>
          <w:ilvl w:val="0"/>
          <w:numId w:val="2"/>
        </w:numPr>
        <w:spacing w:line="384" w:lineRule="auto"/>
        <w:ind w:left="0" w:leftChars="0" w:firstLine="480" w:firstLineChars="200"/>
        <w:jc w:val="both"/>
        <w:rPr>
          <w:rFonts w:hint="eastAsia" w:ascii="宋体" w:hAnsi="宋体" w:eastAsia="宋体" w:cs="宋体"/>
          <w:lang w:val="en-US" w:eastAsia="zh-CN"/>
        </w:rPr>
      </w:pPr>
      <w:r>
        <w:rPr>
          <w:rFonts w:hint="eastAsia" w:ascii="宋体" w:hAnsi="宋体" w:eastAsia="宋体" w:cs="宋体"/>
          <w:lang w:val="en-US" w:eastAsia="zh-CN"/>
        </w:rPr>
        <w:t>供应商需提供营业执照。</w:t>
      </w:r>
    </w:p>
    <w:p w14:paraId="46AB364A">
      <w:pPr>
        <w:pStyle w:val="16"/>
        <w:framePr w:wrap="auto" w:vAnchor="margin" w:hAnchor="text" w:yAlign="inline"/>
        <w:numPr>
          <w:ilvl w:val="0"/>
          <w:numId w:val="2"/>
        </w:numPr>
        <w:spacing w:line="384" w:lineRule="auto"/>
        <w:ind w:left="0" w:leftChars="0" w:firstLine="480" w:firstLineChars="200"/>
        <w:jc w:val="both"/>
        <w:rPr>
          <w:rFonts w:hint="eastAsia" w:ascii="宋体" w:hAnsi="宋体" w:eastAsia="宋体" w:cs="宋体"/>
          <w:lang w:val="en-US" w:eastAsia="zh-CN"/>
        </w:rPr>
      </w:pPr>
      <w:r>
        <w:rPr>
          <w:rFonts w:hint="eastAsia" w:ascii="宋体" w:hAnsi="宋体" w:eastAsia="宋体" w:cs="宋体"/>
          <w:lang w:val="en-US" w:eastAsia="zh-CN"/>
        </w:rPr>
        <w:t>国家税务总局出具的截止报价日的无欠税证明文件。若在任何国家机关、司法机关、监管机构或第三方信用平台被列入欠税公告名单或存在其他欠税记录，作否决投标处理。</w:t>
      </w:r>
    </w:p>
    <w:p w14:paraId="009F7CBE">
      <w:pPr>
        <w:pStyle w:val="16"/>
        <w:framePr w:wrap="auto" w:vAnchor="margin" w:hAnchor="text" w:yAlign="inline"/>
        <w:numPr>
          <w:ilvl w:val="0"/>
          <w:numId w:val="2"/>
        </w:numPr>
        <w:spacing w:line="384" w:lineRule="auto"/>
        <w:ind w:left="0" w:leftChars="0" w:firstLine="480" w:firstLineChars="200"/>
        <w:jc w:val="both"/>
        <w:rPr>
          <w:rFonts w:hint="eastAsia" w:ascii="宋体" w:hAnsi="宋体" w:eastAsia="宋体" w:cs="宋体"/>
          <w:lang w:val="en-US" w:eastAsia="zh-CN"/>
        </w:rPr>
      </w:pPr>
      <w:r>
        <w:rPr>
          <w:rFonts w:hint="eastAsia" w:ascii="宋体" w:hAnsi="宋体" w:eastAsia="宋体" w:cs="宋体"/>
          <w:lang w:val="en-US" w:eastAsia="zh-CN"/>
        </w:rPr>
        <w:t>本项目报价下浮率高于5% （含本身）的需附成本分析报告。成本分析报告需充分说明费用的组成、降低成本的合理措施及在其他项目中应用过的经验等，未提供成本分析报告视为原则性不响应招标文件要求，作否决投标处理。</w:t>
      </w:r>
    </w:p>
    <w:p w14:paraId="7BA98CC6">
      <w:pPr>
        <w:pStyle w:val="16"/>
        <w:framePr w:wrap="auto" w:vAnchor="margin" w:hAnchor="text" w:yAlign="inline"/>
        <w:numPr>
          <w:ilvl w:val="0"/>
          <w:numId w:val="2"/>
        </w:numPr>
        <w:spacing w:line="384" w:lineRule="auto"/>
        <w:ind w:left="0" w:leftChars="0" w:firstLine="480" w:firstLineChars="200"/>
        <w:jc w:val="both"/>
        <w:rPr>
          <w:rFonts w:hint="eastAsia" w:ascii="宋体" w:hAnsi="宋体" w:eastAsia="宋体" w:cs="宋体"/>
          <w:lang w:val="zh-TW" w:eastAsia="zh-CN"/>
        </w:rPr>
      </w:pPr>
      <w:r>
        <w:rPr>
          <w:rFonts w:hint="eastAsia" w:ascii="宋体" w:hAnsi="宋体" w:eastAsia="宋体" w:cs="宋体"/>
          <w:lang w:val="en-US" w:eastAsia="zh-CN"/>
        </w:rPr>
        <w:t>供应商必须在报价截止时间前36个月内具备电网内类似项目的业绩，并提供相应的合同及发票作为凭证。若不符上述要求，将作否决投标处理。</w:t>
      </w:r>
    </w:p>
    <w:p w14:paraId="54D91362">
      <w:pPr>
        <w:pStyle w:val="16"/>
        <w:framePr w:wrap="auto" w:vAnchor="margin" w:hAnchor="text" w:yAlign="inline"/>
        <w:numPr>
          <w:ilvl w:val="0"/>
          <w:numId w:val="2"/>
        </w:numPr>
        <w:spacing w:line="384" w:lineRule="auto"/>
        <w:ind w:left="0" w:leftChars="0" w:firstLine="480" w:firstLineChars="200"/>
        <w:jc w:val="both"/>
        <w:rPr>
          <w:rFonts w:hint="eastAsia" w:ascii="宋体" w:hAnsi="宋体" w:eastAsia="宋体" w:cs="宋体"/>
          <w:lang w:val="zh-TW" w:eastAsia="zh-CN"/>
        </w:rPr>
      </w:pPr>
      <w:r>
        <w:rPr>
          <w:rFonts w:hint="eastAsia" w:ascii="宋体" w:hAnsi="宋体" w:eastAsia="宋体" w:cs="宋体"/>
          <w:lang w:val="zh-TW" w:eastAsia="zh-CN"/>
        </w:rPr>
        <w:t>投标公司应具备质量管理体系认证、环境管理体系认证、职业健康安全管理体认证</w:t>
      </w:r>
      <w:bookmarkStart w:id="13" w:name="_GoBack"/>
      <w:bookmarkEnd w:id="13"/>
      <w:r>
        <w:rPr>
          <w:rFonts w:hint="eastAsia" w:ascii="宋体" w:hAnsi="宋体" w:eastAsia="宋体" w:cs="宋体"/>
          <w:lang w:val="zh-TW" w:eastAsia="zh-CN"/>
        </w:rPr>
        <w:t>等资质，</w:t>
      </w:r>
      <w:r>
        <w:rPr>
          <w:rFonts w:hint="eastAsia" w:ascii="宋体" w:hAnsi="宋体" w:eastAsia="宋体" w:cs="宋体"/>
          <w:lang w:val="en-US" w:eastAsia="zh-CN"/>
        </w:rPr>
        <w:t>提供相关证明文件。</w:t>
      </w:r>
    </w:p>
    <w:p w14:paraId="05DDA60F">
      <w:pPr>
        <w:pStyle w:val="16"/>
        <w:framePr w:wrap="auto" w:vAnchor="margin" w:hAnchor="text" w:yAlign="inline"/>
        <w:numPr>
          <w:ilvl w:val="0"/>
          <w:numId w:val="2"/>
        </w:numPr>
        <w:spacing w:line="384" w:lineRule="auto"/>
        <w:ind w:left="0" w:leftChars="0" w:firstLine="480" w:firstLineChars="200"/>
        <w:jc w:val="both"/>
        <w:rPr>
          <w:rFonts w:hint="eastAsia" w:ascii="宋体" w:hAnsi="宋体" w:eastAsia="宋体" w:cs="宋体"/>
          <w:lang w:val="zh-TW" w:eastAsia="zh-CN"/>
        </w:rPr>
      </w:pPr>
      <w:r>
        <w:rPr>
          <w:rFonts w:hint="eastAsia" w:ascii="宋体" w:hAnsi="宋体" w:eastAsia="宋体" w:cs="宋体"/>
          <w:lang w:val="en-US" w:eastAsia="zh-CN"/>
        </w:rPr>
        <w:t>供应商因自身原因无法依照技术规范书要求按期交付相关成果的，采购方可立刻停止该采购服务,并按采购概算金额50%赔付采购人损失。</w:t>
      </w:r>
    </w:p>
    <w:p w14:paraId="615DA2C3">
      <w:pPr>
        <w:pStyle w:val="6"/>
        <w:rPr>
          <w:rFonts w:hint="eastAsia" w:ascii="Times New Roman" w:hAnsi="Times New Roman" w:eastAsia="宋体" w:cs="Times New Roman"/>
          <w:lang w:val="zh-TW" w:eastAsia="zh-CN"/>
        </w:rPr>
      </w:pPr>
      <w:r>
        <w:rPr>
          <w:rFonts w:hint="eastAsia" w:ascii="Times New Roman" w:hAnsi="Times New Roman" w:eastAsia="宋体" w:cs="Times New Roman"/>
          <w:lang w:val="en-US" w:eastAsia="zh-CN"/>
        </w:rPr>
        <w:t>4.4</w:t>
      </w:r>
      <w:r>
        <w:rPr>
          <w:rFonts w:hint="eastAsia" w:ascii="Times New Roman" w:hAnsi="Times New Roman" w:eastAsia="宋体" w:cs="Times New Roman"/>
          <w:lang w:val="zh-TW" w:eastAsia="zh-CN"/>
        </w:rPr>
        <w:t>基本要求</w:t>
      </w:r>
      <w:bookmarkEnd w:id="5"/>
    </w:p>
    <w:p w14:paraId="65F70AB5">
      <w:pPr>
        <w:pStyle w:val="16"/>
        <w:framePr w:wrap="auto" w:vAnchor="margin" w:hAnchor="text" w:yAlign="inline"/>
        <w:numPr>
          <w:ilvl w:val="0"/>
          <w:numId w:val="3"/>
        </w:numPr>
        <w:spacing w:line="384" w:lineRule="auto"/>
        <w:ind w:left="0" w:leftChars="0" w:firstLine="480" w:firstLineChars="200"/>
        <w:jc w:val="both"/>
        <w:rPr>
          <w:rFonts w:hint="eastAsia" w:ascii="宋体" w:hAnsi="宋体" w:eastAsia="宋体" w:cs="宋体"/>
          <w:lang w:val="zh-TW" w:eastAsia="zh-TW"/>
        </w:rPr>
      </w:pPr>
      <w:bookmarkStart w:id="6" w:name="_Toc9697"/>
      <w:bookmarkStart w:id="7" w:name="_Toc12"/>
      <w:bookmarkStart w:id="8" w:name="_Toc114175627"/>
      <w:r>
        <w:rPr>
          <w:rFonts w:hint="eastAsia" w:ascii="宋体" w:hAnsi="宋体" w:eastAsia="宋体" w:cs="宋体"/>
          <w:lang w:val="zh-TW" w:eastAsia="zh-TW"/>
        </w:rPr>
        <w:t>合同设备的质保期为现场验收合格后，质保期为1年，相关费用包含在系统总报价中。</w:t>
      </w:r>
    </w:p>
    <w:p w14:paraId="41BF65E1">
      <w:pPr>
        <w:pStyle w:val="16"/>
        <w:framePr w:wrap="auto" w:vAnchor="margin" w:hAnchor="text" w:yAlign="inline"/>
        <w:numPr>
          <w:ilvl w:val="0"/>
          <w:numId w:val="3"/>
        </w:numPr>
        <w:spacing w:line="384" w:lineRule="auto"/>
        <w:ind w:left="0" w:leftChars="0" w:firstLine="480" w:firstLineChars="200"/>
        <w:jc w:val="both"/>
        <w:rPr>
          <w:rFonts w:hint="eastAsia" w:ascii="宋体" w:hAnsi="宋体" w:eastAsia="宋体" w:cs="宋体"/>
          <w:lang w:val="en-US" w:eastAsia="zh-CN"/>
        </w:rPr>
      </w:pPr>
      <w:r>
        <w:rPr>
          <w:rFonts w:hint="eastAsia" w:ascii="宋体" w:hAnsi="宋体" w:eastAsia="宋体" w:cs="宋体"/>
          <w:lang w:val="zh-TW" w:eastAsia="zh-TW"/>
        </w:rPr>
        <w:t>在本项目研究完成之后，中标方必须向用户提供良好的技术支持与咨询服务，必须要有专门队伍从事此项工作，为招标方提供相关的业务和咨询服务。</w:t>
      </w:r>
    </w:p>
    <w:p w14:paraId="7F8B6EF3">
      <w:pPr>
        <w:pStyle w:val="16"/>
        <w:framePr w:wrap="auto" w:vAnchor="margin" w:hAnchor="text" w:yAlign="inline"/>
        <w:numPr>
          <w:ilvl w:val="0"/>
          <w:numId w:val="3"/>
        </w:numPr>
        <w:spacing w:line="384" w:lineRule="auto"/>
        <w:ind w:left="0" w:leftChars="0" w:firstLine="480" w:firstLineChars="200"/>
        <w:jc w:val="both"/>
        <w:rPr>
          <w:rFonts w:hint="eastAsia" w:ascii="宋体" w:hAnsi="宋体" w:eastAsia="宋体" w:cs="宋体"/>
          <w:lang w:val="zh-TW" w:eastAsia="zh-TW"/>
        </w:rPr>
      </w:pPr>
      <w:r>
        <w:rPr>
          <w:rFonts w:hint="eastAsia" w:ascii="宋体" w:hAnsi="宋体" w:eastAsia="宋体" w:cs="宋体"/>
          <w:lang w:val="zh-TW" w:eastAsia="zh-TW"/>
        </w:rPr>
        <w:t>中</w:t>
      </w:r>
      <w:r>
        <w:rPr>
          <w:rFonts w:hint="eastAsia" w:ascii="宋体" w:hAnsi="宋体" w:eastAsia="宋体" w:cs="宋体"/>
          <w:lang w:val="en-US" w:eastAsia="zh-CN"/>
        </w:rPr>
        <w:t>标方需</w:t>
      </w:r>
      <w:r>
        <w:rPr>
          <w:rFonts w:hint="eastAsia" w:ascii="宋体" w:hAnsi="宋体" w:eastAsia="宋体" w:cs="宋体"/>
          <w:lang w:val="zh-TW" w:eastAsia="zh-TW"/>
        </w:rPr>
        <w:t>委派人员跟进测试加工服务内容工作，跟进项目验收工作。</w:t>
      </w:r>
    </w:p>
    <w:p w14:paraId="0996DA90">
      <w:pPr>
        <w:pStyle w:val="16"/>
        <w:framePr w:wrap="auto" w:vAnchor="margin" w:hAnchor="text" w:yAlign="inline"/>
        <w:numPr>
          <w:ilvl w:val="0"/>
          <w:numId w:val="3"/>
        </w:numPr>
        <w:spacing w:line="384" w:lineRule="auto"/>
        <w:ind w:left="0" w:leftChars="0" w:firstLine="480" w:firstLineChars="200"/>
        <w:jc w:val="both"/>
        <w:rPr>
          <w:rFonts w:hint="eastAsia" w:ascii="宋体" w:hAnsi="宋体" w:eastAsia="宋体" w:cs="宋体"/>
          <w:lang w:val="zh-TW" w:eastAsia="zh-TW"/>
        </w:rPr>
      </w:pPr>
      <w:r>
        <w:rPr>
          <w:rFonts w:hint="eastAsia" w:ascii="宋体" w:hAnsi="宋体" w:eastAsia="宋体" w:cs="宋体"/>
          <w:lang w:val="zh-TW" w:eastAsia="zh-TW"/>
        </w:rPr>
        <w:t>中</w:t>
      </w:r>
      <w:r>
        <w:rPr>
          <w:rFonts w:hint="eastAsia" w:ascii="宋体" w:hAnsi="宋体" w:eastAsia="宋体" w:cs="宋体"/>
          <w:lang w:val="en-US" w:eastAsia="zh-CN"/>
        </w:rPr>
        <w:t>标方需</w:t>
      </w:r>
      <w:r>
        <w:rPr>
          <w:rFonts w:hint="eastAsia" w:ascii="宋体" w:hAnsi="宋体" w:eastAsia="宋体" w:cs="宋体"/>
          <w:lang w:val="zh-TW" w:eastAsia="zh-TW"/>
        </w:rPr>
        <w:t>委派人员跟进设备现场验收功能，直至项目完结。</w:t>
      </w:r>
    </w:p>
    <w:p w14:paraId="3F99067F">
      <w:pPr>
        <w:pStyle w:val="16"/>
        <w:framePr w:wrap="auto" w:vAnchor="margin" w:hAnchor="text" w:yAlign="inline"/>
        <w:numPr>
          <w:ilvl w:val="0"/>
          <w:numId w:val="3"/>
        </w:numPr>
        <w:spacing w:line="384" w:lineRule="auto"/>
        <w:ind w:left="0" w:leftChars="0" w:firstLine="480" w:firstLineChars="200"/>
        <w:jc w:val="both"/>
        <w:rPr>
          <w:rFonts w:hint="eastAsia" w:ascii="宋体" w:hAnsi="宋体" w:eastAsia="宋体" w:cs="宋体"/>
          <w:lang w:val="en-US" w:eastAsia="zh-CN"/>
        </w:rPr>
      </w:pPr>
      <w:r>
        <w:rPr>
          <w:rFonts w:hint="eastAsia" w:ascii="宋体" w:hAnsi="宋体" w:eastAsia="宋体" w:cs="宋体"/>
          <w:lang w:val="zh-TW" w:eastAsia="zh-TW"/>
        </w:rPr>
        <w:t>在后期招标方对本项目的研究成果进行推广、宣传的过程中，中标方要提供相应的支持，为招标方提供咨询服务，同时对推广、宣传过程中用户提出的疑问进行解答。</w:t>
      </w:r>
    </w:p>
    <w:p w14:paraId="339E7C51">
      <w:pPr>
        <w:pStyle w:val="16"/>
        <w:framePr w:wrap="auto" w:vAnchor="margin" w:hAnchor="text" w:yAlign="inline"/>
        <w:numPr>
          <w:ilvl w:val="0"/>
          <w:numId w:val="3"/>
        </w:numPr>
        <w:spacing w:line="384" w:lineRule="auto"/>
        <w:ind w:left="0" w:leftChars="0" w:firstLine="480" w:firstLineChars="200"/>
        <w:jc w:val="both"/>
        <w:rPr>
          <w:rFonts w:hint="eastAsia" w:ascii="宋体" w:hAnsi="宋体" w:eastAsia="宋体" w:cs="宋体"/>
          <w:lang w:val="zh-TW" w:eastAsia="zh-TW"/>
        </w:rPr>
      </w:pPr>
      <w:r>
        <w:rPr>
          <w:rFonts w:hint="eastAsia" w:ascii="宋体" w:hAnsi="宋体" w:eastAsia="宋体" w:cs="宋体"/>
          <w:lang w:val="zh-TW" w:eastAsia="zh-TW"/>
        </w:rPr>
        <w:t>如果招标方要对本次研究的成果进行修订，中标方应提供相应的咨询服务指导招标方完成修订工作。</w:t>
      </w:r>
    </w:p>
    <w:p w14:paraId="4BB9ED2A">
      <w:pPr>
        <w:pStyle w:val="6"/>
        <w:rPr>
          <w:rFonts w:hint="default" w:ascii="Times New Roman" w:hAnsi="Times New Roman" w:eastAsia="宋体" w:cs="Times New Roman"/>
          <w:lang w:val="en-US" w:eastAsia="zh-TW"/>
        </w:rPr>
      </w:pPr>
      <w:r>
        <w:rPr>
          <w:rFonts w:hint="eastAsia" w:ascii="Times New Roman" w:hAnsi="Times New Roman" w:eastAsia="宋体" w:cs="Times New Roman"/>
          <w:lang w:val="en-US" w:eastAsia="zh-CN"/>
        </w:rPr>
        <w:t>4.5包装</w:t>
      </w:r>
      <w:bookmarkEnd w:id="6"/>
      <w:r>
        <w:rPr>
          <w:rFonts w:hint="eastAsia" w:cs="Times New Roman"/>
          <w:lang w:val="en-US" w:eastAsia="zh-CN"/>
        </w:rPr>
        <w:t>要求</w:t>
      </w:r>
    </w:p>
    <w:p w14:paraId="73718194">
      <w:pPr>
        <w:pStyle w:val="16"/>
        <w:framePr w:wrap="auto" w:vAnchor="margin" w:hAnchor="text" w:yAlign="inline"/>
        <w:numPr>
          <w:ilvl w:val="0"/>
          <w:numId w:val="4"/>
        </w:numPr>
        <w:spacing w:line="384" w:lineRule="auto"/>
        <w:ind w:left="0" w:leftChars="0" w:firstLine="480" w:firstLineChars="200"/>
        <w:jc w:val="both"/>
        <w:rPr>
          <w:rFonts w:hint="eastAsia" w:ascii="宋体" w:hAnsi="宋体" w:eastAsia="宋体" w:cs="宋体"/>
          <w:lang w:val="en-US" w:eastAsia="zh-CN"/>
        </w:rPr>
      </w:pPr>
      <w:r>
        <w:rPr>
          <w:rFonts w:hint="eastAsia" w:ascii="宋体" w:hAnsi="宋体" w:eastAsia="宋体" w:cs="宋体"/>
          <w:lang w:val="en-US" w:eastAsia="zh-CN"/>
        </w:rPr>
        <w:t>要严格按照制造厂给出的说明书对产品进行包装、运输和储存。制造厂应在交货前的适当时间提供产品的运输和储存说明书；</w:t>
      </w:r>
    </w:p>
    <w:p w14:paraId="34622BE5">
      <w:pPr>
        <w:pStyle w:val="16"/>
        <w:framePr w:wrap="auto" w:vAnchor="margin" w:hAnchor="text" w:yAlign="inline"/>
        <w:numPr>
          <w:ilvl w:val="0"/>
          <w:numId w:val="4"/>
        </w:numPr>
        <w:spacing w:line="384" w:lineRule="auto"/>
        <w:ind w:left="0" w:leftChars="0" w:firstLine="480" w:firstLineChars="200"/>
        <w:jc w:val="both"/>
        <w:rPr>
          <w:rFonts w:hint="eastAsia" w:ascii="宋体" w:hAnsi="宋体" w:eastAsia="宋体" w:cs="宋体"/>
          <w:lang w:val="en-US" w:eastAsia="zh-CN"/>
        </w:rPr>
      </w:pPr>
      <w:r>
        <w:rPr>
          <w:rFonts w:hint="eastAsia" w:ascii="宋体" w:hAnsi="宋体" w:eastAsia="宋体" w:cs="宋体"/>
          <w:lang w:val="en-US" w:eastAsia="zh-CN"/>
        </w:rPr>
        <w:t>产品制造完成并通过试验后应及时包装，否则应得到切实的保护。其包装也应符合铁路、公路和海运部门的有关规定；</w:t>
      </w:r>
    </w:p>
    <w:p w14:paraId="7C686E04">
      <w:pPr>
        <w:pStyle w:val="16"/>
        <w:framePr w:wrap="auto" w:vAnchor="margin" w:hAnchor="text" w:yAlign="inline"/>
        <w:numPr>
          <w:ilvl w:val="0"/>
          <w:numId w:val="4"/>
        </w:numPr>
        <w:spacing w:line="384" w:lineRule="auto"/>
        <w:ind w:left="0" w:leftChars="0" w:firstLine="480" w:firstLineChars="200"/>
        <w:jc w:val="both"/>
        <w:rPr>
          <w:rFonts w:hint="eastAsia" w:ascii="宋体" w:hAnsi="宋体" w:eastAsia="宋体" w:cs="宋体"/>
          <w:lang w:val="en-US" w:eastAsia="zh-CN"/>
        </w:rPr>
      </w:pPr>
      <w:r>
        <w:rPr>
          <w:rFonts w:hint="eastAsia" w:ascii="宋体" w:hAnsi="宋体" w:eastAsia="宋体" w:cs="宋体"/>
          <w:lang w:val="en-US" w:eastAsia="zh-CN"/>
        </w:rPr>
        <w:t>包装箱上应有运输及起吊标志：“向上”、“防潮”、“小心轻放”、“由此吊起”等字样明显的包装储运图示标志，并应标明设备的订货号和发货号；</w:t>
      </w:r>
    </w:p>
    <w:p w14:paraId="6CF28213">
      <w:pPr>
        <w:pStyle w:val="16"/>
        <w:framePr w:wrap="auto" w:vAnchor="margin" w:hAnchor="text" w:yAlign="inline"/>
        <w:numPr>
          <w:ilvl w:val="0"/>
          <w:numId w:val="4"/>
        </w:numPr>
        <w:spacing w:line="384" w:lineRule="auto"/>
        <w:ind w:left="0" w:leftChars="0" w:firstLine="480" w:firstLineChars="200"/>
        <w:jc w:val="both"/>
        <w:rPr>
          <w:rFonts w:hint="eastAsia" w:ascii="宋体" w:hAnsi="宋体" w:eastAsia="宋体" w:cs="宋体"/>
          <w:lang w:val="zh-TW" w:eastAsia="zh-TW"/>
        </w:rPr>
      </w:pPr>
      <w:r>
        <w:rPr>
          <w:rFonts w:hint="eastAsia" w:ascii="宋体" w:hAnsi="宋体" w:eastAsia="宋体" w:cs="宋体"/>
          <w:lang w:val="en-US" w:eastAsia="zh-CN"/>
        </w:rPr>
        <w:t>产品的包装应能保证设备各零部件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14:paraId="64015F18">
      <w:pPr>
        <w:pStyle w:val="6"/>
        <w:rPr>
          <w:rFonts w:hint="default" w:ascii="Times New Roman" w:hAnsi="Times New Roman" w:eastAsia="宋体" w:cs="Times New Roman"/>
          <w:lang w:val="en-US" w:eastAsia="zh-TW"/>
        </w:rPr>
      </w:pPr>
      <w:bookmarkStart w:id="9" w:name="_Toc23477"/>
      <w:r>
        <w:rPr>
          <w:rFonts w:hint="eastAsia" w:ascii="Times New Roman" w:hAnsi="Times New Roman" w:eastAsia="宋体" w:cs="Times New Roman"/>
          <w:lang w:val="en-US" w:eastAsia="zh-CN"/>
        </w:rPr>
        <w:t>4.6运输</w:t>
      </w:r>
      <w:bookmarkEnd w:id="9"/>
      <w:r>
        <w:rPr>
          <w:rFonts w:hint="eastAsia" w:cs="Times New Roman"/>
          <w:lang w:val="en-US" w:eastAsia="zh-CN"/>
        </w:rPr>
        <w:t>要求</w:t>
      </w:r>
    </w:p>
    <w:p w14:paraId="7816857C">
      <w:pPr>
        <w:pStyle w:val="16"/>
        <w:framePr w:wrap="auto" w:vAnchor="margin" w:hAnchor="text" w:yAlign="inline"/>
        <w:numPr>
          <w:ilvl w:val="0"/>
          <w:numId w:val="5"/>
        </w:numPr>
        <w:spacing w:line="384" w:lineRule="auto"/>
        <w:ind w:left="0" w:leftChars="0" w:firstLine="480" w:firstLineChars="200"/>
        <w:jc w:val="both"/>
        <w:rPr>
          <w:rFonts w:hint="eastAsia" w:ascii="宋体" w:hAnsi="宋体" w:eastAsia="宋体" w:cs="宋体"/>
          <w:lang w:val="zh-TW" w:eastAsia="zh-TW"/>
        </w:rPr>
      </w:pPr>
      <w:r>
        <w:rPr>
          <w:rFonts w:hint="eastAsia" w:ascii="宋体" w:hAnsi="宋体" w:eastAsia="宋体" w:cs="宋体"/>
          <w:lang w:val="zh-TW" w:eastAsia="zh-TW"/>
        </w:rPr>
        <w:t>整体运输时产品内部元件应不得移位、损坏和受潮，不得影响安装；</w:t>
      </w:r>
    </w:p>
    <w:p w14:paraId="2A9D5048">
      <w:pPr>
        <w:pStyle w:val="16"/>
        <w:framePr w:wrap="auto" w:vAnchor="margin" w:hAnchor="text" w:yAlign="inline"/>
        <w:numPr>
          <w:ilvl w:val="0"/>
          <w:numId w:val="5"/>
        </w:numPr>
        <w:spacing w:line="384" w:lineRule="auto"/>
        <w:ind w:left="0" w:leftChars="0" w:firstLine="480" w:firstLineChars="200"/>
        <w:jc w:val="both"/>
        <w:rPr>
          <w:rFonts w:hint="eastAsia" w:ascii="宋体" w:hAnsi="宋体" w:eastAsia="宋体" w:cs="宋体"/>
          <w:lang w:val="zh-TW" w:eastAsia="zh-TW"/>
        </w:rPr>
      </w:pPr>
      <w:r>
        <w:rPr>
          <w:rFonts w:hint="eastAsia" w:ascii="宋体" w:hAnsi="宋体" w:eastAsia="宋体" w:cs="宋体"/>
          <w:lang w:val="zh-TW" w:eastAsia="zh-TW"/>
        </w:rPr>
        <w:t>单独运输的零部件应有标志，便于用户安装装配；</w:t>
      </w:r>
    </w:p>
    <w:p w14:paraId="19A0164F">
      <w:pPr>
        <w:pStyle w:val="16"/>
        <w:framePr w:wrap="auto" w:vAnchor="margin" w:hAnchor="text" w:yAlign="inline"/>
        <w:numPr>
          <w:ilvl w:val="0"/>
          <w:numId w:val="5"/>
        </w:numPr>
        <w:spacing w:line="384" w:lineRule="auto"/>
        <w:ind w:left="0" w:leftChars="0" w:firstLine="480" w:firstLineChars="200"/>
        <w:jc w:val="both"/>
        <w:rPr>
          <w:rFonts w:hint="eastAsia" w:ascii="宋体" w:hAnsi="宋体" w:eastAsia="宋体" w:cs="宋体"/>
          <w:lang w:val="zh-TW" w:eastAsia="zh-TW"/>
        </w:rPr>
      </w:pPr>
      <w:r>
        <w:rPr>
          <w:rFonts w:hint="eastAsia" w:ascii="宋体" w:hAnsi="宋体" w:eastAsia="宋体" w:cs="宋体"/>
          <w:lang w:val="zh-TW" w:eastAsia="zh-TW"/>
        </w:rPr>
        <w:t>整体产品或分别运输的部件，都要适合于运输及装卸的要求；</w:t>
      </w:r>
    </w:p>
    <w:p w14:paraId="36323C50">
      <w:pPr>
        <w:pStyle w:val="16"/>
        <w:framePr w:wrap="auto" w:vAnchor="margin" w:hAnchor="text" w:yAlign="inline"/>
        <w:numPr>
          <w:ilvl w:val="0"/>
          <w:numId w:val="5"/>
        </w:numPr>
        <w:spacing w:line="384" w:lineRule="auto"/>
        <w:ind w:left="0" w:leftChars="0" w:firstLine="480" w:firstLineChars="200"/>
        <w:jc w:val="both"/>
        <w:rPr>
          <w:rFonts w:hint="eastAsia" w:ascii="宋体" w:hAnsi="宋体" w:eastAsia="宋体" w:cs="宋体"/>
          <w:lang w:val="zh-TW" w:eastAsia="zh-TW"/>
        </w:rPr>
      </w:pPr>
      <w:r>
        <w:rPr>
          <w:rFonts w:hint="eastAsia" w:ascii="宋体" w:hAnsi="宋体" w:eastAsia="宋体" w:cs="宋体"/>
          <w:lang w:val="zh-TW" w:eastAsia="zh-TW"/>
        </w:rPr>
        <w:t>随同运输的产品应附有装箱清单，产品所需提供的技术资料应完整无缺；</w:t>
      </w:r>
    </w:p>
    <w:p w14:paraId="24785D61">
      <w:pPr>
        <w:pStyle w:val="6"/>
        <w:rPr>
          <w:rFonts w:hint="default" w:ascii="Times New Roman" w:hAnsi="Times New Roman" w:eastAsia="宋体" w:cs="Times New Roman"/>
          <w:lang w:val="en-US" w:eastAsia="zh-TW"/>
        </w:rPr>
      </w:pPr>
      <w:bookmarkStart w:id="10" w:name="_Toc22988"/>
      <w:r>
        <w:rPr>
          <w:rFonts w:hint="eastAsia" w:ascii="Times New Roman" w:hAnsi="Times New Roman" w:eastAsia="宋体" w:cs="Times New Roman"/>
          <w:lang w:val="en-US" w:eastAsia="zh-CN"/>
        </w:rPr>
        <w:t>4.7储存</w:t>
      </w:r>
      <w:bookmarkEnd w:id="10"/>
      <w:r>
        <w:rPr>
          <w:rFonts w:hint="eastAsia" w:cs="Times New Roman"/>
          <w:lang w:val="en-US" w:eastAsia="zh-CN"/>
        </w:rPr>
        <w:t>要求</w:t>
      </w:r>
    </w:p>
    <w:p w14:paraId="5D1B2119">
      <w:pPr>
        <w:pStyle w:val="18"/>
        <w:tabs>
          <w:tab w:val="left" w:pos="567"/>
        </w:tabs>
        <w:spacing w:line="400" w:lineRule="exact"/>
        <w:ind w:firstLine="480" w:firstLineChars="200"/>
        <w:rPr>
          <w:rFonts w:hint="eastAsia" w:ascii="宋体" w:hAnsi="宋体" w:eastAsia="宋体" w:cs="宋体"/>
          <w:kern w:val="2"/>
          <w:sz w:val="24"/>
          <w:szCs w:val="24"/>
          <w:lang w:val="zh-TW" w:eastAsia="zh-TW" w:bidi="ar-SA"/>
        </w:rPr>
      </w:pPr>
      <w:r>
        <w:rPr>
          <w:rFonts w:hint="eastAsia" w:ascii="宋体" w:hAnsi="宋体" w:eastAsia="宋体" w:cs="宋体"/>
          <w:kern w:val="2"/>
          <w:sz w:val="24"/>
          <w:szCs w:val="24"/>
          <w:lang w:val="en-US" w:eastAsia="zh-CN" w:bidi="ar-SA"/>
        </w:rPr>
        <w:t>存放在正常环境温度、干燥的室内保管，以防止储存过程中密封破坏而受潮。</w:t>
      </w:r>
    </w:p>
    <w:p w14:paraId="53DBF5A9">
      <w:pPr>
        <w:pStyle w:val="6"/>
        <w:rPr>
          <w:rFonts w:hint="eastAsia" w:ascii="Times New Roman" w:hAnsi="Times New Roman" w:eastAsia="宋体" w:cs="Times New Roman"/>
          <w:lang w:val="zh-TW" w:eastAsia="zh-TW"/>
        </w:rPr>
      </w:pPr>
      <w:bookmarkStart w:id="11" w:name="_Toc21314"/>
      <w:r>
        <w:rPr>
          <w:rFonts w:hint="eastAsia" w:ascii="Times New Roman" w:hAnsi="Times New Roman" w:eastAsia="宋体" w:cs="Times New Roman"/>
          <w:lang w:val="en-US" w:eastAsia="zh-CN"/>
        </w:rPr>
        <w:t>4.8安装指导</w:t>
      </w:r>
      <w:bookmarkEnd w:id="11"/>
    </w:p>
    <w:p w14:paraId="38AB4381">
      <w:pPr>
        <w:pStyle w:val="16"/>
        <w:framePr w:wrap="auto" w:vAnchor="margin" w:hAnchor="text" w:yAlign="inline"/>
        <w:ind w:firstLine="480" w:firstLineChars="200"/>
        <w:rPr>
          <w:rFonts w:hint="eastAsia" w:ascii="宋体" w:hAnsi="宋体" w:eastAsia="宋体" w:cs="宋体"/>
          <w:color w:val="auto"/>
          <w:kern w:val="2"/>
          <w:sz w:val="24"/>
          <w:szCs w:val="24"/>
          <w:lang w:val="zh-TW" w:eastAsia="zh-TW" w:bidi="ar-SA"/>
        </w:rPr>
      </w:pPr>
      <w:r>
        <w:rPr>
          <w:rFonts w:hint="eastAsia" w:ascii="宋体" w:hAnsi="宋体" w:eastAsia="宋体" w:cs="宋体"/>
          <w:color w:val="auto"/>
          <w:kern w:val="2"/>
          <w:sz w:val="24"/>
          <w:szCs w:val="24"/>
          <w:lang w:val="en-US" w:eastAsia="zh-CN" w:bidi="ar-SA"/>
        </w:rPr>
        <w:t>制造厂在安装和启动时应安排技术人员提供现场安装指导服务，提出技术建议，并有对运行人员提供相关培训的义务。</w:t>
      </w:r>
    </w:p>
    <w:p w14:paraId="1B7C6AEF">
      <w:pPr>
        <w:pStyle w:val="6"/>
        <w:rPr>
          <w:rFonts w:hint="eastAsia" w:ascii="Times New Roman" w:hAnsi="Times New Roman" w:eastAsia="宋体" w:cs="Times New Roman"/>
          <w:lang w:val="zh-TW" w:eastAsia="zh-TW"/>
        </w:rPr>
      </w:pPr>
      <w:bookmarkStart w:id="12" w:name="_Toc21602"/>
      <w:r>
        <w:rPr>
          <w:rFonts w:hint="eastAsia" w:ascii="Times New Roman" w:hAnsi="Times New Roman" w:eastAsia="宋体" w:cs="Times New Roman"/>
          <w:lang w:val="en-US" w:eastAsia="zh-CN"/>
        </w:rPr>
        <w:t>4.9</w:t>
      </w:r>
      <w:r>
        <w:rPr>
          <w:rFonts w:hint="eastAsia" w:ascii="Times New Roman" w:hAnsi="Times New Roman" w:eastAsia="宋体" w:cs="Times New Roman"/>
          <w:lang w:val="zh-TW" w:eastAsia="zh-TW"/>
        </w:rPr>
        <w:t>售后要求</w:t>
      </w:r>
      <w:bookmarkEnd w:id="7"/>
      <w:bookmarkEnd w:id="8"/>
      <w:bookmarkEnd w:id="12"/>
    </w:p>
    <w:p w14:paraId="0BD8C914">
      <w:pPr>
        <w:pStyle w:val="16"/>
        <w:framePr w:wrap="auto" w:vAnchor="margin" w:hAnchor="text" w:yAlign="inline"/>
        <w:numPr>
          <w:ilvl w:val="0"/>
          <w:numId w:val="6"/>
        </w:numPr>
        <w:spacing w:line="384" w:lineRule="auto"/>
        <w:ind w:left="0" w:leftChars="0" w:firstLine="480" w:firstLineChars="200"/>
        <w:jc w:val="both"/>
        <w:rPr>
          <w:rFonts w:hint="eastAsia" w:ascii="宋体" w:hAnsi="宋体" w:eastAsia="宋体" w:cs="宋体"/>
          <w:lang w:val="zh-TW" w:eastAsia="zh-TW"/>
        </w:rPr>
      </w:pPr>
      <w:r>
        <w:rPr>
          <w:rFonts w:hint="eastAsia" w:ascii="宋体" w:hAnsi="宋体" w:eastAsia="宋体" w:cs="宋体"/>
          <w:lang w:val="zh-TW" w:eastAsia="zh-TW"/>
        </w:rPr>
        <w:t>在本项目实施阶段，中标人必须向最终用户提供良好的技术支持。必须要有专门队伍从事此项工作，提供现场技术服务，负责项目建设的技术指导，直至项目的所有系统、功能完全达到预定要求，保证项目的顺利完成。</w:t>
      </w:r>
    </w:p>
    <w:p w14:paraId="1CBF1A6C">
      <w:pPr>
        <w:pStyle w:val="16"/>
        <w:framePr w:wrap="auto" w:vAnchor="margin" w:hAnchor="text" w:yAlign="inline"/>
        <w:numPr>
          <w:ilvl w:val="0"/>
          <w:numId w:val="6"/>
        </w:numPr>
        <w:spacing w:line="384" w:lineRule="auto"/>
        <w:ind w:left="0" w:leftChars="0" w:firstLine="480" w:firstLineChars="200"/>
        <w:jc w:val="both"/>
        <w:rPr>
          <w:rFonts w:hint="eastAsia" w:ascii="宋体" w:hAnsi="宋体" w:eastAsia="宋体" w:cs="宋体"/>
          <w:lang w:val="zh-TW" w:eastAsia="zh-TW"/>
        </w:rPr>
      </w:pPr>
      <w:r>
        <w:rPr>
          <w:rFonts w:hint="eastAsia" w:ascii="宋体" w:hAnsi="宋体" w:eastAsia="宋体" w:cs="宋体"/>
          <w:lang w:val="zh-TW" w:eastAsia="zh-TW"/>
        </w:rPr>
        <w:t>中标人应提供投入于本项目建设的人员名单和详细的项目实施计划。</w:t>
      </w:r>
      <w:r>
        <w:rPr>
          <w:rFonts w:hint="eastAsia" w:ascii="宋体" w:hAnsi="宋体" w:eastAsia="宋体" w:cs="宋体"/>
          <w:lang w:val="zh-TW" w:eastAsia="zh-CN"/>
        </w:rPr>
        <w:t>投标方</w:t>
      </w:r>
      <w:r>
        <w:rPr>
          <w:rFonts w:hint="eastAsia" w:ascii="宋体" w:hAnsi="宋体" w:eastAsia="宋体" w:cs="宋体"/>
          <w:lang w:val="zh-TW" w:eastAsia="zh-TW"/>
        </w:rPr>
        <w:t xml:space="preserve">应做出承诺保证。并提供全天候7*24的热线技术支持服务，必须对用户所反映的任何问题在4小时之内得到及时响应，在远程不能解决问题的情况下，应确保8小时之内赶到现场解决问题。 </w:t>
      </w:r>
    </w:p>
    <w:p w14:paraId="7D6E1689">
      <w:pPr>
        <w:pStyle w:val="16"/>
        <w:framePr w:wrap="auto" w:vAnchor="margin" w:hAnchor="text" w:yAlign="inline"/>
        <w:numPr>
          <w:ilvl w:val="0"/>
          <w:numId w:val="6"/>
        </w:numPr>
        <w:spacing w:line="384" w:lineRule="auto"/>
        <w:ind w:left="0" w:leftChars="0" w:firstLine="480" w:firstLineChars="200"/>
        <w:jc w:val="both"/>
        <w:rPr>
          <w:rFonts w:hint="eastAsia" w:ascii="宋体" w:hAnsi="宋体" w:eastAsia="宋体" w:cs="宋体"/>
          <w:lang w:val="zh-TW" w:eastAsia="zh-TW"/>
        </w:rPr>
      </w:pPr>
      <w:r>
        <w:rPr>
          <w:rFonts w:hint="eastAsia" w:ascii="宋体" w:hAnsi="宋体" w:eastAsia="宋体" w:cs="宋体"/>
          <w:lang w:val="zh-TW" w:eastAsia="zh-TW"/>
        </w:rPr>
        <w:t>中标人所提供的技术服务在实施期、试运行期及最终验收后的质保期内，由于技术和质量问题而产生的系统故障，中标人均应免费提供技术服务，及时解决系统运行中存在的各种问题。</w:t>
      </w:r>
    </w:p>
    <w:p w14:paraId="754D04E1">
      <w:pPr>
        <w:pStyle w:val="16"/>
        <w:framePr w:wrap="auto" w:vAnchor="margin" w:hAnchor="text" w:yAlign="inline"/>
        <w:numPr>
          <w:ilvl w:val="0"/>
          <w:numId w:val="6"/>
        </w:numPr>
        <w:spacing w:line="384" w:lineRule="auto"/>
        <w:ind w:left="0" w:leftChars="0" w:firstLine="480" w:firstLineChars="200"/>
        <w:jc w:val="both"/>
        <w:rPr>
          <w:rFonts w:hint="eastAsia" w:ascii="宋体" w:hAnsi="宋体" w:eastAsia="宋体" w:cs="宋体"/>
          <w:lang w:val="zh-TW" w:eastAsia="zh-TW"/>
        </w:rPr>
      </w:pPr>
      <w:r>
        <w:rPr>
          <w:rFonts w:hint="eastAsia" w:ascii="宋体" w:hAnsi="宋体" w:eastAsia="宋体" w:cs="宋体"/>
          <w:lang w:val="zh-TW" w:eastAsia="zh-TW"/>
        </w:rPr>
        <w:t>在质保期结束后，中标方仍需向招标方提供服务，服务费用另行结算不计入投标总价。</w:t>
      </w:r>
    </w:p>
    <w:p w14:paraId="70DF825C">
      <w:pPr>
        <w:pStyle w:val="6"/>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SimSong Bold">
    <w:altName w:val="宋体"/>
    <w:panose1 w:val="00000000000000000000"/>
    <w:charset w:val="86"/>
    <w:family w:val="roman"/>
    <w:pitch w:val="default"/>
    <w:sig w:usb0="00000000" w:usb1="00000000" w:usb2="00000016" w:usb3="00000000" w:csb0="0004000D" w:csb1="00000000"/>
  </w:font>
  <w:font w:name="Arial Unicode MS">
    <w:altName w:val="宋体"/>
    <w:panose1 w:val="020B0604020202020204"/>
    <w:charset w:val="86"/>
    <w:family w:val="swiss"/>
    <w:pitch w:val="default"/>
    <w:sig w:usb0="00000000" w:usb1="00000000"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19E15D"/>
    <w:multiLevelType w:val="singleLevel"/>
    <w:tmpl w:val="8B19E15D"/>
    <w:lvl w:ilvl="0" w:tentative="0">
      <w:start w:val="1"/>
      <w:numFmt w:val="decimal"/>
      <w:suff w:val="nothing"/>
      <w:lvlText w:val="(%1)"/>
      <w:lvlJc w:val="left"/>
      <w:pPr>
        <w:ind w:left="0" w:leftChars="0" w:firstLine="40" w:firstLineChars="0"/>
      </w:pPr>
      <w:rPr>
        <w:rFonts w:hint="default"/>
      </w:rPr>
    </w:lvl>
  </w:abstractNum>
  <w:abstractNum w:abstractNumId="1">
    <w:nsid w:val="FA379BF7"/>
    <w:multiLevelType w:val="singleLevel"/>
    <w:tmpl w:val="FA379BF7"/>
    <w:lvl w:ilvl="0" w:tentative="0">
      <w:start w:val="1"/>
      <w:numFmt w:val="decimal"/>
      <w:suff w:val="nothing"/>
      <w:lvlText w:val="(%1)"/>
      <w:lvlJc w:val="left"/>
      <w:pPr>
        <w:ind w:left="0" w:leftChars="0" w:firstLine="40" w:firstLineChars="0"/>
      </w:pPr>
      <w:rPr>
        <w:rFonts w:hint="default"/>
      </w:rPr>
    </w:lvl>
  </w:abstractNum>
  <w:abstractNum w:abstractNumId="2">
    <w:nsid w:val="0FFC35F8"/>
    <w:multiLevelType w:val="singleLevel"/>
    <w:tmpl w:val="0FFC35F8"/>
    <w:lvl w:ilvl="0" w:tentative="0">
      <w:start w:val="1"/>
      <w:numFmt w:val="decimal"/>
      <w:suff w:val="nothing"/>
      <w:lvlText w:val="(%1)"/>
      <w:lvlJc w:val="left"/>
      <w:pPr>
        <w:ind w:left="0" w:leftChars="0" w:firstLine="40" w:firstLineChars="0"/>
      </w:pPr>
      <w:rPr>
        <w:rFonts w:hint="default"/>
      </w:rPr>
    </w:lvl>
  </w:abstractNum>
  <w:abstractNum w:abstractNumId="3">
    <w:nsid w:val="20698879"/>
    <w:multiLevelType w:val="singleLevel"/>
    <w:tmpl w:val="20698879"/>
    <w:lvl w:ilvl="0" w:tentative="0">
      <w:start w:val="1"/>
      <w:numFmt w:val="decimal"/>
      <w:suff w:val="nothing"/>
      <w:lvlText w:val="(%1)"/>
      <w:lvlJc w:val="left"/>
      <w:pPr>
        <w:ind w:left="0" w:leftChars="0" w:firstLine="40" w:firstLineChars="0"/>
      </w:pPr>
      <w:rPr>
        <w:rFonts w:hint="default"/>
      </w:rPr>
    </w:lvl>
  </w:abstractNum>
  <w:abstractNum w:abstractNumId="4">
    <w:nsid w:val="47B7834F"/>
    <w:multiLevelType w:val="singleLevel"/>
    <w:tmpl w:val="47B7834F"/>
    <w:lvl w:ilvl="0" w:tentative="0">
      <w:start w:val="1"/>
      <w:numFmt w:val="decimal"/>
      <w:suff w:val="nothing"/>
      <w:lvlText w:val="(%1)"/>
      <w:lvlJc w:val="left"/>
      <w:pPr>
        <w:ind w:left="0" w:leftChars="0" w:firstLine="40" w:firstLineChars="0"/>
      </w:pPr>
      <w:rPr>
        <w:rFonts w:hint="default"/>
      </w:rPr>
    </w:lvl>
  </w:abstractNum>
  <w:abstractNum w:abstractNumId="5">
    <w:nsid w:val="5AD51B99"/>
    <w:multiLevelType w:val="singleLevel"/>
    <w:tmpl w:val="5AD51B99"/>
    <w:lvl w:ilvl="0" w:tentative="0">
      <w:start w:val="1"/>
      <w:numFmt w:val="decimal"/>
      <w:suff w:val="nothing"/>
      <w:lvlText w:val="(%1)"/>
      <w:lvlJc w:val="left"/>
      <w:pPr>
        <w:ind w:left="0" w:leftChars="0" w:firstLine="40" w:firstLineChars="0"/>
      </w:pPr>
      <w:rPr>
        <w:rFonts w:hint="default"/>
      </w:rPr>
    </w:lvl>
  </w:abstractNum>
  <w:num w:numId="1">
    <w:abstractNumId w:val="4"/>
  </w:num>
  <w:num w:numId="2">
    <w:abstractNumId w:val="1"/>
  </w:num>
  <w:num w:numId="3">
    <w:abstractNumId w:val="0"/>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E11D68"/>
    <w:rsid w:val="00C42CD2"/>
    <w:rsid w:val="089141A0"/>
    <w:rsid w:val="0D8633EB"/>
    <w:rsid w:val="0D8F4B67"/>
    <w:rsid w:val="18296CD0"/>
    <w:rsid w:val="1D601A66"/>
    <w:rsid w:val="1FE11D68"/>
    <w:rsid w:val="22BE1432"/>
    <w:rsid w:val="27866F5B"/>
    <w:rsid w:val="294A444A"/>
    <w:rsid w:val="2CE572FB"/>
    <w:rsid w:val="30D352F0"/>
    <w:rsid w:val="363D7949"/>
    <w:rsid w:val="36985775"/>
    <w:rsid w:val="56404289"/>
    <w:rsid w:val="5B1909C7"/>
    <w:rsid w:val="603C6FD2"/>
    <w:rsid w:val="63B81632"/>
    <w:rsid w:val="69503FE8"/>
    <w:rsid w:val="6F4B7912"/>
    <w:rsid w:val="73873F96"/>
    <w:rsid w:val="7C761D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imes New Roman" w:hAnsi="Times New Roman" w:eastAsia="宋体" w:cs="Times New Roman"/>
      <w:kern w:val="2"/>
      <w:sz w:val="24"/>
      <w:szCs w:val="24"/>
      <w:lang w:val="en-US" w:eastAsia="zh-CN" w:bidi="ar-SA"/>
    </w:rPr>
  </w:style>
  <w:style w:type="paragraph" w:styleId="4">
    <w:name w:val="heading 2"/>
    <w:basedOn w:val="1"/>
    <w:next w:val="1"/>
    <w:qFormat/>
    <w:uiPriority w:val="0"/>
    <w:pPr>
      <w:keepNext/>
      <w:keepLines/>
      <w:spacing w:before="160" w:after="160"/>
      <w:contextualSpacing/>
      <w:outlineLvl w:val="1"/>
    </w:pPr>
    <w:rPr>
      <w:rFonts w:ascii="楷体_GB2312" w:hAnsi="Arial"/>
      <w:b/>
      <w:sz w:val="32"/>
      <w:szCs w:val="20"/>
    </w:rPr>
  </w:style>
  <w:style w:type="paragraph" w:styleId="5">
    <w:name w:val="heading 5"/>
    <w:basedOn w:val="1"/>
    <w:next w:val="1"/>
    <w:qFormat/>
    <w:uiPriority w:val="9"/>
    <w:pPr>
      <w:keepNext/>
      <w:keepLines/>
      <w:widowControl w:val="0"/>
      <w:spacing w:before="280" w:after="290" w:line="376" w:lineRule="auto"/>
      <w:jc w:val="both"/>
      <w:outlineLvl w:val="4"/>
    </w:pPr>
    <w:rPr>
      <w:rFonts w:ascii="Calibri" w:hAnsi="Calibri" w:eastAsia="仿宋" w:cs="Times New Roman"/>
      <w:b/>
      <w:bCs/>
      <w:kern w:val="2"/>
      <w:sz w:val="30"/>
      <w:szCs w:val="28"/>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1"/>
    <w:pPr>
      <w:spacing w:after="120" w:line="360" w:lineRule="auto"/>
    </w:pPr>
    <w:rPr>
      <w:rFonts w:ascii="Times New Roman" w:hAnsi="Times New Roman" w:eastAsia="宋体" w:cs="Times New Roman"/>
      <w:szCs w:val="24"/>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Normal Indent"/>
    <w:basedOn w:val="1"/>
    <w:qFormat/>
    <w:uiPriority w:val="0"/>
    <w:pPr>
      <w:ind w:firstLine="420" w:firstLineChars="200"/>
    </w:pPr>
  </w:style>
  <w:style w:type="paragraph" w:styleId="7">
    <w:name w:val="Plain Text"/>
    <w:basedOn w:val="1"/>
    <w:qFormat/>
    <w:uiPriority w:val="0"/>
    <w:pPr>
      <w:ind w:firstLine="200" w:firstLineChars="200"/>
    </w:pPr>
    <w:rPr>
      <w:rFonts w:ascii="宋体" w:hAnsi="Courier New"/>
      <w:sz w:val="24"/>
    </w:rPr>
  </w:style>
  <w:style w:type="paragraph" w:styleId="8">
    <w:name w:val="footer"/>
    <w:basedOn w:val="1"/>
    <w:qFormat/>
    <w:uiPriority w:val="99"/>
    <w:pPr>
      <w:tabs>
        <w:tab w:val="center" w:pos="4153"/>
        <w:tab w:val="right" w:pos="8306"/>
      </w:tabs>
      <w:snapToGrid w:val="0"/>
      <w:jc w:val="left"/>
    </w:pPr>
    <w:rPr>
      <w:sz w:val="18"/>
      <w:szCs w:val="18"/>
    </w:rPr>
  </w:style>
  <w:style w:type="paragraph" w:styleId="9">
    <w:name w:val="toc 2"/>
    <w:basedOn w:val="1"/>
    <w:next w:val="1"/>
    <w:qFormat/>
    <w:uiPriority w:val="39"/>
    <w:pPr>
      <w:ind w:left="420" w:leftChars="200"/>
    </w:pPr>
  </w:style>
  <w:style w:type="paragraph" w:styleId="10">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一标题"/>
    <w:qFormat/>
    <w:uiPriority w:val="0"/>
    <w:pPr>
      <w:spacing w:before="100" w:beforeLines="100" w:line="360" w:lineRule="auto"/>
    </w:pPr>
    <w:rPr>
      <w:rFonts w:ascii="宋体" w:hAnsi="宋体" w:eastAsia="宋体" w:cs="Times New Roman"/>
      <w:b/>
      <w:sz w:val="24"/>
      <w:lang w:val="en-US" w:eastAsia="zh-CN" w:bidi="ar-SA"/>
    </w:rPr>
  </w:style>
  <w:style w:type="paragraph" w:customStyle="1" w:styleId="15">
    <w:name w:val="标题 21"/>
    <w:next w:val="16"/>
    <w:qFormat/>
    <w:uiPriority w:val="0"/>
    <w:pPr>
      <w:keepNext/>
      <w:keepLines/>
      <w:framePr w:wrap="around" w:vAnchor="margin" w:hAnchor="text" w:y="1"/>
      <w:spacing w:line="360" w:lineRule="auto"/>
      <w:ind w:left="155" w:hanging="155"/>
      <w:outlineLvl w:val="1"/>
    </w:pPr>
    <w:rPr>
      <w:rFonts w:ascii="SimSong Bold" w:hAnsi="SimSong Bold" w:eastAsia="SimSong Bold" w:cs="SimSong Bold"/>
      <w:color w:val="000000"/>
      <w:sz w:val="30"/>
      <w:szCs w:val="30"/>
      <w:u w:color="000000"/>
      <w:lang w:val="en-US" w:eastAsia="zh-CN" w:bidi="ar-SA"/>
    </w:rPr>
  </w:style>
  <w:style w:type="paragraph" w:customStyle="1" w:styleId="16">
    <w:name w:val="正文1"/>
    <w:next w:val="17"/>
    <w:qFormat/>
    <w:uiPriority w:val="0"/>
    <w:pPr>
      <w:framePr w:wrap="around" w:vAnchor="margin" w:hAnchor="text" w:y="1"/>
      <w:spacing w:line="360" w:lineRule="auto"/>
    </w:pPr>
    <w:rPr>
      <w:rFonts w:ascii="Calibri" w:hAnsi="Calibri" w:eastAsia="Arial Unicode MS" w:cs="Arial Unicode MS"/>
      <w:color w:val="000000"/>
      <w:sz w:val="24"/>
      <w:szCs w:val="24"/>
      <w:u w:color="000000"/>
      <w:lang w:val="en-US" w:eastAsia="zh-CN" w:bidi="ar-SA"/>
    </w:rPr>
  </w:style>
  <w:style w:type="paragraph" w:customStyle="1" w:styleId="17">
    <w:name w:val="正文文本1"/>
    <w:qFormat/>
    <w:uiPriority w:val="0"/>
    <w:pPr>
      <w:framePr w:wrap="around" w:vAnchor="margin" w:hAnchor="text" w:y="1"/>
      <w:spacing w:after="120" w:line="360" w:lineRule="auto"/>
    </w:pPr>
    <w:rPr>
      <w:rFonts w:ascii="Calibri" w:hAnsi="Calibri" w:eastAsia="Arial Unicode MS" w:cs="Arial Unicode MS"/>
      <w:color w:val="000000"/>
      <w:sz w:val="24"/>
      <w:szCs w:val="24"/>
      <w:u w:color="000000"/>
      <w:lang w:val="en-US" w:eastAsia="zh-CN" w:bidi="ar-SA"/>
    </w:rPr>
  </w:style>
  <w:style w:type="paragraph" w:customStyle="1" w:styleId="18">
    <w:name w:val="无间隔1"/>
    <w:qFormat/>
    <w:uiPriority w:val="1"/>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2512</Words>
  <Characters>2560</Characters>
  <Lines>0</Lines>
  <Paragraphs>0</Paragraphs>
  <TotalTime>31</TotalTime>
  <ScaleCrop>false</ScaleCrop>
  <LinksUpToDate>false</LinksUpToDate>
  <CharactersWithSpaces>2567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2025-07-09T02:33:00Z</dcterms:created>
  <dc:creator>WPS_1739596256</dc:creator>
  <cp:lastModifiedBy>WPS_1739596256</cp:lastModifiedBy>
  <dcterms:modified xsi:type="dcterms:W3CDTF">2025-09-29T01:11:42Z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6D134B8C49EC4F138BB1244741A5234C_13</vt:lpwstr>
  </property>
  <property fmtid="{D5CDD505-2E9C-101B-9397-08002B2CF9AE}" pid="4" name="KSOTemplateDocerSaveRecord">
    <vt:lpwstr>eyJoZGlkIjoiYzIxZTBjNjY4MTQ2MGM2MTIwZTYyMjNiZjY5MTA0MWQiLCJ1c2VySWQiOiIxNjc2ODUxMTIzIn0=</vt:lpwstr>
  </property>
</Properties>
</file>