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南方鼎元资产运营有限责任公司2025年番禺电力科技园三期</w:t>
      </w:r>
    </w:p>
    <w:p>
      <w:pPr>
        <w:jc w:val="center"/>
        <w:outlineLvl w:val="0"/>
        <w:rPr>
          <w:rFonts w:hint="eastAsia" w:ascii="宋体" w:hAnsi="宋体" w:cs="宋体"/>
          <w:b/>
          <w:bCs/>
          <w:color w:val="auto"/>
          <w:kern w:val="0"/>
          <w:sz w:val="28"/>
          <w:szCs w:val="28"/>
          <w:highlight w:val="none"/>
          <w:lang w:eastAsia="zh-CN"/>
        </w:rPr>
      </w:pPr>
      <w:r>
        <w:rPr>
          <w:rFonts w:hint="eastAsia" w:ascii="宋体" w:hAnsi="宋体"/>
          <w:b/>
          <w:bCs/>
          <w:color w:val="auto"/>
          <w:sz w:val="28"/>
          <w:szCs w:val="28"/>
          <w:highlight w:val="none"/>
          <w:lang w:val="en-US" w:eastAsia="zh-CN"/>
        </w:rPr>
        <w:t>综合能源供应服务公开招标项目报价表</w:t>
      </w:r>
    </w:p>
    <w:p>
      <w:pPr>
        <w:pStyle w:val="6"/>
        <w:keepNext w:val="0"/>
        <w:keepLines w:val="0"/>
        <w:pageBreakBefore w:val="0"/>
        <w:tabs>
          <w:tab w:val="right" w:leader="dot" w:pos="9450"/>
        </w:tabs>
        <w:kinsoku/>
        <w:wordWrap/>
        <w:overflowPunct/>
        <w:topLinePunct w:val="0"/>
        <w:bidi w:val="0"/>
        <w:adjustRightInd/>
        <w:snapToGrid/>
        <w:spacing w:line="500" w:lineRule="exact"/>
        <w:textAlignment w:val="auto"/>
        <w:outlineLvl w:val="1"/>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一、报价表说明：</w:t>
      </w:r>
    </w:p>
    <w:p>
      <w:pPr>
        <w:numPr>
          <w:ilvl w:val="0"/>
          <w:numId w:val="0"/>
        </w:numPr>
        <w:autoSpaceDE w:val="0"/>
        <w:autoSpaceDN w:val="0"/>
        <w:adjustRightInd w:val="0"/>
        <w:spacing w:before="10" w:line="360" w:lineRule="auto"/>
        <w:ind w:leftChars="200" w:right="-20" w:righ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1、报价应包括按要求完成本项目采购范围所需的全部费用。</w:t>
      </w:r>
    </w:p>
    <w:p>
      <w:pPr>
        <w:numPr>
          <w:ilvl w:val="0"/>
          <w:numId w:val="0"/>
        </w:numPr>
        <w:autoSpaceDE w:val="0"/>
        <w:autoSpaceDN w:val="0"/>
        <w:adjustRightInd w:val="0"/>
        <w:spacing w:before="10" w:line="360" w:lineRule="auto"/>
        <w:ind w:leftChars="200" w:right="-20" w:righ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2、报价应包括国家规定的增值税税金，增值税税金按一般计税方法计算。</w:t>
      </w:r>
    </w:p>
    <w:p>
      <w:pPr>
        <w:numPr>
          <w:ilvl w:val="0"/>
          <w:numId w:val="0"/>
        </w:numPr>
        <w:autoSpaceDE w:val="0"/>
        <w:autoSpaceDN w:val="0"/>
        <w:adjustRightInd w:val="0"/>
        <w:spacing w:before="10" w:line="360" w:lineRule="auto"/>
        <w:ind w:leftChars="200" w:right="-20" w:rightChars="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3、投标报价以综合报价作为价格分评分依据。</w:t>
      </w:r>
    </w:p>
    <w:p>
      <w:pPr>
        <w:numPr>
          <w:ilvl w:val="0"/>
          <w:numId w:val="0"/>
        </w:numPr>
        <w:autoSpaceDE w:val="0"/>
        <w:autoSpaceDN w:val="0"/>
        <w:adjustRightInd w:val="0"/>
        <w:spacing w:before="10" w:line="360" w:lineRule="auto"/>
        <w:ind w:right="-20" w:rightChars="0" w:firstLine="420" w:firstLineChars="20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报价不得大于最高限价。为避免恶意低价竞争，各项报价低于85%的必须附成本分析报告并经评审通过后视为有效报价（成本分析报告需充分说明降低成本的合理措施及在其他项目的成功经验等），否则视为无效报价。</w:t>
      </w:r>
    </w:p>
    <w:p>
      <w:pPr>
        <w:numPr>
          <w:ilvl w:val="0"/>
          <w:numId w:val="0"/>
        </w:numPr>
        <w:autoSpaceDE w:val="0"/>
        <w:autoSpaceDN w:val="0"/>
        <w:adjustRightInd w:val="0"/>
        <w:spacing w:before="10" w:line="360" w:lineRule="auto"/>
        <w:ind w:right="-20" w:rightChars="0" w:firstLine="420" w:firstLineChars="20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5、投标人第1部分：BOO模式建筑楼宇综合能源服务报价包含发包人舒适空调设备租赁费用单价0.41元/kWh。</w:t>
      </w:r>
    </w:p>
    <w:p>
      <w:pPr>
        <w:numPr>
          <w:ilvl w:val="0"/>
          <w:numId w:val="0"/>
        </w:numPr>
        <w:autoSpaceDE w:val="0"/>
        <w:autoSpaceDN w:val="0"/>
        <w:adjustRightInd w:val="0"/>
        <w:spacing w:before="10" w:line="360" w:lineRule="auto"/>
        <w:ind w:right="-20" w:rightChars="0" w:firstLine="420" w:firstLineChars="200"/>
        <w:jc w:val="left"/>
        <w:rPr>
          <w:rFonts w:hint="default"/>
          <w:lang w:val="en-US" w:eastAsia="zh-CN"/>
        </w:rPr>
      </w:pPr>
      <w:r>
        <w:rPr>
          <w:rFonts w:hint="eastAsia"/>
          <w:lang w:val="en-US" w:eastAsia="zh-CN"/>
        </w:rPr>
        <w:t>6、报价数值保留小数点后两位小数。</w:t>
      </w:r>
    </w:p>
    <w:p>
      <w:pPr>
        <w:pStyle w:val="6"/>
        <w:keepNext w:val="0"/>
        <w:keepLines w:val="0"/>
        <w:pageBreakBefore w:val="0"/>
        <w:tabs>
          <w:tab w:val="right" w:leader="dot" w:pos="9450"/>
        </w:tabs>
        <w:kinsoku/>
        <w:wordWrap/>
        <w:overflowPunct/>
        <w:topLinePunct w:val="0"/>
        <w:bidi w:val="0"/>
        <w:adjustRightInd/>
        <w:snapToGrid/>
        <w:spacing w:line="500" w:lineRule="exact"/>
        <w:textAlignment w:val="auto"/>
        <w:outlineLvl w:val="1"/>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二、报价表</w:t>
      </w:r>
    </w:p>
    <w:p>
      <w:pPr>
        <w:jc w:val="right"/>
        <w:rPr>
          <w:rFonts w:hint="eastAsia" w:ascii="宋体" w:hAnsi="宋体" w:cs="宋体"/>
          <w:color w:val="auto"/>
          <w:sz w:val="21"/>
          <w:szCs w:val="21"/>
          <w:highlight w:val="none"/>
          <w:lang w:val="en-US" w:eastAsia="zh-CN"/>
        </w:rPr>
      </w:pPr>
    </w:p>
    <w:tbl>
      <w:tblPr>
        <w:tblStyle w:val="8"/>
        <w:tblW w:w="49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3095"/>
        <w:gridCol w:w="1609"/>
        <w:gridCol w:w="1132"/>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标的</w:t>
            </w:r>
          </w:p>
        </w:tc>
        <w:tc>
          <w:tcPr>
            <w:tcW w:w="18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投标报价</w:t>
            </w:r>
          </w:p>
        </w:tc>
        <w:tc>
          <w:tcPr>
            <w:tcW w:w="9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最高限价</w:t>
            </w:r>
          </w:p>
        </w:tc>
        <w:tc>
          <w:tcPr>
            <w:tcW w:w="6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综合报价占比权总</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2" w:hRule="atLeast"/>
        </w:trPr>
        <w:tc>
          <w:tcPr>
            <w:tcW w:w="44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番禺电力科技园三期综合能源供应服务</w:t>
            </w:r>
          </w:p>
        </w:tc>
        <w:tc>
          <w:tcPr>
            <w:tcW w:w="18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（1）第1部分：BOO模式建筑楼宇综合能源服务,售冷（热）单价为    </w:t>
            </w:r>
            <w:r>
              <w:rPr>
                <w:rStyle w:val="11"/>
                <w:lang w:val="en-US" w:eastAsia="zh-CN" w:bidi="ar"/>
              </w:rPr>
              <w:t xml:space="preserve">             </w:t>
            </w:r>
            <w:r>
              <w:rPr>
                <w:rStyle w:val="12"/>
                <w:lang w:val="en-US" w:eastAsia="zh-CN" w:bidi="ar"/>
              </w:rPr>
              <w:t>元/kWh；</w:t>
            </w:r>
          </w:p>
        </w:tc>
        <w:tc>
          <w:tcPr>
            <w:tcW w:w="9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售冷（热）含税单价最高限价为</w:t>
            </w:r>
            <w:r>
              <w:rPr>
                <w:rStyle w:val="11"/>
                <w:lang w:val="en-US" w:eastAsia="zh-CN" w:bidi="ar"/>
              </w:rPr>
              <w:t>1.</w:t>
            </w:r>
            <w:r>
              <w:rPr>
                <w:rStyle w:val="11"/>
                <w:rFonts w:hint="eastAsia"/>
                <w:lang w:val="en-US" w:eastAsia="zh-CN" w:bidi="ar"/>
              </w:rPr>
              <w:t>17</w:t>
            </w:r>
            <w:r>
              <w:rPr>
                <w:rStyle w:val="12"/>
                <w:lang w:val="en-US" w:eastAsia="zh-CN" w:bidi="ar"/>
              </w:rPr>
              <w:t>元/kWh；</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bookmarkStart w:id="0" w:name="_GoBack"/>
            <w:bookmarkEnd w:id="0"/>
            <w:r>
              <w:rPr>
                <w:rFonts w:hint="eastAsia" w:ascii="宋体" w:hAnsi="宋体" w:eastAsia="宋体" w:cs="宋体"/>
                <w:i w:val="0"/>
                <w:iCs w:val="0"/>
                <w:color w:val="000000"/>
                <w:kern w:val="0"/>
                <w:sz w:val="21"/>
                <w:szCs w:val="21"/>
                <w:u w:val="none"/>
                <w:lang w:val="en-US" w:eastAsia="zh-CN" w:bidi="ar"/>
              </w:rPr>
              <w:t>93%</w:t>
            </w:r>
          </w:p>
        </w:tc>
        <w:tc>
          <w:tcPr>
            <w:tcW w:w="10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1"/>
                <w:szCs w:val="21"/>
                <w:u w:val="single"/>
                <w:lang w:val="en-US" w:eastAsia="zh-CN" w:bidi="ar"/>
              </w:rPr>
            </w:pPr>
            <w:r>
              <w:rPr>
                <w:rFonts w:hint="eastAsia" w:ascii="宋体" w:hAnsi="宋体" w:eastAsia="宋体" w:cs="宋体"/>
                <w:i w:val="0"/>
                <w:iCs w:val="0"/>
                <w:color w:val="000000"/>
                <w:kern w:val="0"/>
                <w:sz w:val="21"/>
                <w:szCs w:val="21"/>
                <w:u w:val="none"/>
                <w:lang w:val="en-US" w:eastAsia="zh-CN" w:bidi="ar"/>
              </w:rPr>
              <w:t>（1）×93%+（2）×7%=</w:t>
            </w:r>
            <w:r>
              <w:rPr>
                <w:rFonts w:hint="eastAsia" w:ascii="宋体" w:hAnsi="宋体" w:eastAsia="宋体" w:cs="宋体"/>
                <w:i w:val="0"/>
                <w:iCs w:val="0"/>
                <w:color w:val="000000"/>
                <w:kern w:val="0"/>
                <w:sz w:val="21"/>
                <w:szCs w:val="21"/>
                <w:u w:val="singl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7" w:hRule="atLeast"/>
        </w:trPr>
        <w:tc>
          <w:tcPr>
            <w:tcW w:w="44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000000"/>
                <w:sz w:val="21"/>
                <w:szCs w:val="21"/>
                <w:u w:val="none"/>
              </w:rPr>
            </w:pPr>
          </w:p>
        </w:tc>
        <w:tc>
          <w:tcPr>
            <w:tcW w:w="18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（2）第2部分：合同能源管理节能服务，分布式光伏发电售电单价为</w:t>
            </w:r>
            <w:r>
              <w:rPr>
                <w:rStyle w:val="11"/>
                <w:lang w:val="en-US" w:eastAsia="zh-CN" w:bidi="ar"/>
              </w:rPr>
              <w:t xml:space="preserve">             </w:t>
            </w:r>
            <w:r>
              <w:rPr>
                <w:rStyle w:val="12"/>
                <w:lang w:val="en-US" w:eastAsia="zh-CN" w:bidi="ar"/>
              </w:rPr>
              <w:t>元/kWh；</w:t>
            </w:r>
          </w:p>
        </w:tc>
        <w:tc>
          <w:tcPr>
            <w:tcW w:w="9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分布式光伏发电售电含税单价最高限价为</w:t>
            </w:r>
            <w:r>
              <w:rPr>
                <w:rStyle w:val="11"/>
                <w:lang w:val="en-US" w:eastAsia="zh-CN" w:bidi="ar"/>
              </w:rPr>
              <w:t>0.</w:t>
            </w:r>
            <w:r>
              <w:rPr>
                <w:rStyle w:val="11"/>
                <w:rFonts w:hint="eastAsia"/>
                <w:lang w:val="en-US" w:eastAsia="zh-CN" w:bidi="ar"/>
              </w:rPr>
              <w:t>58</w:t>
            </w:r>
            <w:r>
              <w:rPr>
                <w:rStyle w:val="12"/>
                <w:lang w:val="en-US" w:eastAsia="zh-CN" w:bidi="ar"/>
              </w:rPr>
              <w:t>元/kWh；</w:t>
            </w:r>
          </w:p>
        </w:tc>
        <w:tc>
          <w:tcPr>
            <w:tcW w:w="6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1"/>
                <w:szCs w:val="21"/>
                <w:u w:val="none"/>
                <w:lang w:val="en-US" w:eastAsia="zh-CN" w:bidi="ar"/>
              </w:rPr>
              <w:t>7%</w:t>
            </w:r>
          </w:p>
        </w:tc>
        <w:tc>
          <w:tcPr>
            <w:tcW w:w="10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bl>
    <w:p>
      <w:pPr>
        <w:spacing w:after="0" w:line="240" w:lineRule="exact"/>
        <w:ind w:firstLine="4200" w:firstLineChars="2000"/>
        <w:rPr>
          <w:rFonts w:hint="eastAsia" w:ascii="宋体" w:hAnsi="宋体" w:cs="宋体"/>
          <w:color w:val="auto"/>
          <w:sz w:val="21"/>
          <w:szCs w:val="21"/>
          <w:highlight w:val="none"/>
          <w:lang w:val="en-US" w:eastAsia="zh-CN"/>
        </w:rPr>
      </w:pPr>
    </w:p>
    <w:p>
      <w:pPr>
        <w:spacing w:after="0" w:line="240" w:lineRule="exact"/>
        <w:ind w:firstLine="4200" w:firstLineChars="200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报价</w:t>
      </w:r>
      <w:r>
        <w:rPr>
          <w:rFonts w:hint="eastAsia" w:ascii="宋体" w:hAnsi="宋体" w:cs="宋体"/>
          <w:color w:val="auto"/>
          <w:sz w:val="21"/>
          <w:szCs w:val="21"/>
          <w:highlight w:val="none"/>
          <w:lang w:eastAsia="zh-CN"/>
        </w:rPr>
        <w:t>人</w:t>
      </w:r>
      <w:r>
        <w:rPr>
          <w:rFonts w:ascii="宋体" w:hAnsi="宋体" w:eastAsia="宋体" w:cs="宋体"/>
          <w:color w:val="auto"/>
          <w:sz w:val="21"/>
          <w:szCs w:val="21"/>
          <w:highlight w:val="none"/>
        </w:rPr>
        <w:t>名称（盖公章或电子签章）：</w:t>
      </w:r>
    </w:p>
    <w:p>
      <w:pPr>
        <w:spacing w:after="0" w:line="240" w:lineRule="exact"/>
        <w:ind w:firstLine="4830" w:firstLineChars="2300"/>
        <w:rPr>
          <w:rFonts w:ascii="宋体" w:hAnsi="宋体" w:eastAsia="宋体" w:cs="宋体"/>
          <w:color w:val="auto"/>
          <w:sz w:val="21"/>
          <w:szCs w:val="21"/>
          <w:highlight w:val="none"/>
        </w:rPr>
      </w:pPr>
    </w:p>
    <w:p>
      <w:pPr>
        <w:spacing w:after="0" w:line="240" w:lineRule="exact"/>
        <w:ind w:firstLine="5250" w:firstLineChars="2500"/>
        <w:rPr>
          <w:color w:val="auto"/>
        </w:rPr>
      </w:pPr>
      <w:r>
        <w:rPr>
          <w:rFonts w:hint="eastAsia" w:ascii="宋体" w:hAnsi="宋体" w:eastAsia="宋体" w:cs="宋体"/>
          <w:color w:val="auto"/>
          <w:sz w:val="21"/>
          <w:szCs w:val="21"/>
          <w:highlight w:val="none"/>
          <w:lang w:eastAsia="zh-CN"/>
        </w:rPr>
        <w:t>年</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3E17BB"/>
    <w:rsid w:val="00695631"/>
    <w:rsid w:val="007E79DC"/>
    <w:rsid w:val="01E35289"/>
    <w:rsid w:val="0219526B"/>
    <w:rsid w:val="02C472AA"/>
    <w:rsid w:val="043C7483"/>
    <w:rsid w:val="063E20CB"/>
    <w:rsid w:val="0B1C3A93"/>
    <w:rsid w:val="0B6920C9"/>
    <w:rsid w:val="0CC528F5"/>
    <w:rsid w:val="0D1B2A89"/>
    <w:rsid w:val="0E596F18"/>
    <w:rsid w:val="0E8B5135"/>
    <w:rsid w:val="10200A82"/>
    <w:rsid w:val="109D48ED"/>
    <w:rsid w:val="10C1206E"/>
    <w:rsid w:val="11D06B88"/>
    <w:rsid w:val="12E3158A"/>
    <w:rsid w:val="146855F8"/>
    <w:rsid w:val="14BA1191"/>
    <w:rsid w:val="154C1459"/>
    <w:rsid w:val="19601C0B"/>
    <w:rsid w:val="19B629C7"/>
    <w:rsid w:val="1A135155"/>
    <w:rsid w:val="1B3379FF"/>
    <w:rsid w:val="1BE91858"/>
    <w:rsid w:val="1C8F32EB"/>
    <w:rsid w:val="1D5929B3"/>
    <w:rsid w:val="1DD120C1"/>
    <w:rsid w:val="20764E4F"/>
    <w:rsid w:val="232E1B45"/>
    <w:rsid w:val="246B154C"/>
    <w:rsid w:val="27B97A3A"/>
    <w:rsid w:val="2B5F2D34"/>
    <w:rsid w:val="2E67652F"/>
    <w:rsid w:val="2EA84ADB"/>
    <w:rsid w:val="2FFF534B"/>
    <w:rsid w:val="32616E10"/>
    <w:rsid w:val="33115117"/>
    <w:rsid w:val="33984BB2"/>
    <w:rsid w:val="342D0929"/>
    <w:rsid w:val="35415C73"/>
    <w:rsid w:val="36030096"/>
    <w:rsid w:val="372A4A8E"/>
    <w:rsid w:val="37915737"/>
    <w:rsid w:val="39712DCA"/>
    <w:rsid w:val="3BAD1810"/>
    <w:rsid w:val="3CAD771B"/>
    <w:rsid w:val="3EE62839"/>
    <w:rsid w:val="40104436"/>
    <w:rsid w:val="408B152B"/>
    <w:rsid w:val="44865C7B"/>
    <w:rsid w:val="45A2514E"/>
    <w:rsid w:val="47E330FE"/>
    <w:rsid w:val="4A8B1D58"/>
    <w:rsid w:val="4B724626"/>
    <w:rsid w:val="4D2264A0"/>
    <w:rsid w:val="4D750521"/>
    <w:rsid w:val="4E931A7E"/>
    <w:rsid w:val="4EB95335"/>
    <w:rsid w:val="4F97491C"/>
    <w:rsid w:val="50B15470"/>
    <w:rsid w:val="51FF7084"/>
    <w:rsid w:val="53423C71"/>
    <w:rsid w:val="540B497D"/>
    <w:rsid w:val="547F7730"/>
    <w:rsid w:val="556712FC"/>
    <w:rsid w:val="5640190F"/>
    <w:rsid w:val="56DF2712"/>
    <w:rsid w:val="5A9A37B2"/>
    <w:rsid w:val="5B7A0DCC"/>
    <w:rsid w:val="5DB31E93"/>
    <w:rsid w:val="5E6E0261"/>
    <w:rsid w:val="5F3F4450"/>
    <w:rsid w:val="60584F1D"/>
    <w:rsid w:val="60970180"/>
    <w:rsid w:val="64782DE6"/>
    <w:rsid w:val="65323A12"/>
    <w:rsid w:val="65775EA6"/>
    <w:rsid w:val="66A33903"/>
    <w:rsid w:val="677651E4"/>
    <w:rsid w:val="67DD1A1E"/>
    <w:rsid w:val="687916F5"/>
    <w:rsid w:val="68AA53E2"/>
    <w:rsid w:val="68BD79E8"/>
    <w:rsid w:val="69876F8D"/>
    <w:rsid w:val="6C3E17BB"/>
    <w:rsid w:val="6CF763B2"/>
    <w:rsid w:val="708E6837"/>
    <w:rsid w:val="71FE1F10"/>
    <w:rsid w:val="72EB1385"/>
    <w:rsid w:val="744D7908"/>
    <w:rsid w:val="78214E25"/>
    <w:rsid w:val="7A327907"/>
    <w:rsid w:val="7C0C5586"/>
    <w:rsid w:val="7C4360E0"/>
    <w:rsid w:val="7E5279A1"/>
    <w:rsid w:val="7EE87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0"/>
    <w:pPr>
      <w:keepNext/>
      <w:keepLines/>
      <w:spacing w:line="360" w:lineRule="auto"/>
      <w:outlineLvl w:val="1"/>
    </w:pPr>
    <w:rPr>
      <w:rFonts w:ascii="宋体" w:hAnsi="宋体"/>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 w:type="paragraph" w:styleId="6">
    <w:name w:val="toc 1"/>
    <w:basedOn w:val="1"/>
    <w:next w:val="1"/>
    <w:qFormat/>
    <w:uiPriority w:val="39"/>
    <w:rPr>
      <w:rFonts w:ascii="Times New Roman" w:hAnsi="Times New Roman"/>
      <w:szCs w:val="20"/>
    </w:rPr>
  </w:style>
  <w:style w:type="paragraph" w:styleId="7">
    <w:name w:val="Body Text First Indent"/>
    <w:basedOn w:val="4"/>
    <w:next w:val="1"/>
    <w:qFormat/>
    <w:uiPriority w:val="0"/>
    <w:pPr>
      <w:ind w:firstLine="420" w:firstLineChars="100"/>
    </w:pPr>
    <w:rPr>
      <w:rFonts w:ascii="Times New Roman" w:hAnsi="Times New Roman" w:eastAsia="宋体" w:cs="Times New Roman"/>
      <w:szCs w:val="20"/>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31"/>
    <w:basedOn w:val="10"/>
    <w:qFormat/>
    <w:uiPriority w:val="0"/>
    <w:rPr>
      <w:rFonts w:hint="eastAsia" w:ascii="宋体" w:hAnsi="宋体" w:eastAsia="宋体" w:cs="宋体"/>
      <w:color w:val="000000"/>
      <w:sz w:val="21"/>
      <w:szCs w:val="21"/>
      <w:u w:val="single"/>
    </w:rPr>
  </w:style>
  <w:style w:type="character" w:customStyle="1" w:styleId="12">
    <w:name w:val="font21"/>
    <w:basedOn w:val="1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2023-10-25T07:10:00Z</dcterms:created>
  <dc:creator>彭钟华</dc:creator>
  <cp:lastModifiedBy>郑锡敏</cp:lastModifiedBy>
  <cp:lastPrinted>2023-12-04T05:54:00Z</cp:lastPrinted>
  <dcterms:modified xsi:type="dcterms:W3CDTF">2025-09-29T02:30:47Z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C0F607B598ED4EC19C33060F621DDCD8</vt:lpwstr>
  </property>
</Properties>
</file>