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highlight w:val="none"/>
        </w:rPr>
      </w:pPr>
      <w:bookmarkStart w:id="0" w:name="_Toc246216323"/>
      <w:bookmarkStart w:id="85" w:name="_GoBack"/>
      <w:bookmarkEnd w:id="85"/>
      <w:r>
        <w:rPr>
          <w:highlight w:val="none"/>
        </w:rPr>
        <w:drawing>
          <wp:anchor distT="0" distB="0" distL="114300" distR="114300" simplePos="0" relativeHeight="251659264" behindDoc="1" locked="0" layoutInCell="1" allowOverlap="1">
            <wp:simplePos x="0" y="0"/>
            <wp:positionH relativeFrom="column">
              <wp:posOffset>-1257300</wp:posOffset>
            </wp:positionH>
            <wp:positionV relativeFrom="paragraph">
              <wp:posOffset>-990600</wp:posOffset>
            </wp:positionV>
            <wp:extent cx="8915400" cy="2736850"/>
            <wp:effectExtent l="0" t="0" r="0" b="6350"/>
            <wp:wrapTight wrapText="bothSides">
              <wp:wrapPolygon>
                <wp:start x="-23" y="0"/>
                <wp:lineTo x="-23" y="21525"/>
                <wp:lineTo x="21600" y="21525"/>
                <wp:lineTo x="21600" y="0"/>
                <wp:lineTo x="-23" y="0"/>
              </wp:wrapPolygon>
            </wp:wrapTight>
            <wp:docPr id="1" name="图片 16"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6" descr="模板-3"/>
                    <pic:cNvPicPr>
                      <a:picLocks noChangeAspect="1"/>
                    </pic:cNvPicPr>
                  </pic:nvPicPr>
                  <pic:blipFill>
                    <a:blip r:embed="rId7"/>
                    <a:stretch>
                      <a:fillRect/>
                    </a:stretch>
                  </pic:blipFill>
                  <pic:spPr>
                    <a:xfrm>
                      <a:off x="0" y="0"/>
                      <a:ext cx="8915400" cy="2736850"/>
                    </a:xfrm>
                    <a:prstGeom prst="rect">
                      <a:avLst/>
                    </a:prstGeom>
                    <a:noFill/>
                    <a:ln>
                      <a:noFill/>
                    </a:ln>
                  </pic:spPr>
                </pic:pic>
              </a:graphicData>
            </a:graphic>
          </wp:anchor>
        </w:drawing>
      </w:r>
    </w:p>
    <w:p>
      <w:pPr>
        <w:spacing w:before="624" w:beforeLines="200"/>
        <w:jc w:val="center"/>
        <w:rPr>
          <w:rFonts w:hint="eastAsia" w:ascii="黑体" w:hAnsi="黑体" w:eastAsia="黑体" w:cs="黑体"/>
          <w:b/>
          <w:sz w:val="44"/>
          <w:szCs w:val="44"/>
          <w:highlight w:val="none"/>
        </w:rPr>
      </w:pPr>
      <w:r>
        <w:rPr>
          <w:rFonts w:hint="eastAsia" w:ascii="黑体" w:hAnsi="黑体" w:eastAsia="黑体" w:cs="黑体"/>
          <w:b/>
          <w:sz w:val="44"/>
          <w:szCs w:val="44"/>
          <w:highlight w:val="none"/>
          <w:lang w:eastAsia="zh-CN"/>
        </w:rPr>
        <w:t>2025-2026年党建教育基地设备安装</w:t>
      </w:r>
    </w:p>
    <w:p>
      <w:pPr>
        <w:spacing w:before="624" w:beforeLines="200"/>
        <w:jc w:val="center"/>
        <w:rPr>
          <w:rFonts w:hint="eastAsia" w:ascii="黑体" w:hAnsi="黑体" w:eastAsia="黑体" w:cs="黑体"/>
          <w:b/>
          <w:sz w:val="44"/>
          <w:szCs w:val="44"/>
          <w:highlight w:val="none"/>
        </w:rPr>
      </w:pPr>
      <w:r>
        <w:rPr>
          <w:rFonts w:hint="eastAsia" w:ascii="黑体" w:hAnsi="黑体" w:eastAsia="黑体" w:cs="黑体"/>
          <w:b/>
          <w:sz w:val="44"/>
          <w:szCs w:val="44"/>
          <w:highlight w:val="none"/>
        </w:rPr>
        <w:t>技术条件书</w:t>
      </w:r>
    </w:p>
    <w:p>
      <w:pPr>
        <w:spacing w:before="624" w:beforeLines="200"/>
        <w:jc w:val="center"/>
        <w:rPr>
          <w:rFonts w:eastAsia="黑体"/>
          <w:b/>
          <w:sz w:val="36"/>
          <w:highlight w:val="none"/>
        </w:rPr>
      </w:pPr>
    </w:p>
    <w:p>
      <w:pPr>
        <w:numPr>
          <w:ilvl w:val="4"/>
          <w:numId w:val="0"/>
        </w:numPr>
        <w:ind w:right="210" w:rightChars="100"/>
        <w:rPr>
          <w:highlight w:val="none"/>
        </w:rPr>
      </w:pPr>
    </w:p>
    <w:p>
      <w:pPr>
        <w:rPr>
          <w:highlight w:val="none"/>
        </w:rPr>
      </w:pPr>
    </w:p>
    <w:p>
      <w:pPr>
        <w:spacing w:before="624" w:beforeLines="200"/>
        <w:jc w:val="center"/>
        <w:rPr>
          <w:rFonts w:eastAsia="黑体"/>
          <w:b/>
          <w:sz w:val="36"/>
          <w:highlight w:val="none"/>
        </w:rPr>
      </w:pPr>
    </w:p>
    <w:p>
      <w:pPr>
        <w:spacing w:before="624" w:beforeLines="200"/>
        <w:jc w:val="center"/>
        <w:rPr>
          <w:rFonts w:eastAsia="黑体"/>
          <w:b/>
          <w:sz w:val="36"/>
          <w:highlight w:val="none"/>
        </w:rPr>
      </w:pPr>
    </w:p>
    <w:p>
      <w:pPr>
        <w:spacing w:before="624" w:beforeLines="200"/>
        <w:jc w:val="center"/>
        <w:rPr>
          <w:rFonts w:eastAsia="黑体"/>
          <w:b/>
          <w:sz w:val="36"/>
          <w:highlight w:val="none"/>
        </w:rPr>
      </w:pPr>
    </w:p>
    <w:p>
      <w:pPr>
        <w:numPr>
          <w:ilvl w:val="4"/>
          <w:numId w:val="0"/>
        </w:numPr>
        <w:ind w:right="210" w:rightChars="100"/>
        <w:rPr>
          <w:highlight w:val="none"/>
        </w:rPr>
      </w:pPr>
    </w:p>
    <w:p>
      <w:pPr>
        <w:rPr>
          <w:highlight w:val="none"/>
        </w:rPr>
      </w:pPr>
    </w:p>
    <w:p>
      <w:pPr>
        <w:jc w:val="center"/>
        <w:rPr>
          <w:rFonts w:hint="eastAsia" w:ascii="宋体" w:hAnsi="宋体"/>
          <w:b/>
          <w:sz w:val="28"/>
          <w:szCs w:val="28"/>
          <w:highlight w:val="none"/>
        </w:rPr>
      </w:pPr>
      <w:r>
        <w:rPr>
          <w:rFonts w:hint="eastAsia" w:ascii="宋体" w:hAnsi="宋体"/>
          <w:b/>
          <w:sz w:val="28"/>
          <w:szCs w:val="28"/>
          <w:highlight w:val="none"/>
        </w:rPr>
        <w:t>深圳供电局有限公司</w:t>
      </w:r>
    </w:p>
    <w:p>
      <w:pPr>
        <w:jc w:val="center"/>
        <w:rPr>
          <w:rFonts w:hint="eastAsia" w:ascii="宋体" w:hAnsi="宋体"/>
          <w:b/>
          <w:sz w:val="28"/>
          <w:szCs w:val="28"/>
          <w:highlight w:val="none"/>
        </w:rPr>
      </w:pPr>
      <w:r>
        <w:rPr>
          <w:rFonts w:hint="eastAsia" w:ascii="宋体" w:hAnsi="宋体"/>
          <w:b/>
          <w:sz w:val="28"/>
          <w:szCs w:val="28"/>
          <w:highlight w:val="none"/>
        </w:rPr>
        <w:t>2025年07月</w:t>
      </w:r>
    </w:p>
    <w:p>
      <w:pPr>
        <w:spacing w:before="312" w:beforeLines="100"/>
        <w:rPr>
          <w:rFonts w:ascii="黑体" w:eastAsia="黑体"/>
          <w:b/>
          <w:spacing w:val="20"/>
          <w:w w:val="135"/>
          <w:sz w:val="30"/>
          <w:highlight w:val="none"/>
        </w:rPr>
        <w:sectPr>
          <w:footerReference r:id="rId3" w:type="default"/>
          <w:pgSz w:w="11906" w:h="16838"/>
          <w:pgMar w:top="1440" w:right="1486" w:bottom="1440" w:left="1800" w:header="851" w:footer="992" w:gutter="0"/>
          <w:pgNumType w:fmt="upperRoman" w:start="1"/>
          <w:cols w:space="720" w:num="1"/>
          <w:docGrid w:type="lines" w:linePitch="312" w:charSpace="0"/>
        </w:sectPr>
      </w:pPr>
    </w:p>
    <w:p>
      <w:pPr>
        <w:pStyle w:val="64"/>
        <w:adjustRightInd w:val="0"/>
        <w:snapToGrid w:val="0"/>
        <w:spacing w:line="360" w:lineRule="auto"/>
        <w:ind w:firstLine="0" w:firstLineChars="0"/>
        <w:jc w:val="center"/>
        <w:rPr>
          <w:rFonts w:hint="eastAsia" w:ascii="黑体" w:hAnsi="黑体" w:eastAsia="黑体" w:cs="Times New Roman"/>
          <w:sz w:val="36"/>
          <w:szCs w:val="36"/>
          <w:highlight w:val="none"/>
        </w:rPr>
      </w:pPr>
      <w:r>
        <w:rPr>
          <w:rFonts w:hint="eastAsia" w:ascii="黑体" w:hAnsi="黑体" w:eastAsia="黑体" w:cs="Times New Roman"/>
          <w:sz w:val="36"/>
          <w:szCs w:val="36"/>
          <w:highlight w:val="none"/>
        </w:rPr>
        <w:t>目录</w:t>
      </w:r>
    </w:p>
    <w:p>
      <w:pPr>
        <w:pStyle w:val="26"/>
        <w:tabs>
          <w:tab w:val="right" w:leader="dot" w:pos="8306"/>
        </w:tabs>
        <w:rPr>
          <w:highlight w:val="none"/>
        </w:rPr>
      </w:pPr>
      <w:r>
        <w:rPr>
          <w:rFonts w:ascii="宋体" w:hAnsi="宋体"/>
          <w:b w:val="0"/>
          <w:i/>
          <w:sz w:val="21"/>
          <w:szCs w:val="21"/>
          <w:highlight w:val="none"/>
        </w:rPr>
        <w:fldChar w:fldCharType="begin"/>
      </w:r>
      <w:r>
        <w:rPr>
          <w:rFonts w:ascii="宋体" w:hAnsi="宋体"/>
          <w:b w:val="0"/>
          <w:i/>
          <w:sz w:val="21"/>
          <w:szCs w:val="21"/>
          <w:highlight w:val="none"/>
        </w:rPr>
        <w:instrText xml:space="preserve"> </w:instrText>
      </w:r>
      <w:r>
        <w:rPr>
          <w:rFonts w:hint="eastAsia" w:ascii="宋体" w:hAnsi="宋体"/>
          <w:b w:val="0"/>
          <w:i/>
          <w:sz w:val="21"/>
          <w:szCs w:val="21"/>
          <w:highlight w:val="none"/>
        </w:rPr>
        <w:instrText xml:space="preserve">TOC \o "1-2" \h \z \u</w:instrText>
      </w:r>
      <w:r>
        <w:rPr>
          <w:rFonts w:ascii="宋体" w:hAnsi="宋体"/>
          <w:b w:val="0"/>
          <w:i/>
          <w:sz w:val="21"/>
          <w:szCs w:val="21"/>
          <w:highlight w:val="none"/>
        </w:rPr>
        <w:instrText xml:space="preserve"> </w:instrText>
      </w:r>
      <w:r>
        <w:rPr>
          <w:rFonts w:ascii="宋体" w:hAnsi="宋体"/>
          <w:b w:val="0"/>
          <w:i/>
          <w:sz w:val="21"/>
          <w:szCs w:val="21"/>
          <w:highlight w:val="none"/>
        </w:rPr>
        <w:fldChar w:fldCharType="separate"/>
      </w:r>
      <w:r>
        <w:rPr>
          <w:highlight w:val="none"/>
        </w:rPr>
        <w:fldChar w:fldCharType="begin"/>
      </w:r>
      <w:r>
        <w:rPr>
          <w:highlight w:val="none"/>
        </w:rPr>
        <w:instrText xml:space="preserve"> HYPERLINK \l "_Toc3051" </w:instrText>
      </w:r>
      <w:r>
        <w:rPr>
          <w:highlight w:val="none"/>
        </w:rPr>
        <w:fldChar w:fldCharType="separate"/>
      </w:r>
      <w:r>
        <w:rPr>
          <w:rFonts w:hint="eastAsia" w:hAnsi="宋体"/>
          <w:szCs w:val="24"/>
          <w:highlight w:val="none"/>
        </w:rPr>
        <w:t>一、总则</w:t>
      </w:r>
      <w:r>
        <w:rPr>
          <w:highlight w:val="none"/>
        </w:rPr>
        <w:tab/>
      </w:r>
      <w:r>
        <w:rPr>
          <w:highlight w:val="none"/>
        </w:rPr>
        <w:fldChar w:fldCharType="begin"/>
      </w:r>
      <w:r>
        <w:rPr>
          <w:highlight w:val="none"/>
        </w:rPr>
        <w:instrText xml:space="preserve"> PAGEREF _Toc3051 \h </w:instrText>
      </w:r>
      <w:r>
        <w:rPr>
          <w:highlight w:val="none"/>
        </w:rPr>
        <w:fldChar w:fldCharType="separate"/>
      </w:r>
      <w:r>
        <w:rPr>
          <w:highlight w:val="none"/>
        </w:rPr>
        <w:t>1</w:t>
      </w:r>
      <w:r>
        <w:rPr>
          <w:highlight w:val="none"/>
        </w:rPr>
        <w:fldChar w:fldCharType="end"/>
      </w:r>
      <w:r>
        <w:rPr>
          <w:highlight w:val="none"/>
        </w:rPr>
        <w:fldChar w:fldCharType="end"/>
      </w:r>
    </w:p>
    <w:p>
      <w:pPr>
        <w:pStyle w:val="26"/>
        <w:tabs>
          <w:tab w:val="right" w:leader="dot" w:pos="8306"/>
        </w:tabs>
        <w:rPr>
          <w:highlight w:val="none"/>
        </w:rPr>
      </w:pPr>
      <w:r>
        <w:rPr>
          <w:highlight w:val="none"/>
        </w:rPr>
        <w:fldChar w:fldCharType="begin"/>
      </w:r>
      <w:r>
        <w:rPr>
          <w:highlight w:val="none"/>
        </w:rPr>
        <w:instrText xml:space="preserve"> HYPERLINK \l "_Toc28756" </w:instrText>
      </w:r>
      <w:r>
        <w:rPr>
          <w:highlight w:val="none"/>
        </w:rPr>
        <w:fldChar w:fldCharType="separate"/>
      </w:r>
      <w:r>
        <w:rPr>
          <w:rFonts w:hint="eastAsia" w:hAnsi="宋体"/>
          <w:szCs w:val="24"/>
          <w:highlight w:val="none"/>
        </w:rPr>
        <w:t>二、工作范围</w:t>
      </w:r>
      <w:r>
        <w:rPr>
          <w:highlight w:val="none"/>
        </w:rPr>
        <w:tab/>
      </w:r>
      <w:r>
        <w:rPr>
          <w:highlight w:val="none"/>
        </w:rPr>
        <w:fldChar w:fldCharType="begin"/>
      </w:r>
      <w:r>
        <w:rPr>
          <w:highlight w:val="none"/>
        </w:rPr>
        <w:instrText xml:space="preserve"> PAGEREF _Toc28756 \h </w:instrText>
      </w:r>
      <w:r>
        <w:rPr>
          <w:highlight w:val="none"/>
        </w:rPr>
        <w:fldChar w:fldCharType="separate"/>
      </w:r>
      <w:r>
        <w:rPr>
          <w:highlight w:val="none"/>
        </w:rPr>
        <w:t>2</w:t>
      </w:r>
      <w:r>
        <w:rPr>
          <w:highlight w:val="none"/>
        </w:rPr>
        <w:fldChar w:fldCharType="end"/>
      </w:r>
      <w:r>
        <w:rPr>
          <w:highlight w:val="none"/>
        </w:rPr>
        <w:fldChar w:fldCharType="end"/>
      </w:r>
    </w:p>
    <w:p>
      <w:pPr>
        <w:pStyle w:val="28"/>
        <w:tabs>
          <w:tab w:val="right" w:leader="dot" w:pos="8306"/>
          <w:tab w:val="clear" w:pos="900"/>
          <w:tab w:val="clear" w:pos="8296"/>
        </w:tabs>
        <w:rPr>
          <w:highlight w:val="none"/>
        </w:rPr>
      </w:pPr>
      <w:r>
        <w:rPr>
          <w:highlight w:val="none"/>
        </w:rPr>
        <w:fldChar w:fldCharType="begin"/>
      </w:r>
      <w:r>
        <w:rPr>
          <w:highlight w:val="none"/>
        </w:rPr>
        <w:instrText xml:space="preserve"> HYPERLINK \l "_Toc10908" </w:instrText>
      </w:r>
      <w:r>
        <w:rPr>
          <w:highlight w:val="none"/>
        </w:rPr>
        <w:fldChar w:fldCharType="separate"/>
      </w:r>
      <w:r>
        <w:rPr>
          <w:rFonts w:hint="eastAsia" w:hAnsi="宋体"/>
          <w:highlight w:val="none"/>
        </w:rPr>
        <w:t>（一）项目概况</w:t>
      </w:r>
      <w:r>
        <w:rPr>
          <w:highlight w:val="none"/>
        </w:rPr>
        <w:tab/>
      </w:r>
      <w:r>
        <w:rPr>
          <w:highlight w:val="none"/>
        </w:rPr>
        <w:fldChar w:fldCharType="begin"/>
      </w:r>
      <w:r>
        <w:rPr>
          <w:highlight w:val="none"/>
        </w:rPr>
        <w:instrText xml:space="preserve"> PAGEREF _Toc10908 \h </w:instrText>
      </w:r>
      <w:r>
        <w:rPr>
          <w:highlight w:val="none"/>
        </w:rPr>
        <w:fldChar w:fldCharType="separate"/>
      </w:r>
      <w:r>
        <w:rPr>
          <w:highlight w:val="none"/>
        </w:rPr>
        <w:t>2</w:t>
      </w:r>
      <w:r>
        <w:rPr>
          <w:highlight w:val="none"/>
        </w:rPr>
        <w:fldChar w:fldCharType="end"/>
      </w:r>
      <w:r>
        <w:rPr>
          <w:highlight w:val="none"/>
        </w:rPr>
        <w:fldChar w:fldCharType="end"/>
      </w:r>
    </w:p>
    <w:p>
      <w:pPr>
        <w:pStyle w:val="28"/>
        <w:tabs>
          <w:tab w:val="right" w:leader="dot" w:pos="8306"/>
          <w:tab w:val="clear" w:pos="900"/>
          <w:tab w:val="clear" w:pos="8296"/>
        </w:tabs>
        <w:rPr>
          <w:highlight w:val="none"/>
        </w:rPr>
      </w:pPr>
      <w:r>
        <w:rPr>
          <w:highlight w:val="none"/>
        </w:rPr>
        <w:fldChar w:fldCharType="begin"/>
      </w:r>
      <w:r>
        <w:rPr>
          <w:highlight w:val="none"/>
        </w:rPr>
        <w:instrText xml:space="preserve"> HYPERLINK \l "_Toc3110" </w:instrText>
      </w:r>
      <w:r>
        <w:rPr>
          <w:highlight w:val="none"/>
        </w:rPr>
        <w:fldChar w:fldCharType="separate"/>
      </w:r>
      <w:r>
        <w:rPr>
          <w:rFonts w:hint="eastAsia" w:hAnsi="宋体"/>
          <w:highlight w:val="none"/>
        </w:rPr>
        <w:t>（二）</w:t>
      </w:r>
      <w:r>
        <w:rPr>
          <w:rFonts w:hAnsi="宋体"/>
          <w:highlight w:val="none"/>
        </w:rPr>
        <w:t>范围和界限</w:t>
      </w:r>
      <w:r>
        <w:rPr>
          <w:highlight w:val="none"/>
        </w:rPr>
        <w:tab/>
      </w:r>
      <w:r>
        <w:rPr>
          <w:highlight w:val="none"/>
        </w:rPr>
        <w:fldChar w:fldCharType="begin"/>
      </w:r>
      <w:r>
        <w:rPr>
          <w:highlight w:val="none"/>
        </w:rPr>
        <w:instrText xml:space="preserve"> PAGEREF _Toc3110 \h </w:instrText>
      </w:r>
      <w:r>
        <w:rPr>
          <w:highlight w:val="none"/>
        </w:rPr>
        <w:fldChar w:fldCharType="separate"/>
      </w:r>
      <w:r>
        <w:rPr>
          <w:highlight w:val="none"/>
        </w:rPr>
        <w:t>2</w:t>
      </w:r>
      <w:r>
        <w:rPr>
          <w:highlight w:val="none"/>
        </w:rPr>
        <w:fldChar w:fldCharType="end"/>
      </w:r>
      <w:r>
        <w:rPr>
          <w:highlight w:val="none"/>
        </w:rPr>
        <w:fldChar w:fldCharType="end"/>
      </w:r>
    </w:p>
    <w:p>
      <w:pPr>
        <w:pStyle w:val="28"/>
        <w:tabs>
          <w:tab w:val="right" w:leader="dot" w:pos="8306"/>
          <w:tab w:val="clear" w:pos="900"/>
          <w:tab w:val="clear" w:pos="8296"/>
        </w:tabs>
        <w:rPr>
          <w:highlight w:val="none"/>
        </w:rPr>
      </w:pPr>
      <w:r>
        <w:rPr>
          <w:highlight w:val="none"/>
        </w:rPr>
        <w:fldChar w:fldCharType="begin"/>
      </w:r>
      <w:r>
        <w:rPr>
          <w:highlight w:val="none"/>
        </w:rPr>
        <w:instrText xml:space="preserve"> HYPERLINK \l "_Toc8597" </w:instrText>
      </w:r>
      <w:r>
        <w:rPr>
          <w:highlight w:val="none"/>
        </w:rPr>
        <w:fldChar w:fldCharType="separate"/>
      </w:r>
      <w:r>
        <w:rPr>
          <w:rFonts w:hint="eastAsia" w:hAnsi="宋体"/>
          <w:highlight w:val="none"/>
        </w:rPr>
        <w:t>（三）服务</w:t>
      </w:r>
      <w:r>
        <w:rPr>
          <w:rFonts w:hAnsi="宋体"/>
          <w:highlight w:val="none"/>
        </w:rPr>
        <w:t>范围</w:t>
      </w:r>
      <w:r>
        <w:rPr>
          <w:highlight w:val="none"/>
        </w:rPr>
        <w:tab/>
      </w:r>
      <w:r>
        <w:rPr>
          <w:highlight w:val="none"/>
        </w:rPr>
        <w:fldChar w:fldCharType="begin"/>
      </w:r>
      <w:r>
        <w:rPr>
          <w:highlight w:val="none"/>
        </w:rPr>
        <w:instrText xml:space="preserve"> PAGEREF _Toc8597 \h </w:instrText>
      </w:r>
      <w:r>
        <w:rPr>
          <w:highlight w:val="none"/>
        </w:rPr>
        <w:fldChar w:fldCharType="separate"/>
      </w:r>
      <w:r>
        <w:rPr>
          <w:highlight w:val="none"/>
        </w:rPr>
        <w:t>2</w:t>
      </w:r>
      <w:r>
        <w:rPr>
          <w:highlight w:val="none"/>
        </w:rPr>
        <w:fldChar w:fldCharType="end"/>
      </w:r>
      <w:r>
        <w:rPr>
          <w:highlight w:val="none"/>
        </w:rPr>
        <w:fldChar w:fldCharType="end"/>
      </w:r>
    </w:p>
    <w:p>
      <w:pPr>
        <w:pStyle w:val="26"/>
        <w:tabs>
          <w:tab w:val="right" w:leader="dot" w:pos="8306"/>
        </w:tabs>
        <w:rPr>
          <w:highlight w:val="none"/>
        </w:rPr>
      </w:pPr>
      <w:r>
        <w:rPr>
          <w:highlight w:val="none"/>
        </w:rPr>
        <w:fldChar w:fldCharType="begin"/>
      </w:r>
      <w:r>
        <w:rPr>
          <w:highlight w:val="none"/>
        </w:rPr>
        <w:instrText xml:space="preserve"> HYPERLINK \l "_Toc12690" </w:instrText>
      </w:r>
      <w:r>
        <w:rPr>
          <w:highlight w:val="none"/>
        </w:rPr>
        <w:fldChar w:fldCharType="separate"/>
      </w:r>
      <w:r>
        <w:rPr>
          <w:rFonts w:hint="eastAsia" w:hAnsi="宋体"/>
          <w:szCs w:val="24"/>
          <w:highlight w:val="none"/>
        </w:rPr>
        <w:t>三、应遵循的主要标准</w:t>
      </w:r>
      <w:r>
        <w:rPr>
          <w:highlight w:val="none"/>
        </w:rPr>
        <w:tab/>
      </w:r>
      <w:r>
        <w:rPr>
          <w:highlight w:val="none"/>
        </w:rPr>
        <w:fldChar w:fldCharType="begin"/>
      </w:r>
      <w:r>
        <w:rPr>
          <w:highlight w:val="none"/>
        </w:rPr>
        <w:instrText xml:space="preserve"> PAGEREF _Toc12690 \h </w:instrText>
      </w:r>
      <w:r>
        <w:rPr>
          <w:highlight w:val="none"/>
        </w:rPr>
        <w:fldChar w:fldCharType="separate"/>
      </w:r>
      <w:r>
        <w:rPr>
          <w:highlight w:val="none"/>
        </w:rPr>
        <w:t>6</w:t>
      </w:r>
      <w:r>
        <w:rPr>
          <w:highlight w:val="none"/>
        </w:rPr>
        <w:fldChar w:fldCharType="end"/>
      </w:r>
      <w:r>
        <w:rPr>
          <w:highlight w:val="none"/>
        </w:rPr>
        <w:fldChar w:fldCharType="end"/>
      </w:r>
    </w:p>
    <w:p>
      <w:pPr>
        <w:pStyle w:val="26"/>
        <w:tabs>
          <w:tab w:val="right" w:leader="dot" w:pos="8306"/>
        </w:tabs>
        <w:rPr>
          <w:highlight w:val="none"/>
        </w:rPr>
      </w:pPr>
      <w:r>
        <w:rPr>
          <w:highlight w:val="none"/>
        </w:rPr>
        <w:fldChar w:fldCharType="begin"/>
      </w:r>
      <w:r>
        <w:rPr>
          <w:highlight w:val="none"/>
        </w:rPr>
        <w:instrText xml:space="preserve"> HYPERLINK \l "_Toc21871" </w:instrText>
      </w:r>
      <w:r>
        <w:rPr>
          <w:highlight w:val="none"/>
        </w:rPr>
        <w:fldChar w:fldCharType="separate"/>
      </w:r>
      <w:r>
        <w:rPr>
          <w:rFonts w:hint="eastAsia" w:hAnsi="宋体"/>
          <w:szCs w:val="24"/>
          <w:highlight w:val="none"/>
        </w:rPr>
        <w:t>四、使用环境要求</w:t>
      </w:r>
      <w:r>
        <w:rPr>
          <w:highlight w:val="none"/>
        </w:rPr>
        <w:tab/>
      </w:r>
      <w:r>
        <w:rPr>
          <w:highlight w:val="none"/>
        </w:rPr>
        <w:fldChar w:fldCharType="begin"/>
      </w:r>
      <w:r>
        <w:rPr>
          <w:highlight w:val="none"/>
        </w:rPr>
        <w:instrText xml:space="preserve"> PAGEREF _Toc21871 \h </w:instrText>
      </w:r>
      <w:r>
        <w:rPr>
          <w:highlight w:val="none"/>
        </w:rPr>
        <w:fldChar w:fldCharType="separate"/>
      </w:r>
      <w:r>
        <w:rPr>
          <w:highlight w:val="none"/>
        </w:rPr>
        <w:t>6</w:t>
      </w:r>
      <w:r>
        <w:rPr>
          <w:highlight w:val="none"/>
        </w:rPr>
        <w:fldChar w:fldCharType="end"/>
      </w:r>
      <w:r>
        <w:rPr>
          <w:highlight w:val="none"/>
        </w:rPr>
        <w:fldChar w:fldCharType="end"/>
      </w:r>
    </w:p>
    <w:p>
      <w:pPr>
        <w:pStyle w:val="26"/>
        <w:tabs>
          <w:tab w:val="right" w:leader="dot" w:pos="8306"/>
        </w:tabs>
        <w:rPr>
          <w:highlight w:val="none"/>
        </w:rPr>
      </w:pPr>
      <w:r>
        <w:rPr>
          <w:highlight w:val="none"/>
        </w:rPr>
        <w:fldChar w:fldCharType="begin"/>
      </w:r>
      <w:r>
        <w:rPr>
          <w:highlight w:val="none"/>
        </w:rPr>
        <w:instrText xml:space="preserve"> HYPERLINK \l "_Toc24654" </w:instrText>
      </w:r>
      <w:r>
        <w:rPr>
          <w:highlight w:val="none"/>
        </w:rPr>
        <w:fldChar w:fldCharType="separate"/>
      </w:r>
      <w:r>
        <w:rPr>
          <w:rFonts w:hint="eastAsia" w:hAnsi="宋体"/>
          <w:szCs w:val="24"/>
          <w:highlight w:val="none"/>
        </w:rPr>
        <w:t>五、技术要求</w:t>
      </w:r>
      <w:r>
        <w:rPr>
          <w:highlight w:val="none"/>
        </w:rPr>
        <w:tab/>
      </w:r>
      <w:r>
        <w:rPr>
          <w:highlight w:val="none"/>
        </w:rPr>
        <w:fldChar w:fldCharType="begin"/>
      </w:r>
      <w:r>
        <w:rPr>
          <w:highlight w:val="none"/>
        </w:rPr>
        <w:instrText xml:space="preserve"> PAGEREF _Toc24654 \h </w:instrText>
      </w:r>
      <w:r>
        <w:rPr>
          <w:highlight w:val="none"/>
        </w:rPr>
        <w:fldChar w:fldCharType="separate"/>
      </w:r>
      <w:r>
        <w:rPr>
          <w:highlight w:val="none"/>
        </w:rPr>
        <w:t>7</w:t>
      </w:r>
      <w:r>
        <w:rPr>
          <w:highlight w:val="none"/>
        </w:rPr>
        <w:fldChar w:fldCharType="end"/>
      </w:r>
      <w:r>
        <w:rPr>
          <w:highlight w:val="none"/>
        </w:rPr>
        <w:fldChar w:fldCharType="end"/>
      </w:r>
    </w:p>
    <w:p>
      <w:pPr>
        <w:pStyle w:val="28"/>
        <w:tabs>
          <w:tab w:val="right" w:leader="dot" w:pos="8306"/>
          <w:tab w:val="clear" w:pos="900"/>
          <w:tab w:val="clear" w:pos="8296"/>
        </w:tabs>
        <w:rPr>
          <w:highlight w:val="none"/>
        </w:rPr>
      </w:pPr>
      <w:r>
        <w:rPr>
          <w:highlight w:val="none"/>
        </w:rPr>
        <w:fldChar w:fldCharType="begin"/>
      </w:r>
      <w:r>
        <w:rPr>
          <w:highlight w:val="none"/>
        </w:rPr>
        <w:instrText xml:space="preserve"> HYPERLINK \l "_Toc18050" </w:instrText>
      </w:r>
      <w:r>
        <w:rPr>
          <w:highlight w:val="none"/>
        </w:rPr>
        <w:fldChar w:fldCharType="separate"/>
      </w:r>
      <w:r>
        <w:rPr>
          <w:rFonts w:hint="eastAsia" w:hAnsi="宋体"/>
          <w:highlight w:val="none"/>
        </w:rPr>
        <w:t>（一）设备技术参数和性能要求响应表</w:t>
      </w:r>
      <w:r>
        <w:rPr>
          <w:highlight w:val="none"/>
        </w:rPr>
        <w:tab/>
      </w:r>
      <w:r>
        <w:rPr>
          <w:highlight w:val="none"/>
        </w:rPr>
        <w:fldChar w:fldCharType="begin"/>
      </w:r>
      <w:r>
        <w:rPr>
          <w:highlight w:val="none"/>
        </w:rPr>
        <w:instrText xml:space="preserve"> PAGEREF _Toc18050 \h </w:instrText>
      </w:r>
      <w:r>
        <w:rPr>
          <w:highlight w:val="none"/>
        </w:rPr>
        <w:fldChar w:fldCharType="separate"/>
      </w:r>
      <w:r>
        <w:rPr>
          <w:highlight w:val="none"/>
        </w:rPr>
        <w:t>7</w:t>
      </w:r>
      <w:r>
        <w:rPr>
          <w:highlight w:val="none"/>
        </w:rPr>
        <w:fldChar w:fldCharType="end"/>
      </w:r>
      <w:r>
        <w:rPr>
          <w:highlight w:val="none"/>
        </w:rPr>
        <w:fldChar w:fldCharType="end"/>
      </w:r>
    </w:p>
    <w:p>
      <w:pPr>
        <w:pStyle w:val="28"/>
        <w:tabs>
          <w:tab w:val="right" w:leader="dot" w:pos="8306"/>
          <w:tab w:val="clear" w:pos="900"/>
          <w:tab w:val="clear" w:pos="8296"/>
        </w:tabs>
        <w:rPr>
          <w:highlight w:val="none"/>
        </w:rPr>
      </w:pPr>
      <w:r>
        <w:rPr>
          <w:highlight w:val="none"/>
        </w:rPr>
        <w:fldChar w:fldCharType="begin"/>
      </w:r>
      <w:r>
        <w:rPr>
          <w:highlight w:val="none"/>
        </w:rPr>
        <w:instrText xml:space="preserve"> HYPERLINK \l "_Toc223" </w:instrText>
      </w:r>
      <w:r>
        <w:rPr>
          <w:highlight w:val="none"/>
        </w:rPr>
        <w:fldChar w:fldCharType="separate"/>
      </w:r>
      <w:r>
        <w:rPr>
          <w:rFonts w:hint="eastAsia" w:hAnsi="宋体"/>
          <w:highlight w:val="none"/>
        </w:rPr>
        <w:t>（二）规格要求</w:t>
      </w:r>
      <w:r>
        <w:rPr>
          <w:highlight w:val="none"/>
        </w:rPr>
        <w:tab/>
      </w:r>
      <w:r>
        <w:rPr>
          <w:highlight w:val="none"/>
        </w:rPr>
        <w:fldChar w:fldCharType="begin"/>
      </w:r>
      <w:r>
        <w:rPr>
          <w:highlight w:val="none"/>
        </w:rPr>
        <w:instrText xml:space="preserve"> PAGEREF _Toc223 \h </w:instrText>
      </w:r>
      <w:r>
        <w:rPr>
          <w:highlight w:val="none"/>
        </w:rPr>
        <w:fldChar w:fldCharType="separate"/>
      </w:r>
      <w:r>
        <w:rPr>
          <w:highlight w:val="none"/>
        </w:rPr>
        <w:t>43</w:t>
      </w:r>
      <w:r>
        <w:rPr>
          <w:highlight w:val="none"/>
        </w:rPr>
        <w:fldChar w:fldCharType="end"/>
      </w:r>
      <w:r>
        <w:rPr>
          <w:highlight w:val="none"/>
        </w:rPr>
        <w:fldChar w:fldCharType="end"/>
      </w:r>
    </w:p>
    <w:p>
      <w:pPr>
        <w:pStyle w:val="28"/>
        <w:tabs>
          <w:tab w:val="right" w:leader="dot" w:pos="8306"/>
          <w:tab w:val="clear" w:pos="900"/>
          <w:tab w:val="clear" w:pos="8296"/>
        </w:tabs>
        <w:rPr>
          <w:highlight w:val="none"/>
        </w:rPr>
      </w:pPr>
      <w:r>
        <w:rPr>
          <w:highlight w:val="none"/>
        </w:rPr>
        <w:fldChar w:fldCharType="begin"/>
      </w:r>
      <w:r>
        <w:rPr>
          <w:highlight w:val="none"/>
        </w:rPr>
        <w:instrText xml:space="preserve"> HYPERLINK \l "_Toc18055" </w:instrText>
      </w:r>
      <w:r>
        <w:rPr>
          <w:highlight w:val="none"/>
        </w:rPr>
        <w:fldChar w:fldCharType="separate"/>
      </w:r>
      <w:r>
        <w:rPr>
          <w:rFonts w:hint="eastAsia" w:hAnsi="宋体"/>
          <w:highlight w:val="none"/>
        </w:rPr>
        <w:t>（三）技术及服务要求</w:t>
      </w:r>
      <w:r>
        <w:rPr>
          <w:highlight w:val="none"/>
        </w:rPr>
        <w:tab/>
      </w:r>
      <w:r>
        <w:rPr>
          <w:highlight w:val="none"/>
        </w:rPr>
        <w:fldChar w:fldCharType="begin"/>
      </w:r>
      <w:r>
        <w:rPr>
          <w:highlight w:val="none"/>
        </w:rPr>
        <w:instrText xml:space="preserve"> PAGEREF _Toc18055 \h </w:instrText>
      </w:r>
      <w:r>
        <w:rPr>
          <w:highlight w:val="none"/>
        </w:rPr>
        <w:fldChar w:fldCharType="separate"/>
      </w:r>
      <w:r>
        <w:rPr>
          <w:highlight w:val="none"/>
        </w:rPr>
        <w:t>43</w:t>
      </w:r>
      <w:r>
        <w:rPr>
          <w:highlight w:val="none"/>
        </w:rPr>
        <w:fldChar w:fldCharType="end"/>
      </w:r>
      <w:r>
        <w:rPr>
          <w:highlight w:val="none"/>
        </w:rPr>
        <w:fldChar w:fldCharType="end"/>
      </w:r>
    </w:p>
    <w:p>
      <w:pPr>
        <w:pStyle w:val="26"/>
        <w:tabs>
          <w:tab w:val="right" w:leader="dot" w:pos="8306"/>
        </w:tabs>
        <w:rPr>
          <w:highlight w:val="none"/>
        </w:rPr>
      </w:pPr>
      <w:r>
        <w:rPr>
          <w:highlight w:val="none"/>
        </w:rPr>
        <w:fldChar w:fldCharType="begin"/>
      </w:r>
      <w:r>
        <w:rPr>
          <w:highlight w:val="none"/>
        </w:rPr>
        <w:instrText xml:space="preserve"> HYPERLINK \l "_Toc9283" </w:instrText>
      </w:r>
      <w:r>
        <w:rPr>
          <w:highlight w:val="none"/>
        </w:rPr>
        <w:fldChar w:fldCharType="separate"/>
      </w:r>
      <w:r>
        <w:rPr>
          <w:rFonts w:hint="eastAsia" w:hAnsi="宋体"/>
          <w:szCs w:val="24"/>
          <w:highlight w:val="none"/>
        </w:rPr>
        <w:t>六、试验</w:t>
      </w:r>
      <w:r>
        <w:rPr>
          <w:highlight w:val="none"/>
        </w:rPr>
        <w:tab/>
      </w:r>
      <w:r>
        <w:rPr>
          <w:highlight w:val="none"/>
        </w:rPr>
        <w:fldChar w:fldCharType="begin"/>
      </w:r>
      <w:r>
        <w:rPr>
          <w:highlight w:val="none"/>
        </w:rPr>
        <w:instrText xml:space="preserve"> PAGEREF _Toc9283 \h </w:instrText>
      </w:r>
      <w:r>
        <w:rPr>
          <w:highlight w:val="none"/>
        </w:rPr>
        <w:fldChar w:fldCharType="separate"/>
      </w:r>
      <w:r>
        <w:rPr>
          <w:highlight w:val="none"/>
        </w:rPr>
        <w:t>43</w:t>
      </w:r>
      <w:r>
        <w:rPr>
          <w:highlight w:val="none"/>
        </w:rPr>
        <w:fldChar w:fldCharType="end"/>
      </w:r>
      <w:r>
        <w:rPr>
          <w:highlight w:val="none"/>
        </w:rPr>
        <w:fldChar w:fldCharType="end"/>
      </w:r>
    </w:p>
    <w:p>
      <w:pPr>
        <w:pStyle w:val="28"/>
        <w:tabs>
          <w:tab w:val="right" w:leader="dot" w:pos="8306"/>
          <w:tab w:val="clear" w:pos="900"/>
          <w:tab w:val="clear" w:pos="8296"/>
        </w:tabs>
        <w:rPr>
          <w:highlight w:val="none"/>
        </w:rPr>
      </w:pPr>
      <w:r>
        <w:rPr>
          <w:highlight w:val="none"/>
        </w:rPr>
        <w:fldChar w:fldCharType="begin"/>
      </w:r>
      <w:r>
        <w:rPr>
          <w:highlight w:val="none"/>
        </w:rPr>
        <w:instrText xml:space="preserve"> HYPERLINK \l "_Toc6178" </w:instrText>
      </w:r>
      <w:r>
        <w:rPr>
          <w:highlight w:val="none"/>
        </w:rPr>
        <w:fldChar w:fldCharType="separate"/>
      </w:r>
      <w:r>
        <w:rPr>
          <w:rFonts w:hint="eastAsia" w:hAnsi="宋体"/>
          <w:highlight w:val="none"/>
        </w:rPr>
        <w:t>（一）</w:t>
      </w:r>
      <w:r>
        <w:rPr>
          <w:rFonts w:hAnsi="宋体"/>
          <w:highlight w:val="none"/>
        </w:rPr>
        <w:t>型式试验</w:t>
      </w:r>
      <w:r>
        <w:rPr>
          <w:highlight w:val="none"/>
        </w:rPr>
        <w:tab/>
      </w:r>
      <w:r>
        <w:rPr>
          <w:highlight w:val="none"/>
        </w:rPr>
        <w:fldChar w:fldCharType="begin"/>
      </w:r>
      <w:r>
        <w:rPr>
          <w:highlight w:val="none"/>
        </w:rPr>
        <w:instrText xml:space="preserve"> PAGEREF _Toc6178 \h </w:instrText>
      </w:r>
      <w:r>
        <w:rPr>
          <w:highlight w:val="none"/>
        </w:rPr>
        <w:fldChar w:fldCharType="separate"/>
      </w:r>
      <w:r>
        <w:rPr>
          <w:highlight w:val="none"/>
        </w:rPr>
        <w:t>44</w:t>
      </w:r>
      <w:r>
        <w:rPr>
          <w:highlight w:val="none"/>
        </w:rPr>
        <w:fldChar w:fldCharType="end"/>
      </w:r>
      <w:r>
        <w:rPr>
          <w:highlight w:val="none"/>
        </w:rPr>
        <w:fldChar w:fldCharType="end"/>
      </w:r>
    </w:p>
    <w:p>
      <w:pPr>
        <w:pStyle w:val="28"/>
        <w:tabs>
          <w:tab w:val="right" w:leader="dot" w:pos="8306"/>
          <w:tab w:val="clear" w:pos="900"/>
          <w:tab w:val="clear" w:pos="8296"/>
        </w:tabs>
        <w:rPr>
          <w:highlight w:val="none"/>
        </w:rPr>
      </w:pPr>
      <w:r>
        <w:rPr>
          <w:highlight w:val="none"/>
        </w:rPr>
        <w:fldChar w:fldCharType="begin"/>
      </w:r>
      <w:r>
        <w:rPr>
          <w:highlight w:val="none"/>
        </w:rPr>
        <w:instrText xml:space="preserve"> HYPERLINK \l "_Toc2496" </w:instrText>
      </w:r>
      <w:r>
        <w:rPr>
          <w:highlight w:val="none"/>
        </w:rPr>
        <w:fldChar w:fldCharType="separate"/>
      </w:r>
      <w:r>
        <w:rPr>
          <w:rFonts w:hint="eastAsia" w:hAnsi="宋体"/>
          <w:highlight w:val="none"/>
        </w:rPr>
        <w:t>（二）</w:t>
      </w:r>
      <w:r>
        <w:rPr>
          <w:rFonts w:hAnsi="宋体"/>
          <w:highlight w:val="none"/>
        </w:rPr>
        <w:t>出厂试验</w:t>
      </w:r>
      <w:r>
        <w:rPr>
          <w:highlight w:val="none"/>
        </w:rPr>
        <w:tab/>
      </w:r>
      <w:r>
        <w:rPr>
          <w:highlight w:val="none"/>
        </w:rPr>
        <w:fldChar w:fldCharType="begin"/>
      </w:r>
      <w:r>
        <w:rPr>
          <w:highlight w:val="none"/>
        </w:rPr>
        <w:instrText xml:space="preserve"> PAGEREF _Toc2496 \h </w:instrText>
      </w:r>
      <w:r>
        <w:rPr>
          <w:highlight w:val="none"/>
        </w:rPr>
        <w:fldChar w:fldCharType="separate"/>
      </w:r>
      <w:r>
        <w:rPr>
          <w:highlight w:val="none"/>
        </w:rPr>
        <w:t>44</w:t>
      </w:r>
      <w:r>
        <w:rPr>
          <w:highlight w:val="none"/>
        </w:rPr>
        <w:fldChar w:fldCharType="end"/>
      </w:r>
      <w:r>
        <w:rPr>
          <w:highlight w:val="none"/>
        </w:rPr>
        <w:fldChar w:fldCharType="end"/>
      </w:r>
    </w:p>
    <w:p>
      <w:pPr>
        <w:pStyle w:val="28"/>
        <w:tabs>
          <w:tab w:val="right" w:leader="dot" w:pos="8306"/>
          <w:tab w:val="clear" w:pos="900"/>
          <w:tab w:val="clear" w:pos="8296"/>
        </w:tabs>
        <w:rPr>
          <w:highlight w:val="none"/>
        </w:rPr>
      </w:pPr>
      <w:r>
        <w:rPr>
          <w:highlight w:val="none"/>
        </w:rPr>
        <w:fldChar w:fldCharType="begin"/>
      </w:r>
      <w:r>
        <w:rPr>
          <w:highlight w:val="none"/>
        </w:rPr>
        <w:instrText xml:space="preserve"> HYPERLINK \l "_Toc12267" </w:instrText>
      </w:r>
      <w:r>
        <w:rPr>
          <w:highlight w:val="none"/>
        </w:rPr>
        <w:fldChar w:fldCharType="separate"/>
      </w:r>
      <w:r>
        <w:rPr>
          <w:rFonts w:hint="eastAsia" w:hAnsi="宋体"/>
          <w:highlight w:val="none"/>
        </w:rPr>
        <w:t>（三）</w:t>
      </w:r>
      <w:r>
        <w:rPr>
          <w:rFonts w:hAnsi="宋体"/>
          <w:highlight w:val="none"/>
        </w:rPr>
        <w:t>现场交接试验</w:t>
      </w:r>
      <w:r>
        <w:rPr>
          <w:rFonts w:hint="eastAsia" w:hAnsi="宋体"/>
          <w:highlight w:val="none"/>
        </w:rPr>
        <w:t>和功能验收</w:t>
      </w:r>
      <w:r>
        <w:rPr>
          <w:highlight w:val="none"/>
        </w:rPr>
        <w:tab/>
      </w:r>
      <w:r>
        <w:rPr>
          <w:highlight w:val="none"/>
        </w:rPr>
        <w:fldChar w:fldCharType="begin"/>
      </w:r>
      <w:r>
        <w:rPr>
          <w:highlight w:val="none"/>
        </w:rPr>
        <w:instrText xml:space="preserve"> PAGEREF _Toc12267 \h </w:instrText>
      </w:r>
      <w:r>
        <w:rPr>
          <w:highlight w:val="none"/>
        </w:rPr>
        <w:fldChar w:fldCharType="separate"/>
      </w:r>
      <w:r>
        <w:rPr>
          <w:highlight w:val="none"/>
        </w:rPr>
        <w:t>44</w:t>
      </w:r>
      <w:r>
        <w:rPr>
          <w:highlight w:val="none"/>
        </w:rPr>
        <w:fldChar w:fldCharType="end"/>
      </w:r>
      <w:r>
        <w:rPr>
          <w:highlight w:val="none"/>
        </w:rPr>
        <w:fldChar w:fldCharType="end"/>
      </w:r>
    </w:p>
    <w:p>
      <w:pPr>
        <w:pStyle w:val="26"/>
        <w:tabs>
          <w:tab w:val="right" w:leader="dot" w:pos="8306"/>
        </w:tabs>
        <w:rPr>
          <w:highlight w:val="none"/>
        </w:rPr>
      </w:pPr>
      <w:r>
        <w:rPr>
          <w:highlight w:val="none"/>
        </w:rPr>
        <w:fldChar w:fldCharType="begin"/>
      </w:r>
      <w:r>
        <w:rPr>
          <w:highlight w:val="none"/>
        </w:rPr>
        <w:instrText xml:space="preserve"> HYPERLINK \l "_Toc25675" </w:instrText>
      </w:r>
      <w:r>
        <w:rPr>
          <w:highlight w:val="none"/>
        </w:rPr>
        <w:fldChar w:fldCharType="separate"/>
      </w:r>
      <w:r>
        <w:rPr>
          <w:rFonts w:hint="eastAsia" w:hAnsi="宋体"/>
          <w:szCs w:val="24"/>
          <w:highlight w:val="none"/>
        </w:rPr>
        <w:t>七、产品对环境的影响</w:t>
      </w:r>
      <w:r>
        <w:rPr>
          <w:highlight w:val="none"/>
        </w:rPr>
        <w:tab/>
      </w:r>
      <w:r>
        <w:rPr>
          <w:highlight w:val="none"/>
        </w:rPr>
        <w:fldChar w:fldCharType="begin"/>
      </w:r>
      <w:r>
        <w:rPr>
          <w:highlight w:val="none"/>
        </w:rPr>
        <w:instrText xml:space="preserve"> PAGEREF _Toc25675 \h </w:instrText>
      </w:r>
      <w:r>
        <w:rPr>
          <w:highlight w:val="none"/>
        </w:rPr>
        <w:fldChar w:fldCharType="separate"/>
      </w:r>
      <w:r>
        <w:rPr>
          <w:highlight w:val="none"/>
        </w:rPr>
        <w:t>44</w:t>
      </w:r>
      <w:r>
        <w:rPr>
          <w:highlight w:val="none"/>
        </w:rPr>
        <w:fldChar w:fldCharType="end"/>
      </w:r>
      <w:r>
        <w:rPr>
          <w:highlight w:val="none"/>
        </w:rPr>
        <w:fldChar w:fldCharType="end"/>
      </w:r>
    </w:p>
    <w:p>
      <w:pPr>
        <w:pStyle w:val="26"/>
        <w:tabs>
          <w:tab w:val="right" w:leader="dot" w:pos="8306"/>
        </w:tabs>
        <w:rPr>
          <w:highlight w:val="none"/>
        </w:rPr>
      </w:pPr>
      <w:r>
        <w:rPr>
          <w:highlight w:val="none"/>
        </w:rPr>
        <w:fldChar w:fldCharType="begin"/>
      </w:r>
      <w:r>
        <w:rPr>
          <w:highlight w:val="none"/>
        </w:rPr>
        <w:instrText xml:space="preserve"> HYPERLINK \l "_Toc19130" </w:instrText>
      </w:r>
      <w:r>
        <w:rPr>
          <w:highlight w:val="none"/>
        </w:rPr>
        <w:fldChar w:fldCharType="separate"/>
      </w:r>
      <w:r>
        <w:rPr>
          <w:rFonts w:hint="eastAsia" w:hAnsi="宋体"/>
          <w:szCs w:val="24"/>
          <w:highlight w:val="none"/>
        </w:rPr>
        <w:t>八、技术文件要求</w:t>
      </w:r>
      <w:r>
        <w:rPr>
          <w:highlight w:val="none"/>
        </w:rPr>
        <w:tab/>
      </w:r>
      <w:r>
        <w:rPr>
          <w:highlight w:val="none"/>
        </w:rPr>
        <w:fldChar w:fldCharType="begin"/>
      </w:r>
      <w:r>
        <w:rPr>
          <w:highlight w:val="none"/>
        </w:rPr>
        <w:instrText xml:space="preserve"> PAGEREF _Toc19130 \h </w:instrText>
      </w:r>
      <w:r>
        <w:rPr>
          <w:highlight w:val="none"/>
        </w:rPr>
        <w:fldChar w:fldCharType="separate"/>
      </w:r>
      <w:r>
        <w:rPr>
          <w:highlight w:val="none"/>
        </w:rPr>
        <w:t>44</w:t>
      </w:r>
      <w:r>
        <w:rPr>
          <w:highlight w:val="none"/>
        </w:rPr>
        <w:fldChar w:fldCharType="end"/>
      </w:r>
      <w:r>
        <w:rPr>
          <w:highlight w:val="none"/>
        </w:rPr>
        <w:fldChar w:fldCharType="end"/>
      </w:r>
    </w:p>
    <w:p>
      <w:pPr>
        <w:pStyle w:val="26"/>
        <w:tabs>
          <w:tab w:val="right" w:leader="dot" w:pos="8306"/>
        </w:tabs>
        <w:rPr>
          <w:highlight w:val="none"/>
        </w:rPr>
      </w:pPr>
      <w:r>
        <w:rPr>
          <w:highlight w:val="none"/>
        </w:rPr>
        <w:fldChar w:fldCharType="begin"/>
      </w:r>
      <w:r>
        <w:rPr>
          <w:highlight w:val="none"/>
        </w:rPr>
        <w:instrText xml:space="preserve"> HYPERLINK \l "_Toc25647" </w:instrText>
      </w:r>
      <w:r>
        <w:rPr>
          <w:highlight w:val="none"/>
        </w:rPr>
        <w:fldChar w:fldCharType="separate"/>
      </w:r>
      <w:r>
        <w:rPr>
          <w:rFonts w:hint="eastAsia" w:hAnsi="宋体"/>
          <w:szCs w:val="24"/>
          <w:highlight w:val="none"/>
        </w:rPr>
        <w:t>九、包装、运输、安装及质量保证</w:t>
      </w:r>
      <w:r>
        <w:rPr>
          <w:highlight w:val="none"/>
        </w:rPr>
        <w:tab/>
      </w:r>
      <w:r>
        <w:rPr>
          <w:highlight w:val="none"/>
        </w:rPr>
        <w:fldChar w:fldCharType="begin"/>
      </w:r>
      <w:r>
        <w:rPr>
          <w:highlight w:val="none"/>
        </w:rPr>
        <w:instrText xml:space="preserve"> PAGEREF _Toc25647 \h </w:instrText>
      </w:r>
      <w:r>
        <w:rPr>
          <w:highlight w:val="none"/>
        </w:rPr>
        <w:fldChar w:fldCharType="separate"/>
      </w:r>
      <w:r>
        <w:rPr>
          <w:highlight w:val="none"/>
        </w:rPr>
        <w:t>44</w:t>
      </w:r>
      <w:r>
        <w:rPr>
          <w:highlight w:val="none"/>
        </w:rPr>
        <w:fldChar w:fldCharType="end"/>
      </w:r>
      <w:r>
        <w:rPr>
          <w:highlight w:val="none"/>
        </w:rPr>
        <w:fldChar w:fldCharType="end"/>
      </w:r>
    </w:p>
    <w:p>
      <w:pPr>
        <w:pStyle w:val="28"/>
        <w:tabs>
          <w:tab w:val="right" w:leader="dot" w:pos="8306"/>
          <w:tab w:val="clear" w:pos="900"/>
          <w:tab w:val="clear" w:pos="8296"/>
        </w:tabs>
        <w:rPr>
          <w:highlight w:val="none"/>
        </w:rPr>
      </w:pPr>
      <w:r>
        <w:rPr>
          <w:highlight w:val="none"/>
        </w:rPr>
        <w:fldChar w:fldCharType="begin"/>
      </w:r>
      <w:r>
        <w:rPr>
          <w:highlight w:val="none"/>
        </w:rPr>
        <w:instrText xml:space="preserve"> HYPERLINK \l "_Toc27447" </w:instrText>
      </w:r>
      <w:r>
        <w:rPr>
          <w:highlight w:val="none"/>
        </w:rPr>
        <w:fldChar w:fldCharType="separate"/>
      </w:r>
      <w:r>
        <w:rPr>
          <w:rFonts w:hint="eastAsia" w:ascii="宋体" w:hAnsi="宋体"/>
          <w:highlight w:val="none"/>
        </w:rPr>
        <w:t>（一）监造</w:t>
      </w:r>
      <w:r>
        <w:rPr>
          <w:highlight w:val="none"/>
        </w:rPr>
        <w:tab/>
      </w:r>
      <w:r>
        <w:rPr>
          <w:highlight w:val="none"/>
        </w:rPr>
        <w:fldChar w:fldCharType="begin"/>
      </w:r>
      <w:r>
        <w:rPr>
          <w:highlight w:val="none"/>
        </w:rPr>
        <w:instrText xml:space="preserve"> PAGEREF _Toc27447 \h </w:instrText>
      </w:r>
      <w:r>
        <w:rPr>
          <w:highlight w:val="none"/>
        </w:rPr>
        <w:fldChar w:fldCharType="separate"/>
      </w:r>
      <w:r>
        <w:rPr>
          <w:highlight w:val="none"/>
        </w:rPr>
        <w:t>44</w:t>
      </w:r>
      <w:r>
        <w:rPr>
          <w:highlight w:val="none"/>
        </w:rPr>
        <w:fldChar w:fldCharType="end"/>
      </w:r>
      <w:r>
        <w:rPr>
          <w:highlight w:val="none"/>
        </w:rPr>
        <w:fldChar w:fldCharType="end"/>
      </w:r>
    </w:p>
    <w:p>
      <w:pPr>
        <w:pStyle w:val="28"/>
        <w:tabs>
          <w:tab w:val="right" w:leader="dot" w:pos="8306"/>
          <w:tab w:val="clear" w:pos="900"/>
          <w:tab w:val="clear" w:pos="8296"/>
        </w:tabs>
        <w:rPr>
          <w:highlight w:val="none"/>
        </w:rPr>
      </w:pPr>
      <w:r>
        <w:rPr>
          <w:highlight w:val="none"/>
        </w:rPr>
        <w:fldChar w:fldCharType="begin"/>
      </w:r>
      <w:r>
        <w:rPr>
          <w:highlight w:val="none"/>
        </w:rPr>
        <w:instrText xml:space="preserve"> HYPERLINK \l "_Toc28375" </w:instrText>
      </w:r>
      <w:r>
        <w:rPr>
          <w:highlight w:val="none"/>
        </w:rPr>
        <w:fldChar w:fldCharType="separate"/>
      </w:r>
      <w:r>
        <w:rPr>
          <w:rFonts w:hint="eastAsia" w:ascii="宋体" w:hAnsi="宋体"/>
          <w:highlight w:val="none"/>
        </w:rPr>
        <w:t>（二）包装</w:t>
      </w:r>
      <w:r>
        <w:rPr>
          <w:highlight w:val="none"/>
        </w:rPr>
        <w:tab/>
      </w:r>
      <w:r>
        <w:rPr>
          <w:highlight w:val="none"/>
        </w:rPr>
        <w:fldChar w:fldCharType="begin"/>
      </w:r>
      <w:r>
        <w:rPr>
          <w:highlight w:val="none"/>
        </w:rPr>
        <w:instrText xml:space="preserve"> PAGEREF _Toc28375 \h </w:instrText>
      </w:r>
      <w:r>
        <w:rPr>
          <w:highlight w:val="none"/>
        </w:rPr>
        <w:fldChar w:fldCharType="separate"/>
      </w:r>
      <w:r>
        <w:rPr>
          <w:highlight w:val="none"/>
        </w:rPr>
        <w:t>45</w:t>
      </w:r>
      <w:r>
        <w:rPr>
          <w:highlight w:val="none"/>
        </w:rPr>
        <w:fldChar w:fldCharType="end"/>
      </w:r>
      <w:r>
        <w:rPr>
          <w:highlight w:val="none"/>
        </w:rPr>
        <w:fldChar w:fldCharType="end"/>
      </w:r>
    </w:p>
    <w:p>
      <w:pPr>
        <w:pStyle w:val="28"/>
        <w:tabs>
          <w:tab w:val="right" w:leader="dot" w:pos="8306"/>
          <w:tab w:val="clear" w:pos="900"/>
          <w:tab w:val="clear" w:pos="8296"/>
        </w:tabs>
        <w:rPr>
          <w:highlight w:val="none"/>
        </w:rPr>
      </w:pPr>
      <w:r>
        <w:rPr>
          <w:highlight w:val="none"/>
        </w:rPr>
        <w:fldChar w:fldCharType="begin"/>
      </w:r>
      <w:r>
        <w:rPr>
          <w:highlight w:val="none"/>
        </w:rPr>
        <w:instrText xml:space="preserve"> HYPERLINK \l "_Toc8446" </w:instrText>
      </w:r>
      <w:r>
        <w:rPr>
          <w:highlight w:val="none"/>
        </w:rPr>
        <w:fldChar w:fldCharType="separate"/>
      </w:r>
      <w:r>
        <w:rPr>
          <w:rFonts w:hint="eastAsia" w:ascii="宋体" w:hAnsi="宋体"/>
          <w:highlight w:val="none"/>
        </w:rPr>
        <w:t>（三）运输</w:t>
      </w:r>
      <w:r>
        <w:rPr>
          <w:highlight w:val="none"/>
        </w:rPr>
        <w:tab/>
      </w:r>
      <w:r>
        <w:rPr>
          <w:highlight w:val="none"/>
        </w:rPr>
        <w:fldChar w:fldCharType="begin"/>
      </w:r>
      <w:r>
        <w:rPr>
          <w:highlight w:val="none"/>
        </w:rPr>
        <w:instrText xml:space="preserve"> PAGEREF _Toc8446 \h </w:instrText>
      </w:r>
      <w:r>
        <w:rPr>
          <w:highlight w:val="none"/>
        </w:rPr>
        <w:fldChar w:fldCharType="separate"/>
      </w:r>
      <w:r>
        <w:rPr>
          <w:highlight w:val="none"/>
        </w:rPr>
        <w:t>45</w:t>
      </w:r>
      <w:r>
        <w:rPr>
          <w:highlight w:val="none"/>
        </w:rPr>
        <w:fldChar w:fldCharType="end"/>
      </w:r>
      <w:r>
        <w:rPr>
          <w:highlight w:val="none"/>
        </w:rPr>
        <w:fldChar w:fldCharType="end"/>
      </w:r>
    </w:p>
    <w:p>
      <w:pPr>
        <w:pStyle w:val="28"/>
        <w:tabs>
          <w:tab w:val="right" w:leader="dot" w:pos="8306"/>
          <w:tab w:val="clear" w:pos="900"/>
          <w:tab w:val="clear" w:pos="8296"/>
        </w:tabs>
        <w:rPr>
          <w:highlight w:val="none"/>
        </w:rPr>
      </w:pPr>
      <w:r>
        <w:rPr>
          <w:highlight w:val="none"/>
        </w:rPr>
        <w:fldChar w:fldCharType="begin"/>
      </w:r>
      <w:r>
        <w:rPr>
          <w:highlight w:val="none"/>
        </w:rPr>
        <w:instrText xml:space="preserve"> HYPERLINK \l "_Toc32227" </w:instrText>
      </w:r>
      <w:r>
        <w:rPr>
          <w:highlight w:val="none"/>
        </w:rPr>
        <w:fldChar w:fldCharType="separate"/>
      </w:r>
      <w:r>
        <w:rPr>
          <w:rFonts w:hint="eastAsia" w:ascii="宋体" w:hAnsi="宋体"/>
          <w:highlight w:val="none"/>
        </w:rPr>
        <w:t>（四）安装使用指导</w:t>
      </w:r>
      <w:r>
        <w:rPr>
          <w:highlight w:val="none"/>
        </w:rPr>
        <w:tab/>
      </w:r>
      <w:r>
        <w:rPr>
          <w:highlight w:val="none"/>
        </w:rPr>
        <w:fldChar w:fldCharType="begin"/>
      </w:r>
      <w:r>
        <w:rPr>
          <w:highlight w:val="none"/>
        </w:rPr>
        <w:instrText xml:space="preserve"> PAGEREF _Toc32227 \h </w:instrText>
      </w:r>
      <w:r>
        <w:rPr>
          <w:highlight w:val="none"/>
        </w:rPr>
        <w:fldChar w:fldCharType="separate"/>
      </w:r>
      <w:r>
        <w:rPr>
          <w:highlight w:val="none"/>
        </w:rPr>
        <w:t>45</w:t>
      </w:r>
      <w:r>
        <w:rPr>
          <w:highlight w:val="none"/>
        </w:rPr>
        <w:fldChar w:fldCharType="end"/>
      </w:r>
      <w:r>
        <w:rPr>
          <w:highlight w:val="none"/>
        </w:rPr>
        <w:fldChar w:fldCharType="end"/>
      </w:r>
    </w:p>
    <w:p>
      <w:pPr>
        <w:pStyle w:val="28"/>
        <w:tabs>
          <w:tab w:val="right" w:leader="dot" w:pos="8306"/>
          <w:tab w:val="clear" w:pos="900"/>
          <w:tab w:val="clear" w:pos="8296"/>
        </w:tabs>
        <w:rPr>
          <w:highlight w:val="none"/>
        </w:rPr>
      </w:pPr>
      <w:r>
        <w:rPr>
          <w:highlight w:val="none"/>
        </w:rPr>
        <w:fldChar w:fldCharType="begin"/>
      </w:r>
      <w:r>
        <w:rPr>
          <w:highlight w:val="none"/>
        </w:rPr>
        <w:instrText xml:space="preserve"> HYPERLINK \l "_Toc19929" </w:instrText>
      </w:r>
      <w:r>
        <w:rPr>
          <w:highlight w:val="none"/>
        </w:rPr>
        <w:fldChar w:fldCharType="separate"/>
      </w:r>
      <w:r>
        <w:rPr>
          <w:rFonts w:hint="eastAsia" w:ascii="宋体" w:hAnsi="宋体"/>
          <w:highlight w:val="none"/>
        </w:rPr>
        <w:t>（五）质量保证</w:t>
      </w:r>
      <w:r>
        <w:rPr>
          <w:highlight w:val="none"/>
        </w:rPr>
        <w:tab/>
      </w:r>
      <w:r>
        <w:rPr>
          <w:highlight w:val="none"/>
        </w:rPr>
        <w:fldChar w:fldCharType="begin"/>
      </w:r>
      <w:r>
        <w:rPr>
          <w:highlight w:val="none"/>
        </w:rPr>
        <w:instrText xml:space="preserve"> PAGEREF _Toc19929 \h </w:instrText>
      </w:r>
      <w:r>
        <w:rPr>
          <w:highlight w:val="none"/>
        </w:rPr>
        <w:fldChar w:fldCharType="separate"/>
      </w:r>
      <w:r>
        <w:rPr>
          <w:highlight w:val="none"/>
        </w:rPr>
        <w:t>45</w:t>
      </w:r>
      <w:r>
        <w:rPr>
          <w:highlight w:val="none"/>
        </w:rPr>
        <w:fldChar w:fldCharType="end"/>
      </w:r>
      <w:r>
        <w:rPr>
          <w:highlight w:val="none"/>
        </w:rPr>
        <w:fldChar w:fldCharType="end"/>
      </w:r>
    </w:p>
    <w:p>
      <w:pPr>
        <w:pStyle w:val="26"/>
        <w:tabs>
          <w:tab w:val="right" w:leader="dot" w:pos="8306"/>
        </w:tabs>
        <w:rPr>
          <w:highlight w:val="none"/>
        </w:rPr>
      </w:pPr>
      <w:r>
        <w:rPr>
          <w:highlight w:val="none"/>
        </w:rPr>
        <w:fldChar w:fldCharType="begin"/>
      </w:r>
      <w:r>
        <w:rPr>
          <w:highlight w:val="none"/>
        </w:rPr>
        <w:instrText xml:space="preserve"> HYPERLINK \l "_Toc10227" </w:instrText>
      </w:r>
      <w:r>
        <w:rPr>
          <w:highlight w:val="none"/>
        </w:rPr>
        <w:fldChar w:fldCharType="separate"/>
      </w:r>
      <w:r>
        <w:rPr>
          <w:rFonts w:hint="eastAsia"/>
          <w:highlight w:val="none"/>
        </w:rPr>
        <w:t>十、主要元器件来源</w:t>
      </w:r>
      <w:r>
        <w:rPr>
          <w:highlight w:val="none"/>
        </w:rPr>
        <w:tab/>
      </w:r>
      <w:r>
        <w:rPr>
          <w:highlight w:val="none"/>
        </w:rPr>
        <w:fldChar w:fldCharType="begin"/>
      </w:r>
      <w:r>
        <w:rPr>
          <w:highlight w:val="none"/>
        </w:rPr>
        <w:instrText xml:space="preserve"> PAGEREF _Toc10227 \h </w:instrText>
      </w:r>
      <w:r>
        <w:rPr>
          <w:highlight w:val="none"/>
        </w:rPr>
        <w:fldChar w:fldCharType="separate"/>
      </w:r>
      <w:r>
        <w:rPr>
          <w:highlight w:val="none"/>
        </w:rPr>
        <w:t>46</w:t>
      </w:r>
      <w:r>
        <w:rPr>
          <w:highlight w:val="none"/>
        </w:rPr>
        <w:fldChar w:fldCharType="end"/>
      </w:r>
      <w:r>
        <w:rPr>
          <w:highlight w:val="none"/>
        </w:rPr>
        <w:fldChar w:fldCharType="end"/>
      </w:r>
    </w:p>
    <w:p>
      <w:pPr>
        <w:pStyle w:val="26"/>
        <w:tabs>
          <w:tab w:val="right" w:leader="dot" w:pos="8306"/>
        </w:tabs>
        <w:rPr>
          <w:highlight w:val="none"/>
        </w:rPr>
      </w:pPr>
      <w:r>
        <w:rPr>
          <w:highlight w:val="none"/>
        </w:rPr>
        <w:fldChar w:fldCharType="begin"/>
      </w:r>
      <w:r>
        <w:rPr>
          <w:highlight w:val="none"/>
        </w:rPr>
        <w:instrText xml:space="preserve"> HYPERLINK \l "_Toc481" </w:instrText>
      </w:r>
      <w:r>
        <w:rPr>
          <w:highlight w:val="none"/>
        </w:rPr>
        <w:fldChar w:fldCharType="separate"/>
      </w:r>
      <w:r>
        <w:rPr>
          <w:rFonts w:hint="eastAsia" w:hAnsi="宋体"/>
          <w:szCs w:val="24"/>
          <w:highlight w:val="none"/>
        </w:rPr>
        <w:t>十一、技术差异表</w:t>
      </w:r>
      <w:r>
        <w:rPr>
          <w:highlight w:val="none"/>
        </w:rPr>
        <w:tab/>
      </w:r>
      <w:r>
        <w:rPr>
          <w:highlight w:val="none"/>
        </w:rPr>
        <w:fldChar w:fldCharType="begin"/>
      </w:r>
      <w:r>
        <w:rPr>
          <w:highlight w:val="none"/>
        </w:rPr>
        <w:instrText xml:space="preserve"> PAGEREF _Toc481 \h </w:instrText>
      </w:r>
      <w:r>
        <w:rPr>
          <w:highlight w:val="none"/>
        </w:rPr>
        <w:fldChar w:fldCharType="separate"/>
      </w:r>
      <w:r>
        <w:rPr>
          <w:highlight w:val="none"/>
        </w:rPr>
        <w:t>46</w:t>
      </w:r>
      <w:r>
        <w:rPr>
          <w:highlight w:val="none"/>
        </w:rPr>
        <w:fldChar w:fldCharType="end"/>
      </w:r>
      <w:r>
        <w:rPr>
          <w:highlight w:val="none"/>
        </w:rPr>
        <w:fldChar w:fldCharType="end"/>
      </w:r>
    </w:p>
    <w:p>
      <w:pPr>
        <w:pStyle w:val="26"/>
        <w:tabs>
          <w:tab w:val="right" w:leader="dot" w:pos="8306"/>
        </w:tabs>
        <w:rPr>
          <w:highlight w:val="none"/>
        </w:rPr>
      </w:pPr>
      <w:r>
        <w:rPr>
          <w:highlight w:val="none"/>
        </w:rPr>
        <w:fldChar w:fldCharType="begin"/>
      </w:r>
      <w:r>
        <w:rPr>
          <w:highlight w:val="none"/>
        </w:rPr>
        <w:instrText xml:space="preserve"> HYPERLINK \l "_Toc10450" </w:instrText>
      </w:r>
      <w:r>
        <w:rPr>
          <w:highlight w:val="none"/>
        </w:rPr>
        <w:fldChar w:fldCharType="separate"/>
      </w:r>
      <w:r>
        <w:rPr>
          <w:rFonts w:hint="eastAsia" w:hAnsi="宋体"/>
          <w:szCs w:val="24"/>
          <w:highlight w:val="none"/>
        </w:rPr>
        <w:t>十二、投标方需说明的其他问题</w:t>
      </w:r>
      <w:r>
        <w:rPr>
          <w:highlight w:val="none"/>
        </w:rPr>
        <w:tab/>
      </w:r>
      <w:r>
        <w:rPr>
          <w:highlight w:val="none"/>
        </w:rPr>
        <w:fldChar w:fldCharType="begin"/>
      </w:r>
      <w:r>
        <w:rPr>
          <w:highlight w:val="none"/>
        </w:rPr>
        <w:instrText xml:space="preserve"> PAGEREF _Toc10450 \h </w:instrText>
      </w:r>
      <w:r>
        <w:rPr>
          <w:highlight w:val="none"/>
        </w:rPr>
        <w:fldChar w:fldCharType="separate"/>
      </w:r>
      <w:r>
        <w:rPr>
          <w:highlight w:val="none"/>
        </w:rPr>
        <w:t>46</w:t>
      </w:r>
      <w:r>
        <w:rPr>
          <w:highlight w:val="none"/>
        </w:rPr>
        <w:fldChar w:fldCharType="end"/>
      </w:r>
      <w:r>
        <w:rPr>
          <w:highlight w:val="none"/>
        </w:rPr>
        <w:fldChar w:fldCharType="end"/>
      </w:r>
    </w:p>
    <w:p>
      <w:pPr>
        <w:adjustRightInd w:val="0"/>
        <w:snapToGrid w:val="0"/>
        <w:rPr>
          <w:rFonts w:hint="eastAsia" w:ascii="宋体" w:hAnsi="宋体"/>
          <w:szCs w:val="21"/>
          <w:highlight w:val="none"/>
        </w:rPr>
        <w:sectPr>
          <w:pgSz w:w="11906" w:h="16838"/>
          <w:pgMar w:top="1440" w:right="1800" w:bottom="1440" w:left="1800" w:header="851" w:footer="992" w:gutter="0"/>
          <w:pgNumType w:fmt="upperRoman" w:start="1"/>
          <w:cols w:space="720" w:num="1"/>
          <w:docGrid w:type="lines" w:linePitch="312" w:charSpace="0"/>
        </w:sectPr>
      </w:pPr>
      <w:r>
        <w:rPr>
          <w:rFonts w:ascii="宋体" w:hAnsi="宋体"/>
          <w:szCs w:val="21"/>
          <w:highlight w:val="none"/>
        </w:rPr>
        <w:fldChar w:fldCharType="end"/>
      </w:r>
    </w:p>
    <w:p>
      <w:pPr>
        <w:pStyle w:val="2"/>
        <w:numPr>
          <w:ilvl w:val="0"/>
          <w:numId w:val="0"/>
        </w:numPr>
        <w:snapToGrid/>
        <w:spacing w:before="0" w:beforeLines="0" w:line="560" w:lineRule="exact"/>
        <w:rPr>
          <w:rFonts w:hint="eastAsia" w:hAnsi="宋体" w:cs="宋体"/>
          <w:sz w:val="24"/>
          <w:szCs w:val="24"/>
          <w:highlight w:val="none"/>
        </w:rPr>
      </w:pPr>
      <w:bookmarkStart w:id="1" w:name="_Toc229476473"/>
      <w:bookmarkEnd w:id="1"/>
      <w:bookmarkStart w:id="2" w:name="_Toc229476507"/>
      <w:bookmarkEnd w:id="2"/>
      <w:bookmarkStart w:id="3" w:name="_Toc229476378"/>
      <w:bookmarkEnd w:id="3"/>
      <w:bookmarkStart w:id="4" w:name="_Toc229476588"/>
      <w:bookmarkEnd w:id="4"/>
      <w:bookmarkStart w:id="5" w:name="_Toc112756677"/>
      <w:bookmarkStart w:id="6" w:name="_Toc3051"/>
      <w:r>
        <w:rPr>
          <w:rFonts w:hint="eastAsia" w:hAnsi="宋体" w:cs="宋体"/>
          <w:sz w:val="24"/>
          <w:szCs w:val="24"/>
          <w:highlight w:val="none"/>
        </w:rPr>
        <w:t>一、</w:t>
      </w:r>
      <w:bookmarkEnd w:id="5"/>
      <w:r>
        <w:rPr>
          <w:rFonts w:hint="eastAsia" w:hAnsi="宋体" w:cs="宋体"/>
          <w:sz w:val="24"/>
          <w:szCs w:val="24"/>
          <w:highlight w:val="none"/>
        </w:rPr>
        <w:t>总则</w:t>
      </w:r>
      <w:bookmarkEnd w:id="6"/>
    </w:p>
    <w:p>
      <w:pPr>
        <w:pStyle w:val="64"/>
        <w:adjustRightInd w:val="0"/>
        <w:snapToGrid w:val="0"/>
        <w:spacing w:line="360" w:lineRule="auto"/>
        <w:ind w:firstLine="480"/>
        <w:rPr>
          <w:rFonts w:hint="eastAsia" w:ascii="宋体" w:hAnsi="宋体" w:eastAsia="宋体"/>
          <w:sz w:val="24"/>
          <w:szCs w:val="24"/>
          <w:highlight w:val="none"/>
        </w:rPr>
      </w:pPr>
      <w:bookmarkStart w:id="7" w:name="_Toc112756678"/>
      <w:r>
        <w:rPr>
          <w:rFonts w:hint="eastAsia" w:ascii="宋体" w:hAnsi="宋体" w:eastAsia="宋体"/>
          <w:sz w:val="24"/>
          <w:szCs w:val="24"/>
          <w:highlight w:val="none"/>
        </w:rPr>
        <w:t>1.1本招标技术文件适用于深圳供电局有限公司采购的</w:t>
      </w:r>
      <w:r>
        <w:rPr>
          <w:rFonts w:hint="eastAsia" w:ascii="宋体" w:hAnsi="宋体" w:eastAsia="宋体"/>
          <w:b/>
          <w:bCs/>
          <w:sz w:val="24"/>
          <w:szCs w:val="24"/>
          <w:highlight w:val="none"/>
          <w:u w:val="single"/>
          <w:lang w:eastAsia="zh-CN"/>
        </w:rPr>
        <w:t>2025-2026年党建教育基地设备安装</w:t>
      </w:r>
      <w:r>
        <w:rPr>
          <w:rFonts w:hint="eastAsia" w:ascii="宋体" w:hAnsi="宋体" w:eastAsia="宋体"/>
          <w:sz w:val="24"/>
          <w:szCs w:val="24"/>
          <w:highlight w:val="none"/>
        </w:rPr>
        <w:t>。它提出了相关设备本体及附属设备的功能设计、结构、性能、安装和试验等方面的技术要求。</w:t>
      </w:r>
    </w:p>
    <w:p>
      <w:pPr>
        <w:pStyle w:val="64"/>
        <w:adjustRightInd w:val="0"/>
        <w:snapToGrid w:val="0"/>
        <w:spacing w:line="360" w:lineRule="auto"/>
        <w:ind w:firstLine="480"/>
        <w:rPr>
          <w:rFonts w:hint="eastAsia" w:ascii="宋体" w:hAnsi="宋体" w:eastAsia="宋体"/>
          <w:sz w:val="24"/>
          <w:szCs w:val="24"/>
          <w:highlight w:val="none"/>
        </w:rPr>
      </w:pPr>
      <w:r>
        <w:rPr>
          <w:rFonts w:hint="eastAsia" w:ascii="宋体" w:hAnsi="宋体" w:eastAsia="宋体"/>
          <w:sz w:val="24"/>
          <w:szCs w:val="24"/>
          <w:highlight w:val="none"/>
        </w:rPr>
        <w:t>1.2本设备招标技术文件提出的是最低限度的技术要求。凡本招标技术文件中未规定，但在相关设备的行业标准、国家标准或IEC标准中有规定的规范条文，投标方应按相应标准的条文进行设备设计、制造、试验。对国家有关安全、环保等强制性标准，必须满足其要求。</w:t>
      </w:r>
    </w:p>
    <w:p>
      <w:pPr>
        <w:pStyle w:val="64"/>
        <w:adjustRightInd w:val="0"/>
        <w:snapToGrid w:val="0"/>
        <w:spacing w:line="360" w:lineRule="auto"/>
        <w:ind w:firstLine="480"/>
        <w:rPr>
          <w:rFonts w:hint="eastAsia" w:ascii="宋体" w:hAnsi="宋体" w:eastAsia="宋体"/>
          <w:sz w:val="24"/>
          <w:szCs w:val="24"/>
          <w:highlight w:val="none"/>
        </w:rPr>
      </w:pPr>
      <w:r>
        <w:rPr>
          <w:rFonts w:hint="eastAsia" w:ascii="宋体" w:hAnsi="宋体" w:eastAsia="宋体"/>
          <w:sz w:val="24"/>
          <w:szCs w:val="24"/>
          <w:highlight w:val="none"/>
        </w:rPr>
        <w:t>1.3如果投标方没有以书面形式对本招标技术文件的条文提出异议，则意味着投标方提供的设备完全符合本招标技术文件的要求。如有异议，不管是多么微小，都应在报价书中以“对招标技术文件的意见和同招标技术文件的差异”为标题的专门章节中加以详细描述。</w:t>
      </w:r>
    </w:p>
    <w:p>
      <w:pPr>
        <w:pStyle w:val="64"/>
        <w:adjustRightInd w:val="0"/>
        <w:snapToGrid w:val="0"/>
        <w:spacing w:line="360" w:lineRule="auto"/>
        <w:ind w:firstLine="480"/>
        <w:rPr>
          <w:rFonts w:hint="eastAsia" w:ascii="宋体" w:hAnsi="宋体" w:eastAsia="宋体"/>
          <w:sz w:val="24"/>
          <w:szCs w:val="24"/>
          <w:highlight w:val="none"/>
        </w:rPr>
      </w:pPr>
      <w:r>
        <w:rPr>
          <w:rFonts w:hint="eastAsia" w:ascii="宋体" w:hAnsi="宋体" w:eastAsia="宋体"/>
          <w:sz w:val="24"/>
          <w:szCs w:val="24"/>
          <w:highlight w:val="none"/>
        </w:rPr>
        <w:t>1.4本招标技术文件所使用的标准如遇与投标方所执行的标准不一致时，按较高标准执行。</w:t>
      </w:r>
    </w:p>
    <w:p>
      <w:pPr>
        <w:pStyle w:val="64"/>
        <w:adjustRightInd w:val="0"/>
        <w:snapToGrid w:val="0"/>
        <w:spacing w:line="360" w:lineRule="auto"/>
        <w:ind w:firstLine="480"/>
        <w:rPr>
          <w:rFonts w:hint="eastAsia" w:ascii="宋体" w:hAnsi="宋体" w:eastAsia="宋体"/>
          <w:sz w:val="24"/>
          <w:szCs w:val="24"/>
          <w:highlight w:val="none"/>
        </w:rPr>
      </w:pPr>
      <w:r>
        <w:rPr>
          <w:rFonts w:hint="eastAsia" w:ascii="宋体" w:hAnsi="宋体" w:eastAsia="宋体"/>
          <w:sz w:val="24"/>
          <w:szCs w:val="24"/>
          <w:highlight w:val="none"/>
        </w:rPr>
        <w:t>1.5本招标技术文件经招标、投标双方确认后作为订货合同的技术附件，与合同正文具有同等的法律效力。若本标书涉及有关商务方面内容，如与招标文件的商务部分矛盾时，以商务部分为准。</w:t>
      </w:r>
    </w:p>
    <w:p>
      <w:pPr>
        <w:pStyle w:val="64"/>
        <w:adjustRightInd w:val="0"/>
        <w:snapToGrid w:val="0"/>
        <w:spacing w:line="360" w:lineRule="auto"/>
        <w:ind w:firstLine="480"/>
        <w:rPr>
          <w:rFonts w:hint="eastAsia" w:ascii="宋体" w:hAnsi="宋体" w:eastAsia="宋体"/>
          <w:sz w:val="24"/>
          <w:szCs w:val="24"/>
          <w:highlight w:val="none"/>
        </w:rPr>
      </w:pPr>
      <w:r>
        <w:rPr>
          <w:rFonts w:hint="eastAsia" w:ascii="宋体" w:hAnsi="宋体" w:eastAsia="宋体"/>
          <w:sz w:val="24"/>
          <w:szCs w:val="24"/>
          <w:highlight w:val="none"/>
        </w:rPr>
        <w:t>1.6本招标技术文件未尽事宜，由招标、投标双方协商确定。</w:t>
      </w:r>
    </w:p>
    <w:p>
      <w:pPr>
        <w:pStyle w:val="64"/>
        <w:adjustRightInd w:val="0"/>
        <w:snapToGrid w:val="0"/>
        <w:spacing w:line="360" w:lineRule="auto"/>
        <w:ind w:firstLine="480"/>
        <w:rPr>
          <w:rFonts w:hint="eastAsia" w:ascii="宋体" w:hAnsi="宋体" w:eastAsia="宋体"/>
          <w:sz w:val="24"/>
          <w:szCs w:val="24"/>
          <w:highlight w:val="none"/>
        </w:rPr>
      </w:pPr>
      <w:r>
        <w:rPr>
          <w:rFonts w:hint="eastAsia" w:ascii="宋体" w:hAnsi="宋体" w:eastAsia="宋体"/>
          <w:sz w:val="24"/>
          <w:szCs w:val="24"/>
          <w:highlight w:val="none"/>
        </w:rPr>
        <w:t>1.7投标方在应标招标技术文件中应如实反映应标产品与本招标技术文件的技术差异。如果投标方没有提出技术差异，而在执行合同的过程中，招标方发现投标方提供的产品与其应标招标技术文件的条文存在差异，招标方有权利要求退货，并将对下一年度的评标工作有不同程度的影响。</w:t>
      </w:r>
    </w:p>
    <w:p>
      <w:pPr>
        <w:pStyle w:val="64"/>
        <w:adjustRightInd w:val="0"/>
        <w:snapToGrid w:val="0"/>
        <w:spacing w:line="360" w:lineRule="auto"/>
        <w:ind w:firstLine="480"/>
        <w:rPr>
          <w:rFonts w:hint="eastAsia" w:ascii="宋体" w:hAnsi="宋体" w:eastAsia="宋体"/>
          <w:sz w:val="24"/>
          <w:szCs w:val="24"/>
          <w:highlight w:val="none"/>
        </w:rPr>
      </w:pPr>
      <w:r>
        <w:rPr>
          <w:rFonts w:hint="eastAsia" w:ascii="宋体" w:hAnsi="宋体" w:eastAsia="宋体"/>
          <w:sz w:val="24"/>
          <w:szCs w:val="24"/>
          <w:highlight w:val="none"/>
        </w:rPr>
        <w:t>1.8投标方应在应标技术部分按本招标技术文件的要求如实详细的填写应标设备的标准配置表，并在应标商务部分按此标准配置进行报价，如发现二者有矛盾之处，将对评标工作有不同程度的影响。</w:t>
      </w:r>
    </w:p>
    <w:p>
      <w:pPr>
        <w:pStyle w:val="64"/>
        <w:adjustRightInd w:val="0"/>
        <w:snapToGrid w:val="0"/>
        <w:spacing w:line="360" w:lineRule="auto"/>
        <w:ind w:firstLine="480"/>
        <w:rPr>
          <w:rFonts w:hint="eastAsia" w:ascii="宋体" w:hAnsi="宋体" w:eastAsia="宋体"/>
          <w:sz w:val="24"/>
          <w:szCs w:val="24"/>
          <w:highlight w:val="none"/>
        </w:rPr>
      </w:pPr>
      <w:r>
        <w:rPr>
          <w:rFonts w:hint="eastAsia" w:ascii="宋体" w:hAnsi="宋体" w:eastAsia="宋体"/>
          <w:sz w:val="24"/>
          <w:szCs w:val="24"/>
          <w:highlight w:val="none"/>
        </w:rPr>
        <w:t>1.9投标方应充分理解本招标技术文件并按本招标技术文件的具体条款、格式要求填写应标的技术文件，如发现应标的技术文件条款、格式不符合本招标技术文件的要求，则认为应标不严肃，在评标时将有不同程度的扣分。</w:t>
      </w:r>
    </w:p>
    <w:p>
      <w:pPr>
        <w:pStyle w:val="64"/>
        <w:adjustRightInd w:val="0"/>
        <w:snapToGrid w:val="0"/>
        <w:spacing w:line="360" w:lineRule="auto"/>
        <w:ind w:firstLine="480"/>
        <w:rPr>
          <w:rFonts w:hint="eastAsia" w:ascii="宋体" w:hAnsi="宋体" w:eastAsia="宋体"/>
          <w:sz w:val="24"/>
          <w:szCs w:val="24"/>
          <w:highlight w:val="none"/>
        </w:rPr>
      </w:pPr>
      <w:r>
        <w:rPr>
          <w:rFonts w:hint="eastAsia" w:ascii="宋体" w:hAnsi="宋体" w:eastAsia="宋体"/>
          <w:sz w:val="24"/>
          <w:szCs w:val="24"/>
          <w:highlight w:val="none"/>
        </w:rPr>
        <w:t>1.10标注“★”的条款为必须满足条款，不满足要求视为无效投标。</w:t>
      </w:r>
    </w:p>
    <w:p>
      <w:pPr>
        <w:pStyle w:val="64"/>
        <w:adjustRightInd w:val="0"/>
        <w:snapToGrid w:val="0"/>
        <w:spacing w:line="360" w:lineRule="auto"/>
        <w:ind w:firstLine="480"/>
        <w:rPr>
          <w:rFonts w:hint="eastAsia" w:ascii="宋体" w:hAnsi="宋体" w:eastAsia="宋体"/>
          <w:sz w:val="24"/>
          <w:szCs w:val="24"/>
          <w:highlight w:val="none"/>
        </w:rPr>
      </w:pPr>
      <w:r>
        <w:rPr>
          <w:rFonts w:hint="eastAsia" w:ascii="宋体" w:hAnsi="宋体" w:eastAsia="宋体"/>
          <w:sz w:val="24"/>
          <w:szCs w:val="24"/>
          <w:highlight w:val="none"/>
        </w:rPr>
        <w:t>1.11标注“▲”的条款为关键条款和技术参数，不满足做扣分处理。</w:t>
      </w:r>
    </w:p>
    <w:p>
      <w:pPr>
        <w:pStyle w:val="2"/>
        <w:numPr>
          <w:ilvl w:val="0"/>
          <w:numId w:val="0"/>
        </w:numPr>
        <w:snapToGrid/>
        <w:spacing w:before="0" w:beforeLines="0" w:line="560" w:lineRule="exact"/>
        <w:rPr>
          <w:rFonts w:hint="eastAsia" w:hAnsi="宋体" w:cs="宋体"/>
          <w:sz w:val="24"/>
          <w:szCs w:val="24"/>
          <w:highlight w:val="none"/>
        </w:rPr>
      </w:pPr>
      <w:bookmarkStart w:id="8" w:name="_Toc28756"/>
      <w:r>
        <w:rPr>
          <w:rFonts w:hint="eastAsia" w:hAnsi="宋体" w:cs="宋体"/>
          <w:sz w:val="24"/>
          <w:szCs w:val="24"/>
          <w:highlight w:val="none"/>
        </w:rPr>
        <w:t>二、工作范围</w:t>
      </w:r>
      <w:bookmarkEnd w:id="8"/>
    </w:p>
    <w:p>
      <w:pPr>
        <w:pStyle w:val="3"/>
        <w:numPr>
          <w:ilvl w:val="0"/>
          <w:numId w:val="0"/>
        </w:numPr>
        <w:ind w:firstLine="480" w:firstLineChars="200"/>
        <w:rPr>
          <w:rFonts w:hint="eastAsia" w:hAnsi="宋体" w:cs="宋体"/>
          <w:sz w:val="24"/>
          <w:szCs w:val="24"/>
          <w:highlight w:val="none"/>
        </w:rPr>
      </w:pPr>
      <w:bookmarkStart w:id="9" w:name="_Toc290652071"/>
      <w:bookmarkStart w:id="10" w:name="_Toc10908"/>
      <w:r>
        <w:rPr>
          <w:rFonts w:hint="eastAsia" w:hAnsi="宋体" w:cs="宋体"/>
          <w:sz w:val="24"/>
          <w:szCs w:val="24"/>
          <w:highlight w:val="none"/>
        </w:rPr>
        <w:t>（一）项目概况</w:t>
      </w:r>
      <w:bookmarkEnd w:id="9"/>
      <w:bookmarkEnd w:id="10"/>
    </w:p>
    <w:p>
      <w:pPr>
        <w:pStyle w:val="64"/>
        <w:adjustRightInd w:val="0"/>
        <w:snapToGrid w:val="0"/>
        <w:spacing w:line="360" w:lineRule="auto"/>
        <w:ind w:firstLine="480"/>
        <w:rPr>
          <w:rFonts w:hint="eastAsia" w:ascii="宋体" w:hAnsi="宋体" w:eastAsia="宋体"/>
          <w:sz w:val="24"/>
          <w:szCs w:val="24"/>
          <w:highlight w:val="none"/>
        </w:rPr>
      </w:pPr>
      <w:r>
        <w:rPr>
          <w:rFonts w:hint="eastAsia" w:ascii="宋体" w:hAnsi="宋体" w:eastAsia="宋体"/>
          <w:sz w:val="24"/>
          <w:szCs w:val="24"/>
          <w:highlight w:val="none"/>
        </w:rPr>
        <w:t>本标书采购的设备适用的工程概况见表2.1：工程概况一览表。</w:t>
      </w:r>
    </w:p>
    <w:p>
      <w:pPr>
        <w:pStyle w:val="60"/>
        <w:adjustRightInd w:val="0"/>
        <w:snapToGrid w:val="0"/>
        <w:spacing w:line="360" w:lineRule="auto"/>
        <w:ind w:firstLine="480"/>
        <w:jc w:val="center"/>
        <w:rPr>
          <w:rFonts w:hint="eastAsia" w:hAnsi="宋体" w:cs="宋体"/>
          <w:sz w:val="24"/>
          <w:szCs w:val="24"/>
          <w:highlight w:val="none"/>
        </w:rPr>
      </w:pPr>
      <w:r>
        <w:rPr>
          <w:rFonts w:hint="eastAsia" w:hAnsi="宋体" w:cs="宋体"/>
          <w:sz w:val="24"/>
          <w:szCs w:val="24"/>
          <w:highlight w:val="none"/>
        </w:rPr>
        <w:t>表2.1工程概况一览表（项目单位填写）</w:t>
      </w:r>
    </w:p>
    <w:tbl>
      <w:tblPr>
        <w:tblStyle w:val="3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30"/>
        <w:gridCol w:w="2445"/>
        <w:gridCol w:w="4993"/>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9" w:hRule="atLeast"/>
          <w:jc w:val="center"/>
        </w:trPr>
        <w:tc>
          <w:tcPr>
            <w:tcW w:w="930" w:type="dxa"/>
            <w:vAlign w:val="center"/>
          </w:tcPr>
          <w:p>
            <w:pPr>
              <w:spacing w:line="560" w:lineRule="exact"/>
              <w:jc w:val="center"/>
              <w:rPr>
                <w:rFonts w:hint="eastAsia" w:ascii="宋体" w:hAnsi="宋体" w:cs="宋体"/>
                <w:sz w:val="24"/>
                <w:highlight w:val="none"/>
              </w:rPr>
            </w:pPr>
            <w:r>
              <w:rPr>
                <w:rFonts w:hint="eastAsia" w:ascii="宋体" w:hAnsi="宋体" w:cs="宋体"/>
                <w:sz w:val="24"/>
                <w:highlight w:val="none"/>
              </w:rPr>
              <w:t>序号</w:t>
            </w:r>
          </w:p>
        </w:tc>
        <w:tc>
          <w:tcPr>
            <w:tcW w:w="2445" w:type="dxa"/>
            <w:vAlign w:val="center"/>
          </w:tcPr>
          <w:p>
            <w:pPr>
              <w:spacing w:line="560" w:lineRule="exact"/>
              <w:jc w:val="center"/>
              <w:rPr>
                <w:rFonts w:hint="eastAsia" w:ascii="宋体" w:hAnsi="宋体" w:cs="宋体"/>
                <w:sz w:val="24"/>
                <w:highlight w:val="none"/>
              </w:rPr>
            </w:pPr>
            <w:r>
              <w:rPr>
                <w:rFonts w:hint="eastAsia" w:ascii="宋体" w:hAnsi="宋体" w:cs="宋体"/>
                <w:sz w:val="24"/>
                <w:highlight w:val="none"/>
              </w:rPr>
              <w:t>名称</w:t>
            </w:r>
          </w:p>
        </w:tc>
        <w:tc>
          <w:tcPr>
            <w:tcW w:w="4993" w:type="dxa"/>
            <w:vAlign w:val="center"/>
          </w:tcPr>
          <w:p>
            <w:pPr>
              <w:spacing w:line="560" w:lineRule="exact"/>
              <w:jc w:val="center"/>
              <w:rPr>
                <w:rFonts w:hint="eastAsia" w:ascii="宋体" w:hAnsi="宋体" w:cs="宋体"/>
                <w:sz w:val="24"/>
                <w:highlight w:val="none"/>
              </w:rPr>
            </w:pPr>
            <w:r>
              <w:rPr>
                <w:rFonts w:hint="eastAsia" w:ascii="宋体" w:hAnsi="宋体" w:cs="宋体"/>
                <w:sz w:val="24"/>
                <w:highlight w:val="none"/>
              </w:rPr>
              <w:t>内容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6" w:hRule="atLeast"/>
          <w:jc w:val="center"/>
        </w:trPr>
        <w:tc>
          <w:tcPr>
            <w:tcW w:w="930" w:type="dxa"/>
            <w:vAlign w:val="center"/>
          </w:tcPr>
          <w:p>
            <w:pPr>
              <w:spacing w:line="560" w:lineRule="exact"/>
              <w:jc w:val="center"/>
              <w:rPr>
                <w:rFonts w:hint="eastAsia" w:ascii="宋体" w:hAnsi="宋体" w:cs="宋体"/>
                <w:sz w:val="24"/>
                <w:highlight w:val="none"/>
              </w:rPr>
            </w:pPr>
            <w:r>
              <w:rPr>
                <w:rFonts w:hint="eastAsia" w:ascii="宋体" w:hAnsi="宋体" w:cs="宋体"/>
                <w:sz w:val="24"/>
                <w:highlight w:val="none"/>
              </w:rPr>
              <w:t>1</w:t>
            </w:r>
          </w:p>
        </w:tc>
        <w:tc>
          <w:tcPr>
            <w:tcW w:w="2445" w:type="dxa"/>
            <w:vAlign w:val="center"/>
          </w:tcPr>
          <w:p>
            <w:pPr>
              <w:spacing w:line="560" w:lineRule="exact"/>
              <w:jc w:val="center"/>
              <w:rPr>
                <w:rFonts w:hint="eastAsia" w:ascii="宋体" w:hAnsi="宋体" w:cs="宋体"/>
                <w:sz w:val="24"/>
                <w:highlight w:val="none"/>
              </w:rPr>
            </w:pPr>
            <w:r>
              <w:rPr>
                <w:rFonts w:hint="eastAsia" w:ascii="宋体" w:hAnsi="宋体" w:cs="宋体"/>
                <w:sz w:val="24"/>
                <w:highlight w:val="none"/>
              </w:rPr>
              <w:t>采购设备或项目名称</w:t>
            </w:r>
          </w:p>
        </w:tc>
        <w:tc>
          <w:tcPr>
            <w:tcW w:w="4993" w:type="dxa"/>
            <w:vAlign w:val="center"/>
          </w:tcPr>
          <w:p>
            <w:pPr>
              <w:spacing w:line="560" w:lineRule="exact"/>
              <w:jc w:val="center"/>
              <w:rPr>
                <w:rFonts w:hint="eastAsia" w:ascii="宋体" w:hAnsi="宋体" w:cs="宋体"/>
                <w:sz w:val="24"/>
                <w:highlight w:val="none"/>
              </w:rPr>
            </w:pPr>
            <w:r>
              <w:rPr>
                <w:rFonts w:hint="eastAsia" w:ascii="宋体" w:hAnsi="宋体" w:cs="宋体"/>
                <w:sz w:val="24"/>
                <w:highlight w:val="none"/>
                <w:lang w:eastAsia="zh-CN"/>
              </w:rPr>
              <w:t>2025-2026年党建教育基地设备安装</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0" w:hRule="atLeast"/>
          <w:jc w:val="center"/>
        </w:trPr>
        <w:tc>
          <w:tcPr>
            <w:tcW w:w="930" w:type="dxa"/>
            <w:vAlign w:val="center"/>
          </w:tcPr>
          <w:p>
            <w:pPr>
              <w:spacing w:line="560" w:lineRule="exact"/>
              <w:jc w:val="center"/>
              <w:rPr>
                <w:rFonts w:hint="eastAsia" w:ascii="宋体" w:hAnsi="宋体" w:cs="宋体"/>
                <w:sz w:val="24"/>
                <w:highlight w:val="none"/>
              </w:rPr>
            </w:pPr>
            <w:r>
              <w:rPr>
                <w:rFonts w:hint="eastAsia" w:ascii="宋体" w:hAnsi="宋体" w:cs="宋体"/>
                <w:sz w:val="24"/>
                <w:highlight w:val="none"/>
              </w:rPr>
              <w:t>2</w:t>
            </w:r>
          </w:p>
        </w:tc>
        <w:tc>
          <w:tcPr>
            <w:tcW w:w="2445" w:type="dxa"/>
            <w:vAlign w:val="center"/>
          </w:tcPr>
          <w:p>
            <w:pPr>
              <w:spacing w:line="560" w:lineRule="exact"/>
              <w:jc w:val="center"/>
              <w:rPr>
                <w:rFonts w:hint="eastAsia" w:ascii="宋体" w:hAnsi="宋体" w:cs="宋体"/>
                <w:sz w:val="24"/>
                <w:highlight w:val="none"/>
              </w:rPr>
            </w:pPr>
            <w:r>
              <w:rPr>
                <w:rFonts w:hint="eastAsia" w:ascii="宋体" w:hAnsi="宋体" w:cs="宋体"/>
                <w:sz w:val="24"/>
                <w:highlight w:val="none"/>
              </w:rPr>
              <w:t>项目单位</w:t>
            </w:r>
          </w:p>
        </w:tc>
        <w:tc>
          <w:tcPr>
            <w:tcW w:w="4993" w:type="dxa"/>
            <w:vAlign w:val="center"/>
          </w:tcPr>
          <w:p>
            <w:pPr>
              <w:spacing w:line="560" w:lineRule="exact"/>
              <w:jc w:val="center"/>
              <w:rPr>
                <w:rFonts w:hint="eastAsia" w:ascii="宋体" w:hAnsi="宋体" w:cs="宋体"/>
                <w:sz w:val="24"/>
                <w:highlight w:val="none"/>
              </w:rPr>
            </w:pPr>
            <w:r>
              <w:rPr>
                <w:rFonts w:hint="eastAsia" w:ascii="宋体" w:hAnsi="宋体" w:cs="宋体"/>
                <w:sz w:val="24"/>
                <w:highlight w:val="none"/>
              </w:rPr>
              <w:t>人才发展中心</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7" w:hRule="atLeast"/>
          <w:jc w:val="center"/>
        </w:trPr>
        <w:tc>
          <w:tcPr>
            <w:tcW w:w="930" w:type="dxa"/>
            <w:vAlign w:val="center"/>
          </w:tcPr>
          <w:p>
            <w:pPr>
              <w:spacing w:line="560" w:lineRule="exact"/>
              <w:jc w:val="center"/>
              <w:rPr>
                <w:rFonts w:hint="eastAsia" w:ascii="宋体" w:hAnsi="宋体" w:cs="宋体"/>
                <w:sz w:val="24"/>
                <w:highlight w:val="none"/>
              </w:rPr>
            </w:pPr>
            <w:r>
              <w:rPr>
                <w:rFonts w:hint="eastAsia" w:ascii="宋体" w:hAnsi="宋体" w:cs="宋体"/>
                <w:sz w:val="24"/>
                <w:highlight w:val="none"/>
              </w:rPr>
              <w:t>3</w:t>
            </w:r>
          </w:p>
        </w:tc>
        <w:tc>
          <w:tcPr>
            <w:tcW w:w="2445" w:type="dxa"/>
            <w:vAlign w:val="center"/>
          </w:tcPr>
          <w:p>
            <w:pPr>
              <w:spacing w:line="560" w:lineRule="exact"/>
              <w:jc w:val="center"/>
              <w:rPr>
                <w:rFonts w:hint="eastAsia" w:ascii="宋体" w:hAnsi="宋体" w:cs="宋体"/>
                <w:sz w:val="24"/>
                <w:highlight w:val="none"/>
              </w:rPr>
            </w:pPr>
            <w:r>
              <w:rPr>
                <w:rFonts w:hint="eastAsia" w:ascii="宋体" w:hAnsi="宋体" w:cs="宋体"/>
                <w:sz w:val="24"/>
                <w:highlight w:val="none"/>
              </w:rPr>
              <w:t>项目单位地址</w:t>
            </w:r>
          </w:p>
        </w:tc>
        <w:tc>
          <w:tcPr>
            <w:tcW w:w="4993" w:type="dxa"/>
            <w:vAlign w:val="center"/>
          </w:tcPr>
          <w:p>
            <w:pPr>
              <w:spacing w:line="560" w:lineRule="exact"/>
              <w:jc w:val="center"/>
              <w:rPr>
                <w:rFonts w:hint="eastAsia" w:ascii="宋体" w:hAnsi="宋体" w:cs="宋体"/>
                <w:sz w:val="24"/>
                <w:highlight w:val="none"/>
              </w:rPr>
            </w:pPr>
            <w:r>
              <w:rPr>
                <w:rFonts w:hint="eastAsia" w:ascii="宋体" w:hAnsi="宋体" w:cs="宋体"/>
                <w:sz w:val="24"/>
                <w:highlight w:val="none"/>
              </w:rPr>
              <w:t>深圳市</w:t>
            </w:r>
          </w:p>
        </w:tc>
      </w:tr>
    </w:tbl>
    <w:p>
      <w:pPr>
        <w:pStyle w:val="3"/>
        <w:numPr>
          <w:ilvl w:val="0"/>
          <w:numId w:val="0"/>
        </w:numPr>
        <w:ind w:firstLine="480" w:firstLineChars="200"/>
        <w:rPr>
          <w:rFonts w:hint="eastAsia" w:hAnsi="宋体" w:cs="宋体"/>
          <w:sz w:val="24"/>
          <w:szCs w:val="24"/>
          <w:highlight w:val="none"/>
        </w:rPr>
      </w:pPr>
      <w:bookmarkStart w:id="11" w:name="_Toc290652072"/>
      <w:bookmarkStart w:id="12" w:name="_Toc3110"/>
      <w:r>
        <w:rPr>
          <w:rFonts w:hint="eastAsia" w:hAnsi="宋体" w:cs="宋体"/>
          <w:sz w:val="24"/>
          <w:szCs w:val="24"/>
          <w:highlight w:val="none"/>
        </w:rPr>
        <w:t>（二）范围和界限</w:t>
      </w:r>
      <w:bookmarkEnd w:id="11"/>
      <w:bookmarkEnd w:id="12"/>
    </w:p>
    <w:p>
      <w:pPr>
        <w:pStyle w:val="64"/>
        <w:adjustRightInd w:val="0"/>
        <w:snapToGrid w:val="0"/>
        <w:spacing w:line="360" w:lineRule="auto"/>
        <w:ind w:firstLine="480"/>
        <w:rPr>
          <w:rFonts w:hint="eastAsia" w:ascii="宋体" w:hAnsi="宋体" w:eastAsia="宋体"/>
          <w:sz w:val="24"/>
          <w:szCs w:val="24"/>
          <w:highlight w:val="none"/>
        </w:rPr>
      </w:pPr>
      <w:r>
        <w:rPr>
          <w:rFonts w:hint="eastAsia" w:ascii="宋体" w:hAnsi="宋体" w:eastAsia="宋体"/>
          <w:sz w:val="24"/>
          <w:szCs w:val="24"/>
          <w:highlight w:val="none"/>
        </w:rPr>
        <w:t>1）本标书适用于所供设备的设计、制造、装配、工厂试验、交付和试验的指导、监督以及试运行工作。</w:t>
      </w:r>
    </w:p>
    <w:p>
      <w:pPr>
        <w:pStyle w:val="64"/>
        <w:adjustRightInd w:val="0"/>
        <w:snapToGrid w:val="0"/>
        <w:spacing w:line="360" w:lineRule="auto"/>
        <w:ind w:firstLine="480"/>
        <w:rPr>
          <w:rFonts w:hint="eastAsia" w:ascii="宋体" w:hAnsi="宋体" w:eastAsia="宋体"/>
          <w:sz w:val="24"/>
          <w:szCs w:val="24"/>
          <w:highlight w:val="none"/>
        </w:rPr>
      </w:pPr>
      <w:r>
        <w:rPr>
          <w:rFonts w:hint="eastAsia" w:ascii="宋体" w:hAnsi="宋体" w:eastAsia="宋体"/>
          <w:sz w:val="24"/>
          <w:szCs w:val="24"/>
          <w:highlight w:val="none"/>
        </w:rPr>
        <w:t>2）本标书未说明，但又与设计、制造、装配、试验、运输、包装、保管和运行维护有关的技术要求，按条款3所规定的有关标准执行。</w:t>
      </w:r>
    </w:p>
    <w:p>
      <w:pPr>
        <w:pStyle w:val="3"/>
        <w:numPr>
          <w:ilvl w:val="0"/>
          <w:numId w:val="0"/>
        </w:numPr>
        <w:ind w:firstLine="480" w:firstLineChars="200"/>
        <w:rPr>
          <w:rFonts w:hint="eastAsia" w:hAnsi="宋体" w:cs="宋体"/>
          <w:sz w:val="24"/>
          <w:szCs w:val="24"/>
          <w:highlight w:val="none"/>
        </w:rPr>
      </w:pPr>
      <w:bookmarkStart w:id="13" w:name="_Toc290652073"/>
      <w:bookmarkStart w:id="14" w:name="_Toc8597"/>
      <w:r>
        <w:rPr>
          <w:rFonts w:hint="eastAsia" w:hAnsi="宋体" w:cs="宋体"/>
          <w:sz w:val="24"/>
          <w:szCs w:val="24"/>
          <w:highlight w:val="none"/>
        </w:rPr>
        <w:t>（三）服务范围</w:t>
      </w:r>
      <w:bookmarkEnd w:id="13"/>
      <w:bookmarkEnd w:id="14"/>
    </w:p>
    <w:p>
      <w:pPr>
        <w:pStyle w:val="64"/>
        <w:adjustRightInd w:val="0"/>
        <w:snapToGrid w:val="0"/>
        <w:spacing w:line="360" w:lineRule="auto"/>
        <w:ind w:firstLine="482"/>
        <w:rPr>
          <w:rFonts w:hint="eastAsia" w:ascii="宋体" w:hAnsi="宋体" w:eastAsia="宋体"/>
          <w:b/>
          <w:bCs/>
          <w:sz w:val="24"/>
          <w:szCs w:val="24"/>
          <w:highlight w:val="none"/>
        </w:rPr>
      </w:pPr>
      <w:r>
        <w:rPr>
          <w:rFonts w:hint="eastAsia" w:ascii="宋体" w:hAnsi="宋体" w:eastAsia="宋体"/>
          <w:b/>
          <w:bCs/>
          <w:sz w:val="24"/>
          <w:szCs w:val="24"/>
          <w:highlight w:val="none"/>
        </w:rPr>
        <w:t>1）供货范围一览表</w:t>
      </w:r>
    </w:p>
    <w:p>
      <w:pPr>
        <w:pStyle w:val="64"/>
        <w:adjustRightInd w:val="0"/>
        <w:snapToGrid w:val="0"/>
        <w:spacing w:line="360" w:lineRule="auto"/>
        <w:ind w:firstLine="480"/>
        <w:rPr>
          <w:rFonts w:hint="eastAsia" w:ascii="宋体" w:hAnsi="宋体" w:eastAsia="宋体"/>
          <w:sz w:val="24"/>
          <w:szCs w:val="24"/>
          <w:highlight w:val="none"/>
        </w:rPr>
      </w:pPr>
      <w:r>
        <w:rPr>
          <w:rFonts w:hint="eastAsia" w:ascii="宋体" w:hAnsi="宋体" w:eastAsia="宋体"/>
          <w:sz w:val="24"/>
          <w:szCs w:val="24"/>
          <w:highlight w:val="none"/>
        </w:rPr>
        <w:t>投标方提供的设备及其附件的具体规格、数量见表2.2：供货范围及设备技术规格一览表。投标方应如实填写“投标方保证”栏。</w:t>
      </w:r>
    </w:p>
    <w:p>
      <w:pPr>
        <w:pStyle w:val="64"/>
        <w:adjustRightInd w:val="0"/>
        <w:snapToGrid w:val="0"/>
        <w:spacing w:line="360" w:lineRule="auto"/>
        <w:ind w:firstLine="480"/>
        <w:rPr>
          <w:rFonts w:hint="eastAsia" w:ascii="宋体" w:hAnsi="宋体" w:eastAsia="宋体"/>
          <w:sz w:val="24"/>
          <w:szCs w:val="24"/>
          <w:highlight w:val="none"/>
        </w:rPr>
      </w:pPr>
      <w:r>
        <w:rPr>
          <w:rFonts w:hint="eastAsia" w:ascii="宋体" w:hAnsi="宋体" w:eastAsia="宋体"/>
          <w:sz w:val="24"/>
          <w:szCs w:val="24"/>
          <w:highlight w:val="none"/>
        </w:rPr>
        <w:t>表2.2设备供货范围响应表（项目单位填写）</w:t>
      </w:r>
    </w:p>
    <w:tbl>
      <w:tblPr>
        <w:tblStyle w:val="32"/>
        <w:tblW w:w="8991" w:type="dxa"/>
        <w:tblInd w:w="118" w:type="dxa"/>
        <w:tblLayout w:type="fixed"/>
        <w:tblCellMar>
          <w:top w:w="0" w:type="dxa"/>
          <w:left w:w="108" w:type="dxa"/>
          <w:bottom w:w="0" w:type="dxa"/>
          <w:right w:w="108" w:type="dxa"/>
        </w:tblCellMar>
      </w:tblPr>
      <w:tblGrid>
        <w:gridCol w:w="621"/>
        <w:gridCol w:w="2490"/>
        <w:gridCol w:w="750"/>
        <w:gridCol w:w="1005"/>
        <w:gridCol w:w="3054"/>
        <w:gridCol w:w="1071"/>
      </w:tblGrid>
      <w:tr>
        <w:tblPrEx>
          <w:tblCellMar>
            <w:top w:w="0" w:type="dxa"/>
            <w:left w:w="108" w:type="dxa"/>
            <w:bottom w:w="0" w:type="dxa"/>
            <w:right w:w="108" w:type="dxa"/>
          </w:tblCellMar>
        </w:tblPrEx>
        <w:trPr>
          <w:trHeight w:val="285" w:hRule="atLeast"/>
        </w:trPr>
        <w:tc>
          <w:tcPr>
            <w:tcW w:w="621" w:type="dxa"/>
            <w:vMerge w:val="restart"/>
            <w:tcBorders>
              <w:top w:val="single" w:color="000000" w:sz="8" w:space="0"/>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bookmarkStart w:id="15" w:name="RANGE!A1"/>
            <w:r>
              <w:rPr>
                <w:rFonts w:hint="eastAsia" w:ascii="宋体" w:hAnsi="宋体" w:cs="宋体"/>
                <w:color w:val="000000"/>
                <w:kern w:val="0"/>
                <w:sz w:val="18"/>
                <w:szCs w:val="18"/>
                <w:highlight w:val="none"/>
              </w:rPr>
              <w:t>序号</w:t>
            </w:r>
            <w:bookmarkEnd w:id="15"/>
          </w:p>
        </w:tc>
        <w:tc>
          <w:tcPr>
            <w:tcW w:w="2490" w:type="dxa"/>
            <w:vMerge w:val="restart"/>
            <w:tcBorders>
              <w:top w:val="single" w:color="000000" w:sz="8" w:space="0"/>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项目名称</w:t>
            </w:r>
          </w:p>
        </w:tc>
        <w:tc>
          <w:tcPr>
            <w:tcW w:w="750" w:type="dxa"/>
            <w:vMerge w:val="restart"/>
            <w:tcBorders>
              <w:top w:val="single" w:color="000000" w:sz="8" w:space="0"/>
              <w:left w:val="single" w:color="000000" w:sz="8" w:space="0"/>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数量</w:t>
            </w:r>
          </w:p>
        </w:tc>
        <w:tc>
          <w:tcPr>
            <w:tcW w:w="1005" w:type="dxa"/>
            <w:vMerge w:val="restart"/>
            <w:tcBorders>
              <w:top w:val="single" w:color="000000" w:sz="8" w:space="0"/>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单位</w:t>
            </w:r>
          </w:p>
        </w:tc>
        <w:tc>
          <w:tcPr>
            <w:tcW w:w="4125" w:type="dxa"/>
            <w:gridSpan w:val="2"/>
            <w:tcBorders>
              <w:top w:val="single" w:color="000000" w:sz="8" w:space="0"/>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投标方保证</w:t>
            </w:r>
          </w:p>
        </w:tc>
      </w:tr>
      <w:tr>
        <w:tblPrEx>
          <w:tblCellMar>
            <w:top w:w="0" w:type="dxa"/>
            <w:left w:w="108" w:type="dxa"/>
            <w:bottom w:w="0" w:type="dxa"/>
            <w:right w:w="108" w:type="dxa"/>
          </w:tblCellMar>
        </w:tblPrEx>
        <w:trPr>
          <w:trHeight w:val="285" w:hRule="atLeast"/>
        </w:trPr>
        <w:tc>
          <w:tcPr>
            <w:tcW w:w="621" w:type="dxa"/>
            <w:vMerge w:val="continue"/>
            <w:tcBorders>
              <w:top w:val="single" w:color="000000" w:sz="8" w:space="0"/>
              <w:left w:val="single" w:color="000000" w:sz="8" w:space="0"/>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p>
        </w:tc>
        <w:tc>
          <w:tcPr>
            <w:tcW w:w="2490" w:type="dxa"/>
            <w:vMerge w:val="continue"/>
            <w:tcBorders>
              <w:top w:val="single" w:color="000000" w:sz="8" w:space="0"/>
              <w:left w:val="single" w:color="000000" w:sz="8" w:space="0"/>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p>
        </w:tc>
        <w:tc>
          <w:tcPr>
            <w:tcW w:w="750" w:type="dxa"/>
            <w:vMerge w:val="continue"/>
            <w:tcBorders>
              <w:top w:val="single" w:color="000000" w:sz="8" w:space="0"/>
              <w:left w:val="single" w:color="000000" w:sz="8" w:space="0"/>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p>
        </w:tc>
        <w:tc>
          <w:tcPr>
            <w:tcW w:w="1005" w:type="dxa"/>
            <w:vMerge w:val="continue"/>
            <w:tcBorders>
              <w:top w:val="single" w:color="000000" w:sz="8" w:space="0"/>
              <w:left w:val="single" w:color="000000" w:sz="8" w:space="0"/>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p>
        </w:tc>
        <w:tc>
          <w:tcPr>
            <w:tcW w:w="3054"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型式、规格</w:t>
            </w:r>
          </w:p>
        </w:tc>
        <w:tc>
          <w:tcPr>
            <w:tcW w:w="1071"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数量</w:t>
            </w:r>
          </w:p>
        </w:tc>
      </w:tr>
      <w:tr>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w:t>
            </w:r>
          </w:p>
        </w:tc>
        <w:tc>
          <w:tcPr>
            <w:tcW w:w="8370" w:type="dxa"/>
            <w:gridSpan w:val="5"/>
            <w:tcBorders>
              <w:top w:val="nil"/>
              <w:left w:val="nil"/>
              <w:bottom w:val="single" w:color="000000" w:sz="8" w:space="0"/>
              <w:right w:val="single" w:color="000000" w:sz="8" w:space="0"/>
            </w:tcBorders>
            <w:vAlign w:val="center"/>
          </w:tcPr>
          <w:p>
            <w:pPr>
              <w:widowControl/>
              <w:jc w:val="left"/>
              <w:rPr>
                <w:rFonts w:ascii="Calibri" w:hAnsi="Calibri" w:cs="Calibri"/>
                <w:color w:val="000000"/>
                <w:kern w:val="0"/>
                <w:sz w:val="18"/>
                <w:szCs w:val="18"/>
                <w:highlight w:val="none"/>
              </w:rPr>
            </w:pPr>
            <w:r>
              <w:rPr>
                <w:rFonts w:hint="eastAsia" w:ascii="宋体" w:hAnsi="宋体" w:cs="宋体"/>
                <w:color w:val="000000"/>
                <w:kern w:val="0"/>
                <w:sz w:val="18"/>
                <w:szCs w:val="18"/>
                <w:highlight w:val="none"/>
              </w:rPr>
              <w:t>一、边界管控系统</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2</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网络边缘防护代理</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台</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3</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内部区域访问控制器</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台</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4</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区域互联枢纽机</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台</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5</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互联网访问策略管理器</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台</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6</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数据平面控制器</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台</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7</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高密度供电接入节点</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11</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台</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8</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聚合边缘交换单元</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3</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台</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9</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射频管理系统</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台</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10</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嵌入式射频接入点</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7</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个</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11</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高覆盖射频分布单元</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19</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个</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12</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短距光传输适配器</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28</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对</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13</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高速多模光接口单元</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10</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对</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14</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小型设备箱</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2</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个</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15</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中型设备箱</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个</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16</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大型设备箱</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3</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个</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17</w:t>
            </w:r>
          </w:p>
        </w:tc>
        <w:tc>
          <w:tcPr>
            <w:tcW w:w="8370" w:type="dxa"/>
            <w:gridSpan w:val="5"/>
            <w:tcBorders>
              <w:top w:val="nil"/>
              <w:left w:val="nil"/>
              <w:bottom w:val="single" w:color="000000" w:sz="8" w:space="0"/>
              <w:right w:val="single" w:color="000000" w:sz="8" w:space="0"/>
            </w:tcBorders>
            <w:vAlign w:val="center"/>
          </w:tcPr>
          <w:p>
            <w:pPr>
              <w:widowControl/>
              <w:jc w:val="left"/>
              <w:rPr>
                <w:rFonts w:ascii="Calibri" w:hAnsi="Calibri" w:cs="Calibri"/>
                <w:color w:val="000000"/>
                <w:kern w:val="0"/>
                <w:sz w:val="18"/>
                <w:szCs w:val="18"/>
                <w:highlight w:val="none"/>
              </w:rPr>
            </w:pPr>
            <w:r>
              <w:rPr>
                <w:rFonts w:hint="eastAsia" w:ascii="宋体" w:hAnsi="宋体" w:cs="宋体"/>
                <w:color w:val="000000"/>
                <w:kern w:val="0"/>
                <w:sz w:val="18"/>
                <w:szCs w:val="18"/>
                <w:highlight w:val="none"/>
              </w:rPr>
              <w:t>二、出入管控系统</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18</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智能身份识别终端</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14</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台</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19</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开关供能单元</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14</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个</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20</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数字身份凭证</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28</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张</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21</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凭证写入终端</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个</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22</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单点电磁闭锁</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10</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个</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23</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单点锁具定位基座</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10</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个</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24</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双点锁具定位基座</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4</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个</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25</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双点电磁闭锁</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4</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个</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26</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物理授权触发装置</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14</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个</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27</w:t>
            </w:r>
          </w:p>
        </w:tc>
        <w:tc>
          <w:tcPr>
            <w:tcW w:w="8370" w:type="dxa"/>
            <w:gridSpan w:val="5"/>
            <w:tcBorders>
              <w:top w:val="nil"/>
              <w:left w:val="nil"/>
              <w:bottom w:val="single" w:color="000000" w:sz="8" w:space="0"/>
              <w:right w:val="single" w:color="000000" w:sz="8" w:space="0"/>
            </w:tcBorders>
            <w:vAlign w:val="center"/>
          </w:tcPr>
          <w:p>
            <w:pPr>
              <w:widowControl/>
              <w:jc w:val="left"/>
              <w:rPr>
                <w:rFonts w:ascii="Calibri" w:hAnsi="Calibri" w:cs="Calibri"/>
                <w:color w:val="000000"/>
                <w:kern w:val="0"/>
                <w:sz w:val="18"/>
                <w:szCs w:val="18"/>
                <w:highlight w:val="none"/>
              </w:rPr>
            </w:pPr>
            <w:r>
              <w:rPr>
                <w:rFonts w:hint="eastAsia" w:ascii="宋体" w:hAnsi="宋体" w:cs="宋体"/>
                <w:color w:val="000000"/>
                <w:kern w:val="0"/>
                <w:sz w:val="18"/>
                <w:szCs w:val="18"/>
                <w:highlight w:val="none"/>
              </w:rPr>
              <w:t>三、扩展显示系统</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28</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高分辨率视觉终端</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13</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台</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450"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29</w:t>
            </w:r>
          </w:p>
        </w:tc>
        <w:tc>
          <w:tcPr>
            <w:tcW w:w="8370" w:type="dxa"/>
            <w:gridSpan w:val="5"/>
            <w:tcBorders>
              <w:top w:val="nil"/>
              <w:left w:val="nil"/>
              <w:bottom w:val="single" w:color="000000" w:sz="8" w:space="0"/>
              <w:right w:val="single" w:color="000000" w:sz="8" w:space="0"/>
            </w:tcBorders>
            <w:vAlign w:val="center"/>
          </w:tcPr>
          <w:p>
            <w:pPr>
              <w:widowControl/>
              <w:jc w:val="left"/>
              <w:rPr>
                <w:rFonts w:ascii="Calibri" w:hAnsi="Calibri" w:cs="Calibri"/>
                <w:color w:val="000000"/>
                <w:kern w:val="0"/>
                <w:sz w:val="18"/>
                <w:szCs w:val="18"/>
                <w:highlight w:val="none"/>
              </w:rPr>
            </w:pPr>
            <w:r>
              <w:rPr>
                <w:rFonts w:hint="eastAsia" w:ascii="宋体" w:hAnsi="宋体" w:cs="宋体"/>
                <w:color w:val="000000"/>
                <w:kern w:val="0"/>
                <w:sz w:val="18"/>
                <w:szCs w:val="18"/>
                <w:highlight w:val="none"/>
              </w:rPr>
              <w:t>四、青年讲堂显示系统（2间）　</w:t>
            </w: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30</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高密度室内显像设备</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14.64</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平方</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31</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视频处理器</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2</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台</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32</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接收卡</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56</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张</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33</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显像设备配套电源管理器</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2</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台</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34</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屏体线缆</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2</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套</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35</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屏体钢结构</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15.84</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平方</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450"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36</w:t>
            </w:r>
          </w:p>
        </w:tc>
        <w:tc>
          <w:tcPr>
            <w:tcW w:w="8370" w:type="dxa"/>
            <w:gridSpan w:val="5"/>
            <w:tcBorders>
              <w:top w:val="nil"/>
              <w:left w:val="nil"/>
              <w:bottom w:val="single" w:color="000000" w:sz="8" w:space="0"/>
              <w:right w:val="single" w:color="000000" w:sz="8" w:space="0"/>
            </w:tcBorders>
            <w:vAlign w:val="center"/>
          </w:tcPr>
          <w:p>
            <w:pPr>
              <w:widowControl/>
              <w:jc w:val="left"/>
              <w:rPr>
                <w:rFonts w:ascii="Calibri" w:hAnsi="Calibri" w:cs="Calibri"/>
                <w:color w:val="000000"/>
                <w:kern w:val="0"/>
                <w:sz w:val="18"/>
                <w:szCs w:val="18"/>
                <w:highlight w:val="none"/>
              </w:rPr>
            </w:pPr>
            <w:r>
              <w:rPr>
                <w:rFonts w:hint="eastAsia" w:ascii="宋体" w:hAnsi="宋体" w:cs="宋体"/>
                <w:color w:val="000000"/>
                <w:kern w:val="0"/>
                <w:sz w:val="18"/>
                <w:szCs w:val="18"/>
                <w:highlight w:val="none"/>
              </w:rPr>
              <w:t>五、青年讲堂扩声系统（2间）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37</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专业功放</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3</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台</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38</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专业音箱</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12</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只</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39</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支架</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12</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只</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40</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调音台</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2</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台</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41</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音频处理器</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2</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台</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42</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无线话筒</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2</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套</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43</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话筒呼叫控制嵌入软件</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2</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套</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44</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话筒天线</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2</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套</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45</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电源管理器</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2</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台</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46</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音频连接线</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8</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根</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47</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音频连接线</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4</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根</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48</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音频连接线</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8</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根</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49</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音频连接线</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12</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根</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50</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音频连接线</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4</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根</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450"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51</w:t>
            </w:r>
          </w:p>
        </w:tc>
        <w:tc>
          <w:tcPr>
            <w:tcW w:w="8370" w:type="dxa"/>
            <w:gridSpan w:val="5"/>
            <w:tcBorders>
              <w:top w:val="nil"/>
              <w:left w:val="nil"/>
              <w:bottom w:val="single" w:color="000000" w:sz="8" w:space="0"/>
              <w:right w:val="single" w:color="000000" w:sz="8" w:space="0"/>
            </w:tcBorders>
            <w:vAlign w:val="center"/>
          </w:tcPr>
          <w:p>
            <w:pPr>
              <w:widowControl/>
              <w:jc w:val="left"/>
              <w:rPr>
                <w:rFonts w:ascii="Calibri" w:hAnsi="Calibri" w:cs="Calibri"/>
                <w:color w:val="000000"/>
                <w:kern w:val="0"/>
                <w:sz w:val="18"/>
                <w:szCs w:val="18"/>
                <w:highlight w:val="none"/>
              </w:rPr>
            </w:pPr>
            <w:r>
              <w:rPr>
                <w:rFonts w:hint="eastAsia" w:ascii="宋体" w:hAnsi="宋体" w:cs="宋体"/>
                <w:color w:val="000000"/>
                <w:kern w:val="0"/>
                <w:sz w:val="18"/>
                <w:szCs w:val="18"/>
                <w:highlight w:val="none"/>
              </w:rPr>
              <w:t>六、党建展示区显示系统（3楼党建培训室）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52</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高密度室内显像设备</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15.21</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平方</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53</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视频处理器</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台</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54</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接收卡</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56</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张</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55</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显像设备配套电源管理器</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台</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56</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屏体线缆</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项</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57</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屏体钢结构</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16.26</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平方</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58</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电子黑板</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套</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59</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交互智能终端</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6</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台</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60</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32寸数字画作展示界面</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14</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台</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450"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61</w:t>
            </w:r>
          </w:p>
        </w:tc>
        <w:tc>
          <w:tcPr>
            <w:tcW w:w="8370" w:type="dxa"/>
            <w:gridSpan w:val="5"/>
            <w:tcBorders>
              <w:top w:val="nil"/>
              <w:left w:val="nil"/>
              <w:bottom w:val="single" w:color="000000" w:sz="8" w:space="0"/>
              <w:right w:val="single" w:color="000000" w:sz="8" w:space="0"/>
            </w:tcBorders>
            <w:vAlign w:val="center"/>
          </w:tcPr>
          <w:p>
            <w:pPr>
              <w:widowControl/>
              <w:jc w:val="left"/>
              <w:rPr>
                <w:rFonts w:ascii="Calibri" w:hAnsi="Calibri" w:cs="Calibri"/>
                <w:color w:val="000000"/>
                <w:kern w:val="0"/>
                <w:sz w:val="18"/>
                <w:szCs w:val="18"/>
                <w:highlight w:val="none"/>
              </w:rPr>
            </w:pPr>
            <w:r>
              <w:rPr>
                <w:rFonts w:hint="eastAsia" w:ascii="宋体" w:hAnsi="宋体" w:cs="宋体"/>
                <w:color w:val="000000"/>
                <w:kern w:val="0"/>
                <w:sz w:val="18"/>
                <w:szCs w:val="18"/>
                <w:highlight w:val="none"/>
              </w:rPr>
              <w:t>七、党建展示区扩声系统（3楼党建培训室）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62</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专业功放</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3</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台</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63</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专业音箱</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6</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只</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64</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支架</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6</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只</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65</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音频处理器</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台</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66</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无线话筒</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3</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套</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67</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话筒呼叫控制嵌入软件</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3</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套</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68</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话筒天线</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3</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套</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69</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电源管理器</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台</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70</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音频连接线</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6</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根</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71</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音频连接线</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8</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根</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72</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音频连接线</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2</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根</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450"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73</w:t>
            </w:r>
          </w:p>
        </w:tc>
        <w:tc>
          <w:tcPr>
            <w:tcW w:w="8370" w:type="dxa"/>
            <w:gridSpan w:val="5"/>
            <w:tcBorders>
              <w:top w:val="nil"/>
              <w:left w:val="nil"/>
              <w:bottom w:val="single" w:color="000000" w:sz="8" w:space="0"/>
              <w:right w:val="single" w:color="000000" w:sz="8" w:space="0"/>
            </w:tcBorders>
            <w:vAlign w:val="center"/>
          </w:tcPr>
          <w:p>
            <w:pPr>
              <w:widowControl/>
              <w:jc w:val="left"/>
              <w:rPr>
                <w:rFonts w:ascii="Calibri" w:hAnsi="Calibri" w:cs="Calibri"/>
                <w:color w:val="000000"/>
                <w:kern w:val="0"/>
                <w:sz w:val="18"/>
                <w:szCs w:val="18"/>
                <w:highlight w:val="none"/>
              </w:rPr>
            </w:pPr>
            <w:r>
              <w:rPr>
                <w:rFonts w:hint="eastAsia" w:ascii="宋体" w:hAnsi="宋体" w:cs="宋体"/>
                <w:color w:val="000000"/>
                <w:kern w:val="0"/>
                <w:sz w:val="18"/>
                <w:szCs w:val="18"/>
                <w:highlight w:val="none"/>
              </w:rPr>
              <w:t>八、党建基地中央空调安装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74</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1匹一拖一风管机</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台</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75</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2匹分体新风挂机</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台</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76</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2匹一拖一风管机</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台</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77</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3匹一拖一新风风管机</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7</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台</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78</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新风多联外机</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台</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79</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多联机内机（带新风）</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4</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台</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80</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3匹一拖一新风风管机</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5</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台</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81</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新风多联外机</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2</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台</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82</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多联机内机（带新风）</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6</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台</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83</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多联机内机（带新风）</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2</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台</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84</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3匹一拖一新风风管机</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2</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台</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85</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多联外机</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台</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86</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多联机内机</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2</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台</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87</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新风多联外机</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2</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台</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88</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多联机内机（带新风）</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6</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台</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89</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多联机内机（带新风）</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2</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台</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90</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3匹一拖一新风风管机</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2</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台</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91</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1.5匹分体新风挂机</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5</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台</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92</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线控器</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40</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个</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93</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遥控器</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6</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个</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94</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冷媒管Φ15.9δ=1.0mm</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65</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m</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95</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冷媒管Φ12.7δ=0.8mm</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115</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m</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96</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冷媒管Φ9.5δ=0.8mm</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65</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m</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97</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冷媒管Φ6.4δ=0.8mm</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115</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m</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98</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冷媒保温管M-15δ=17.8mm</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65</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m</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99</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冷媒保温管H-12δ=14.0mm</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115</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m</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100</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冷媒保温管H-10δ=14.0mm</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65</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m</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101</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冷媒保温管H-7δ=14.0mm</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115</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m</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102</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分歧管</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14</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套</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103</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分歧管</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2</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套</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104</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信号线3芯</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400</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m</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105</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线管DN20</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400</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m</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106</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出回风百叶</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46</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套</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107</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3匹铜管含保温电源线</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120</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m</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108</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2匹铜管含保温电源线</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17</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m</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109</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1-1.5匹铜管含保温电源线</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35</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m</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110</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PVC-U给水管DN25</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280</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m</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111</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排水保温管DN25</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280</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m</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112</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镀锌钢板</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65</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m2</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113</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多联机支架</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6</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副</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114</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3匹铁支架</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16</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套</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115</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2匹铁支架</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2</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套</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116</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1-1.5匹铁支架</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5</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套</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117</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室内机吊杆</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40</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台</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118</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室外机减震垫</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24</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个</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r>
              <w:rPr>
                <w:rFonts w:ascii="Calibri" w:hAnsi="Calibri" w:cs="Calibri"/>
                <w:color w:val="000000"/>
                <w:kern w:val="0"/>
                <w:sz w:val="18"/>
                <w:szCs w:val="18"/>
                <w:highlight w:val="none"/>
              </w:rPr>
              <w:t>　</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119</w:t>
            </w:r>
          </w:p>
        </w:tc>
        <w:tc>
          <w:tcPr>
            <w:tcW w:w="8370" w:type="dxa"/>
            <w:gridSpan w:val="5"/>
            <w:tcBorders>
              <w:top w:val="nil"/>
              <w:left w:val="nil"/>
              <w:bottom w:val="single" w:color="000000" w:sz="8" w:space="0"/>
              <w:right w:val="single" w:color="000000" w:sz="8" w:space="0"/>
            </w:tcBorders>
            <w:vAlign w:val="center"/>
          </w:tcPr>
          <w:p>
            <w:pPr>
              <w:widowControl/>
              <w:rPr>
                <w:rFonts w:ascii="Calibri" w:hAnsi="Calibri" w:cs="Calibri"/>
                <w:color w:val="000000"/>
                <w:kern w:val="0"/>
                <w:sz w:val="18"/>
                <w:szCs w:val="18"/>
                <w:highlight w:val="none"/>
              </w:rPr>
            </w:pPr>
            <w:r>
              <w:rPr>
                <w:rFonts w:hint="eastAsia" w:ascii="宋体" w:hAnsi="宋体" w:cs="宋体"/>
                <w:color w:val="000000"/>
                <w:kern w:val="0"/>
                <w:sz w:val="18"/>
                <w:szCs w:val="18"/>
                <w:highlight w:val="none"/>
              </w:rPr>
              <w:t>九、党建基地语音通信系统</w:t>
            </w: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120</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通信控制终端</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台</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p>
        </w:tc>
      </w:tr>
      <w:tr>
        <w:tblPrEx>
          <w:tblCellMar>
            <w:top w:w="0" w:type="dxa"/>
            <w:left w:w="108" w:type="dxa"/>
            <w:bottom w:w="0" w:type="dxa"/>
            <w:right w:w="108" w:type="dxa"/>
          </w:tblCellMar>
        </w:tblPrEx>
        <w:trPr>
          <w:trHeight w:val="285" w:hRule="atLeast"/>
        </w:trPr>
        <w:tc>
          <w:tcPr>
            <w:tcW w:w="621" w:type="dxa"/>
            <w:tcBorders>
              <w:top w:val="nil"/>
              <w:left w:val="single" w:color="000000" w:sz="8" w:space="0"/>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121</w:t>
            </w:r>
          </w:p>
        </w:tc>
        <w:tc>
          <w:tcPr>
            <w:tcW w:w="2490" w:type="dxa"/>
            <w:tcBorders>
              <w:top w:val="nil"/>
              <w:left w:val="nil"/>
              <w:bottom w:val="single" w:color="000000" w:sz="8" w:space="0"/>
              <w:right w:val="single" w:color="000000" w:sz="8" w:space="0"/>
            </w:tcBorders>
            <w:vAlign w:val="center"/>
          </w:tcPr>
          <w:p>
            <w:pPr>
              <w:widowControl/>
              <w:jc w:val="left"/>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语音接入终端</w:t>
            </w:r>
          </w:p>
        </w:tc>
        <w:tc>
          <w:tcPr>
            <w:tcW w:w="750" w:type="dxa"/>
            <w:tcBorders>
              <w:top w:val="nil"/>
              <w:left w:val="nil"/>
              <w:bottom w:val="single" w:color="000000" w:sz="8" w:space="0"/>
              <w:right w:val="single" w:color="000000" w:sz="8" w:space="0"/>
            </w:tcBorders>
            <w:noWrap/>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10</w:t>
            </w:r>
          </w:p>
        </w:tc>
        <w:tc>
          <w:tcPr>
            <w:tcW w:w="1005" w:type="dxa"/>
            <w:tcBorders>
              <w:top w:val="nil"/>
              <w:left w:val="nil"/>
              <w:bottom w:val="single" w:color="000000" w:sz="8" w:space="0"/>
              <w:right w:val="single" w:color="000000" w:sz="8" w:space="0"/>
            </w:tcBorders>
            <w:vAlign w:val="center"/>
          </w:tcPr>
          <w:p>
            <w:pPr>
              <w:widowControl/>
              <w:jc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台</w:t>
            </w:r>
          </w:p>
        </w:tc>
        <w:tc>
          <w:tcPr>
            <w:tcW w:w="3054"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p>
        </w:tc>
        <w:tc>
          <w:tcPr>
            <w:tcW w:w="1071" w:type="dxa"/>
            <w:tcBorders>
              <w:top w:val="nil"/>
              <w:left w:val="nil"/>
              <w:bottom w:val="single" w:color="000000" w:sz="8" w:space="0"/>
              <w:right w:val="single" w:color="000000" w:sz="8" w:space="0"/>
            </w:tcBorders>
            <w:noWrap/>
            <w:vAlign w:val="center"/>
          </w:tcPr>
          <w:p>
            <w:pPr>
              <w:widowControl/>
              <w:rPr>
                <w:rFonts w:ascii="Calibri" w:hAnsi="Calibri" w:cs="Calibri"/>
                <w:color w:val="000000"/>
                <w:kern w:val="0"/>
                <w:sz w:val="18"/>
                <w:szCs w:val="18"/>
                <w:highlight w:val="none"/>
              </w:rPr>
            </w:pPr>
          </w:p>
        </w:tc>
      </w:tr>
    </w:tbl>
    <w:p>
      <w:pPr>
        <w:pStyle w:val="64"/>
        <w:adjustRightInd w:val="0"/>
        <w:snapToGrid w:val="0"/>
        <w:spacing w:line="360" w:lineRule="auto"/>
        <w:ind w:firstLine="480"/>
        <w:rPr>
          <w:rFonts w:hint="eastAsia" w:ascii="宋体" w:hAnsi="宋体" w:eastAsia="宋体"/>
          <w:sz w:val="24"/>
          <w:szCs w:val="24"/>
          <w:highlight w:val="none"/>
        </w:rPr>
      </w:pPr>
      <w:r>
        <w:rPr>
          <w:rFonts w:hint="eastAsia" w:ascii="宋体" w:hAnsi="宋体" w:eastAsia="宋体"/>
          <w:sz w:val="24"/>
          <w:szCs w:val="24"/>
          <w:highlight w:val="none"/>
        </w:rPr>
        <w:t>2）投标方应按本标书的要求提供全新的、合格可用的仪器及配件。投标方应向招标方提供必备的备品备件、专用工具和仪器仪表清单见表2.2，要求提供的备品备件、专用工具和仪器仪表应是新品，并符合相关技术要求。</w:t>
      </w:r>
    </w:p>
    <w:p>
      <w:pPr>
        <w:pStyle w:val="64"/>
        <w:adjustRightInd w:val="0"/>
        <w:snapToGrid w:val="0"/>
        <w:spacing w:line="360" w:lineRule="auto"/>
        <w:ind w:firstLine="480"/>
        <w:rPr>
          <w:rFonts w:hint="eastAsia" w:ascii="宋体" w:hAnsi="宋体" w:eastAsia="宋体"/>
          <w:sz w:val="24"/>
          <w:szCs w:val="24"/>
          <w:highlight w:val="none"/>
        </w:rPr>
      </w:pPr>
      <w:r>
        <w:rPr>
          <w:rFonts w:hint="eastAsia" w:ascii="宋体" w:hAnsi="宋体" w:eastAsia="宋体"/>
          <w:sz w:val="24"/>
          <w:szCs w:val="24"/>
          <w:highlight w:val="none"/>
        </w:rPr>
        <w:t>3）投标方所提供的组件或附件如需向第三方外购时，投标方应对其质量向招标方负责，并提供相应出厂和验收证明。</w:t>
      </w:r>
    </w:p>
    <w:p>
      <w:pPr>
        <w:pStyle w:val="64"/>
        <w:adjustRightInd w:val="0"/>
        <w:snapToGrid w:val="0"/>
        <w:spacing w:line="360" w:lineRule="auto"/>
        <w:ind w:firstLine="480"/>
        <w:rPr>
          <w:rFonts w:hint="eastAsia" w:ascii="宋体" w:hAnsi="宋体" w:eastAsia="宋体"/>
          <w:sz w:val="24"/>
          <w:szCs w:val="24"/>
          <w:highlight w:val="none"/>
        </w:rPr>
      </w:pPr>
      <w:r>
        <w:rPr>
          <w:rFonts w:hint="eastAsia" w:ascii="宋体" w:hAnsi="宋体" w:eastAsia="宋体"/>
          <w:sz w:val="24"/>
          <w:szCs w:val="24"/>
          <w:highlight w:val="none"/>
        </w:rPr>
        <w:t>4）投标方应协助招标方解决设备运行中出现的问题。</w:t>
      </w:r>
    </w:p>
    <w:p>
      <w:pPr>
        <w:pStyle w:val="64"/>
        <w:adjustRightInd w:val="0"/>
        <w:snapToGrid w:val="0"/>
        <w:spacing w:line="360" w:lineRule="auto"/>
        <w:ind w:firstLine="480"/>
        <w:rPr>
          <w:rFonts w:hint="eastAsia" w:ascii="宋体" w:hAnsi="宋体" w:eastAsia="宋体"/>
          <w:sz w:val="24"/>
          <w:szCs w:val="24"/>
          <w:highlight w:val="none"/>
        </w:rPr>
      </w:pPr>
      <w:r>
        <w:rPr>
          <w:rFonts w:hint="eastAsia" w:ascii="宋体" w:hAnsi="宋体" w:eastAsia="宋体"/>
          <w:sz w:val="24"/>
          <w:szCs w:val="24"/>
          <w:highlight w:val="none"/>
        </w:rPr>
        <w:t>5）如果调试、性能试验、试运行及质保期内技术指标一项或多项不能满足合同技术部分要求，买卖双方共同分析原因，分清责任，如属制造方面的原因，或涉及索赔部分，按商务部分有关条款执行。</w:t>
      </w:r>
    </w:p>
    <w:p>
      <w:pPr>
        <w:pStyle w:val="64"/>
        <w:adjustRightInd w:val="0"/>
        <w:snapToGrid w:val="0"/>
        <w:spacing w:line="360" w:lineRule="auto"/>
        <w:ind w:firstLine="480"/>
        <w:rPr>
          <w:rFonts w:hint="eastAsia" w:ascii="宋体" w:hAnsi="宋体" w:eastAsia="宋体"/>
          <w:sz w:val="24"/>
          <w:szCs w:val="24"/>
          <w:highlight w:val="none"/>
        </w:rPr>
      </w:pPr>
      <w:r>
        <w:rPr>
          <w:rFonts w:hint="eastAsia" w:ascii="宋体" w:hAnsi="宋体" w:eastAsia="宋体"/>
          <w:sz w:val="24"/>
          <w:szCs w:val="24"/>
          <w:highlight w:val="none"/>
        </w:rPr>
        <w:t>6）设备正常使用后，投标方和招标方（业主）双方应根据相关法律、法规和公司管理制度签署合同设备的验收证明书。该证明书共两份，双方各执一份。</w:t>
      </w:r>
    </w:p>
    <w:p>
      <w:pPr>
        <w:pStyle w:val="64"/>
        <w:adjustRightInd w:val="0"/>
        <w:snapToGrid w:val="0"/>
        <w:spacing w:line="360" w:lineRule="auto"/>
        <w:ind w:firstLine="480"/>
        <w:rPr>
          <w:rFonts w:hint="eastAsia" w:ascii="宋体" w:hAnsi="宋体" w:eastAsia="宋体"/>
          <w:sz w:val="24"/>
          <w:szCs w:val="24"/>
          <w:highlight w:val="none"/>
        </w:rPr>
      </w:pPr>
      <w:r>
        <w:rPr>
          <w:rFonts w:hint="eastAsia" w:ascii="宋体" w:hAnsi="宋体" w:eastAsia="宋体"/>
          <w:sz w:val="24"/>
          <w:szCs w:val="24"/>
          <w:highlight w:val="none"/>
        </w:rPr>
        <w:t>7）投标方应按招标方要求免费提供必须的人员培训和技术指导，确保招标方正常使用和维护设备。</w:t>
      </w:r>
    </w:p>
    <w:bookmarkEnd w:id="7"/>
    <w:p>
      <w:pPr>
        <w:pStyle w:val="2"/>
        <w:numPr>
          <w:ilvl w:val="0"/>
          <w:numId w:val="0"/>
        </w:numPr>
        <w:snapToGrid/>
        <w:spacing w:before="0" w:beforeLines="0" w:line="560" w:lineRule="exact"/>
        <w:rPr>
          <w:rFonts w:hint="eastAsia" w:hAnsi="宋体" w:cs="宋体"/>
          <w:sz w:val="24"/>
          <w:szCs w:val="24"/>
          <w:highlight w:val="none"/>
        </w:rPr>
      </w:pPr>
      <w:bookmarkStart w:id="16" w:name="_Toc12690"/>
      <w:r>
        <w:rPr>
          <w:rFonts w:hint="eastAsia" w:hAnsi="宋体" w:cs="宋体"/>
          <w:sz w:val="24"/>
          <w:szCs w:val="24"/>
          <w:highlight w:val="none"/>
        </w:rPr>
        <w:t>三、应遵循的主要标准</w:t>
      </w:r>
      <w:bookmarkEnd w:id="16"/>
    </w:p>
    <w:p>
      <w:pPr>
        <w:pStyle w:val="64"/>
        <w:adjustRightInd w:val="0"/>
        <w:snapToGrid w:val="0"/>
        <w:spacing w:line="360" w:lineRule="auto"/>
        <w:ind w:firstLine="480"/>
        <w:rPr>
          <w:rFonts w:hint="eastAsia" w:ascii="宋体" w:hAnsi="宋体" w:eastAsia="宋体"/>
          <w:sz w:val="24"/>
          <w:szCs w:val="24"/>
          <w:highlight w:val="none"/>
        </w:rPr>
      </w:pPr>
      <w:r>
        <w:rPr>
          <w:rFonts w:hint="eastAsia" w:ascii="宋体" w:hAnsi="宋体" w:eastAsia="宋体"/>
          <w:sz w:val="24"/>
          <w:szCs w:val="24"/>
          <w:highlight w:val="none"/>
        </w:rPr>
        <w:t>除本标书特殊规定外，投标方所提供的设备均按规定的标准和规程的最新版本进行设计、制造、试验。如果这些标准内容有矛盾时，应按最高标准的条款执行或按双方商定的标准执行。如果投标方选用本标书规定以外的标准时，则需提交这种替换标准供审查和分析。仅在投标方已证明替换标准相当或优于标书规定的标准，并从招标方处获得书面的认可才能使用。提交供审查的标准应为中文或英文版本。</w:t>
      </w:r>
    </w:p>
    <w:p>
      <w:pPr>
        <w:spacing w:line="360" w:lineRule="auto"/>
        <w:ind w:firstLine="480" w:firstLineChars="200"/>
        <w:rPr>
          <w:rFonts w:hint="eastAsia" w:ascii="宋体" w:hAnsi="宋体" w:cs="宋体"/>
          <w:sz w:val="24"/>
          <w:highlight w:val="none"/>
        </w:rPr>
      </w:pPr>
      <w:bookmarkStart w:id="17" w:name="_Toc279769035"/>
      <w:r>
        <w:rPr>
          <w:rFonts w:hint="eastAsia" w:ascii="宋体" w:hAnsi="宋体" w:cs="宋体"/>
          <w:sz w:val="24"/>
          <w:highlight w:val="none"/>
        </w:rPr>
        <w:t>标准如下：</w:t>
      </w:r>
    </w:p>
    <w:p>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《网络工程设计标准》（GB/T51375-2019）</w:t>
      </w:r>
    </w:p>
    <w:p>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《综合布线系统工程设计规范》(GB50311-2007)</w:t>
      </w:r>
    </w:p>
    <w:p>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《厅堂、体育场馆扩声系统设计规范》（GB/T28049-2011）</w:t>
      </w:r>
    </w:p>
    <w:p>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《LED显示屏通用规范》SJ/T11141</w:t>
      </w:r>
    </w:p>
    <w:p>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《LED显示屏检测方法》ST/T11281</w:t>
      </w:r>
    </w:p>
    <w:p>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《电子测量仪器包装、标志、存储要求》SJ/T104636-93</w:t>
      </w:r>
    </w:p>
    <w:p>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《建筑电气设计技术技术规程》JDJ16-83</w:t>
      </w:r>
    </w:p>
    <w:p>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《民用建筑电气设计规范》JGJ/TT16—92</w:t>
      </w:r>
    </w:p>
    <w:p>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《电气装置安装工程及验收规范》GB50169-92</w:t>
      </w:r>
    </w:p>
    <w:p>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《电网电源供电的家用和类似一般用途的电子及有关设备的安全要求》GB8898-88</w:t>
      </w:r>
    </w:p>
    <w:p>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《电网电源供电的室用和类似一般用途的电子及相关设备的安全要求》GB8898-88</w:t>
      </w:r>
    </w:p>
    <w:p>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《电工电子产品外壳防护标准》4208-1993</w:t>
      </w:r>
    </w:p>
    <w:p>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《工业与民用电力装置的接地设计规范》GBJ65-88</w:t>
      </w:r>
    </w:p>
    <w:p>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《工业企业通信接地设计规范》GBJ79-85</w:t>
      </w:r>
    </w:p>
    <w:p>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《电力设备接地设计技术规范》SDJ8-98</w:t>
      </w:r>
    </w:p>
    <w:p>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《中国强制性产品认证制度》-3C认证</w:t>
      </w:r>
    </w:p>
    <w:p>
      <w:pPr>
        <w:pStyle w:val="2"/>
        <w:numPr>
          <w:ilvl w:val="0"/>
          <w:numId w:val="0"/>
        </w:numPr>
        <w:snapToGrid/>
        <w:spacing w:before="0" w:beforeLines="0" w:line="560" w:lineRule="exact"/>
        <w:rPr>
          <w:rFonts w:hint="eastAsia" w:hAnsi="宋体" w:cs="宋体"/>
          <w:sz w:val="24"/>
          <w:szCs w:val="24"/>
          <w:highlight w:val="none"/>
        </w:rPr>
      </w:pPr>
      <w:bookmarkStart w:id="18" w:name="_Toc21871"/>
      <w:r>
        <w:rPr>
          <w:rFonts w:hint="eastAsia" w:hAnsi="宋体" w:cs="宋体"/>
          <w:sz w:val="24"/>
          <w:szCs w:val="24"/>
          <w:highlight w:val="none"/>
        </w:rPr>
        <w:t>四、使用</w:t>
      </w:r>
      <w:bookmarkEnd w:id="17"/>
      <w:r>
        <w:rPr>
          <w:rFonts w:hint="eastAsia" w:hAnsi="宋体" w:cs="宋体"/>
          <w:sz w:val="24"/>
          <w:szCs w:val="24"/>
          <w:highlight w:val="none"/>
        </w:rPr>
        <w:t>环境要求</w:t>
      </w:r>
      <w:bookmarkEnd w:id="18"/>
    </w:p>
    <w:p>
      <w:pPr>
        <w:pStyle w:val="64"/>
        <w:adjustRightInd w:val="0"/>
        <w:snapToGrid w:val="0"/>
        <w:spacing w:line="360" w:lineRule="auto"/>
        <w:ind w:firstLine="480"/>
        <w:rPr>
          <w:rFonts w:hint="eastAsia" w:ascii="宋体" w:hAnsi="宋体" w:eastAsia="宋体"/>
          <w:sz w:val="24"/>
          <w:szCs w:val="24"/>
          <w:highlight w:val="none"/>
        </w:rPr>
      </w:pPr>
      <w:bookmarkStart w:id="19" w:name="_Toc279769036"/>
      <w:r>
        <w:rPr>
          <w:rFonts w:hint="eastAsia" w:ascii="宋体" w:hAnsi="宋体" w:eastAsia="宋体"/>
          <w:sz w:val="24"/>
          <w:szCs w:val="24"/>
          <w:highlight w:val="none"/>
        </w:rPr>
        <w:t>本设备招标书技术文件需要采购的设备，其外部使用条件见表4.1。投标方应对所提供的设备性能参数在外部条件下进行校验、核对，使所供设备满足实际外部条件要求及全工况运行要求。</w:t>
      </w:r>
    </w:p>
    <w:p>
      <w:pPr>
        <w:pStyle w:val="64"/>
        <w:adjustRightInd w:val="0"/>
        <w:snapToGrid w:val="0"/>
        <w:spacing w:line="360" w:lineRule="auto"/>
        <w:ind w:firstLine="480"/>
        <w:rPr>
          <w:rFonts w:hint="eastAsia" w:ascii="宋体" w:hAnsi="宋体" w:eastAsia="宋体"/>
          <w:sz w:val="24"/>
          <w:szCs w:val="24"/>
          <w:highlight w:val="none"/>
        </w:rPr>
      </w:pPr>
      <w:r>
        <w:rPr>
          <w:rFonts w:hint="eastAsia" w:ascii="宋体" w:hAnsi="宋体" w:eastAsia="宋体"/>
          <w:sz w:val="24"/>
          <w:szCs w:val="24"/>
          <w:highlight w:val="none"/>
        </w:rPr>
        <w:t>4.1设备使用环境要求相应表（项目单位填写）</w:t>
      </w:r>
    </w:p>
    <w:tbl>
      <w:tblPr>
        <w:tblStyle w:val="32"/>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92"/>
        <w:gridCol w:w="2265"/>
        <w:gridCol w:w="2910"/>
        <w:gridCol w:w="1830"/>
        <w:gridCol w:w="887"/>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pPr>
              <w:spacing w:line="560" w:lineRule="exact"/>
              <w:jc w:val="center"/>
              <w:rPr>
                <w:rFonts w:hint="eastAsia" w:ascii="宋体" w:hAnsi="宋体" w:cs="宋体"/>
                <w:sz w:val="24"/>
                <w:highlight w:val="none"/>
              </w:rPr>
            </w:pPr>
            <w:r>
              <w:rPr>
                <w:rFonts w:hint="eastAsia" w:ascii="宋体" w:hAnsi="宋体" w:cs="宋体"/>
                <w:sz w:val="24"/>
                <w:highlight w:val="none"/>
              </w:rPr>
              <w:t>序号</w:t>
            </w:r>
          </w:p>
        </w:tc>
        <w:tc>
          <w:tcPr>
            <w:tcW w:w="2265" w:type="dxa"/>
            <w:vAlign w:val="center"/>
          </w:tcPr>
          <w:p>
            <w:pPr>
              <w:spacing w:line="560" w:lineRule="exact"/>
              <w:jc w:val="center"/>
              <w:rPr>
                <w:rFonts w:hint="eastAsia" w:ascii="宋体" w:hAnsi="宋体" w:cs="宋体"/>
                <w:sz w:val="24"/>
                <w:highlight w:val="none"/>
              </w:rPr>
            </w:pPr>
            <w:r>
              <w:rPr>
                <w:rFonts w:hint="eastAsia" w:ascii="宋体" w:hAnsi="宋体" w:cs="宋体"/>
                <w:sz w:val="24"/>
                <w:highlight w:val="none"/>
              </w:rPr>
              <w:t>名称</w:t>
            </w:r>
          </w:p>
        </w:tc>
        <w:tc>
          <w:tcPr>
            <w:tcW w:w="2910" w:type="dxa"/>
            <w:vAlign w:val="center"/>
          </w:tcPr>
          <w:p>
            <w:pPr>
              <w:spacing w:line="560" w:lineRule="exact"/>
              <w:jc w:val="center"/>
              <w:rPr>
                <w:rFonts w:hint="eastAsia" w:ascii="宋体" w:hAnsi="宋体" w:cs="宋体"/>
                <w:sz w:val="24"/>
                <w:highlight w:val="none"/>
              </w:rPr>
            </w:pPr>
            <w:r>
              <w:rPr>
                <w:rFonts w:hint="eastAsia" w:ascii="宋体" w:hAnsi="宋体" w:cs="宋体"/>
                <w:sz w:val="24"/>
                <w:highlight w:val="none"/>
              </w:rPr>
              <w:t>项目要求值</w:t>
            </w:r>
          </w:p>
        </w:tc>
        <w:tc>
          <w:tcPr>
            <w:tcW w:w="1830" w:type="dxa"/>
            <w:vAlign w:val="center"/>
          </w:tcPr>
          <w:p>
            <w:pPr>
              <w:spacing w:line="560" w:lineRule="exact"/>
              <w:jc w:val="center"/>
              <w:rPr>
                <w:rFonts w:hint="eastAsia" w:ascii="宋体" w:hAnsi="宋体" w:cs="宋体"/>
                <w:sz w:val="24"/>
                <w:highlight w:val="none"/>
              </w:rPr>
            </w:pPr>
            <w:r>
              <w:rPr>
                <w:rFonts w:hint="eastAsia" w:ascii="宋体" w:hAnsi="宋体" w:cs="宋体"/>
                <w:sz w:val="24"/>
                <w:highlight w:val="none"/>
              </w:rPr>
              <w:t>投标方保证值</w:t>
            </w:r>
          </w:p>
        </w:tc>
        <w:tc>
          <w:tcPr>
            <w:tcW w:w="887" w:type="dxa"/>
            <w:vAlign w:val="center"/>
          </w:tcPr>
          <w:p>
            <w:pPr>
              <w:spacing w:line="560" w:lineRule="exact"/>
              <w:jc w:val="center"/>
              <w:rPr>
                <w:rFonts w:hint="eastAsia" w:ascii="宋体" w:hAnsi="宋体" w:cs="宋体"/>
                <w:sz w:val="24"/>
                <w:highlight w:val="none"/>
              </w:rPr>
            </w:pPr>
            <w:r>
              <w:rPr>
                <w:rFonts w:hint="eastAsia" w:ascii="宋体" w:hAnsi="宋体" w:cs="宋体"/>
                <w:sz w:val="24"/>
                <w:highlight w:val="none"/>
              </w:rPr>
              <w:t>备注</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pPr>
              <w:spacing w:line="560" w:lineRule="exact"/>
              <w:jc w:val="center"/>
              <w:rPr>
                <w:rFonts w:hint="eastAsia" w:ascii="宋体" w:hAnsi="宋体" w:cs="宋体"/>
                <w:sz w:val="24"/>
                <w:highlight w:val="none"/>
              </w:rPr>
            </w:pPr>
            <w:r>
              <w:rPr>
                <w:rFonts w:hint="eastAsia" w:ascii="宋体" w:hAnsi="宋体" w:cs="宋体"/>
                <w:sz w:val="24"/>
                <w:highlight w:val="none"/>
              </w:rPr>
              <w:t>1</w:t>
            </w:r>
          </w:p>
        </w:tc>
        <w:tc>
          <w:tcPr>
            <w:tcW w:w="2265" w:type="dxa"/>
            <w:vAlign w:val="center"/>
          </w:tcPr>
          <w:p>
            <w:pPr>
              <w:spacing w:line="560" w:lineRule="exact"/>
              <w:jc w:val="center"/>
              <w:rPr>
                <w:rFonts w:hint="eastAsia" w:ascii="宋体" w:hAnsi="宋体" w:cs="宋体"/>
                <w:sz w:val="24"/>
                <w:highlight w:val="none"/>
              </w:rPr>
            </w:pPr>
            <w:r>
              <w:rPr>
                <w:rFonts w:hint="eastAsia" w:ascii="宋体" w:hAnsi="宋体" w:cs="宋体"/>
                <w:sz w:val="24"/>
                <w:highlight w:val="none"/>
              </w:rPr>
              <w:t>操作温度</w:t>
            </w:r>
          </w:p>
        </w:tc>
        <w:tc>
          <w:tcPr>
            <w:tcW w:w="2910" w:type="dxa"/>
            <w:vAlign w:val="center"/>
          </w:tcPr>
          <w:p>
            <w:pPr>
              <w:spacing w:line="560" w:lineRule="exact"/>
              <w:jc w:val="center"/>
              <w:rPr>
                <w:rFonts w:hint="eastAsia" w:ascii="宋体" w:hAnsi="宋体" w:cs="宋体"/>
                <w:sz w:val="24"/>
                <w:highlight w:val="none"/>
              </w:rPr>
            </w:pPr>
            <w:r>
              <w:rPr>
                <w:rFonts w:hint="eastAsia" w:ascii="宋体" w:hAnsi="宋体" w:cs="宋体"/>
                <w:sz w:val="24"/>
                <w:highlight w:val="none"/>
              </w:rPr>
              <w:t>-10℃～+50℃</w:t>
            </w:r>
          </w:p>
        </w:tc>
        <w:tc>
          <w:tcPr>
            <w:tcW w:w="1830" w:type="dxa"/>
            <w:vAlign w:val="center"/>
          </w:tcPr>
          <w:p>
            <w:pPr>
              <w:spacing w:line="560" w:lineRule="exact"/>
              <w:ind w:firstLine="480" w:firstLineChars="200"/>
              <w:jc w:val="center"/>
              <w:rPr>
                <w:rFonts w:hint="eastAsia" w:ascii="宋体" w:hAnsi="宋体" w:cs="宋体"/>
                <w:sz w:val="24"/>
                <w:highlight w:val="none"/>
              </w:rPr>
            </w:pPr>
          </w:p>
        </w:tc>
        <w:tc>
          <w:tcPr>
            <w:tcW w:w="887" w:type="dxa"/>
            <w:vAlign w:val="center"/>
          </w:tcPr>
          <w:p>
            <w:pPr>
              <w:spacing w:line="560" w:lineRule="exact"/>
              <w:ind w:firstLine="480" w:firstLineChars="200"/>
              <w:jc w:val="center"/>
              <w:rPr>
                <w:rFonts w:hint="eastAsia" w:ascii="宋体" w:hAnsi="宋体" w:cs="宋体"/>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pPr>
              <w:spacing w:line="560" w:lineRule="exact"/>
              <w:jc w:val="center"/>
              <w:rPr>
                <w:rFonts w:hint="eastAsia" w:ascii="宋体" w:hAnsi="宋体" w:cs="宋体"/>
                <w:sz w:val="24"/>
                <w:highlight w:val="none"/>
              </w:rPr>
            </w:pPr>
            <w:r>
              <w:rPr>
                <w:rFonts w:hint="eastAsia" w:ascii="宋体" w:hAnsi="宋体" w:cs="宋体"/>
                <w:sz w:val="24"/>
                <w:highlight w:val="none"/>
              </w:rPr>
              <w:t>2</w:t>
            </w:r>
          </w:p>
        </w:tc>
        <w:tc>
          <w:tcPr>
            <w:tcW w:w="2265" w:type="dxa"/>
            <w:vAlign w:val="center"/>
          </w:tcPr>
          <w:p>
            <w:pPr>
              <w:spacing w:line="560" w:lineRule="exact"/>
              <w:ind w:firstLine="480" w:firstLineChars="200"/>
              <w:jc w:val="center"/>
              <w:rPr>
                <w:rFonts w:hint="eastAsia" w:ascii="宋体" w:hAnsi="宋体" w:cs="宋体"/>
                <w:sz w:val="24"/>
                <w:highlight w:val="none"/>
              </w:rPr>
            </w:pPr>
            <w:r>
              <w:rPr>
                <w:rFonts w:hint="eastAsia" w:ascii="宋体" w:hAnsi="宋体" w:cs="宋体"/>
                <w:sz w:val="24"/>
                <w:highlight w:val="none"/>
              </w:rPr>
              <w:t>存储温度</w:t>
            </w:r>
          </w:p>
        </w:tc>
        <w:tc>
          <w:tcPr>
            <w:tcW w:w="2910" w:type="dxa"/>
            <w:vAlign w:val="center"/>
          </w:tcPr>
          <w:p>
            <w:pPr>
              <w:spacing w:line="560" w:lineRule="exact"/>
              <w:jc w:val="center"/>
              <w:rPr>
                <w:rFonts w:hint="eastAsia" w:ascii="宋体" w:hAnsi="宋体" w:cs="宋体"/>
                <w:sz w:val="24"/>
                <w:highlight w:val="none"/>
              </w:rPr>
            </w:pPr>
            <w:r>
              <w:rPr>
                <w:rFonts w:hint="eastAsia" w:ascii="宋体" w:hAnsi="宋体" w:cs="宋体"/>
                <w:sz w:val="24"/>
                <w:highlight w:val="none"/>
              </w:rPr>
              <w:t>-10℃～+50℃</w:t>
            </w:r>
          </w:p>
        </w:tc>
        <w:tc>
          <w:tcPr>
            <w:tcW w:w="1830" w:type="dxa"/>
            <w:vAlign w:val="center"/>
          </w:tcPr>
          <w:p>
            <w:pPr>
              <w:spacing w:line="560" w:lineRule="exact"/>
              <w:ind w:firstLine="480" w:firstLineChars="200"/>
              <w:jc w:val="center"/>
              <w:rPr>
                <w:rFonts w:hint="eastAsia" w:ascii="宋体" w:hAnsi="宋体" w:cs="宋体"/>
                <w:sz w:val="24"/>
                <w:highlight w:val="none"/>
              </w:rPr>
            </w:pPr>
          </w:p>
        </w:tc>
        <w:tc>
          <w:tcPr>
            <w:tcW w:w="887" w:type="dxa"/>
            <w:vAlign w:val="center"/>
          </w:tcPr>
          <w:p>
            <w:pPr>
              <w:spacing w:line="560" w:lineRule="exact"/>
              <w:ind w:firstLine="480" w:firstLineChars="200"/>
              <w:jc w:val="center"/>
              <w:rPr>
                <w:rFonts w:hint="eastAsia" w:ascii="宋体" w:hAnsi="宋体" w:cs="宋体"/>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pPr>
              <w:spacing w:line="560" w:lineRule="exact"/>
              <w:jc w:val="center"/>
              <w:rPr>
                <w:rFonts w:hint="eastAsia" w:ascii="宋体" w:hAnsi="宋体" w:cs="宋体"/>
                <w:sz w:val="24"/>
                <w:highlight w:val="none"/>
              </w:rPr>
            </w:pPr>
            <w:r>
              <w:rPr>
                <w:rFonts w:hint="eastAsia" w:ascii="宋体" w:hAnsi="宋体" w:cs="宋体"/>
                <w:sz w:val="24"/>
                <w:highlight w:val="none"/>
              </w:rPr>
              <w:t>3</w:t>
            </w:r>
          </w:p>
        </w:tc>
        <w:tc>
          <w:tcPr>
            <w:tcW w:w="2265" w:type="dxa"/>
            <w:vAlign w:val="center"/>
          </w:tcPr>
          <w:p>
            <w:pPr>
              <w:spacing w:line="560" w:lineRule="exact"/>
              <w:jc w:val="center"/>
              <w:rPr>
                <w:rFonts w:hint="eastAsia" w:ascii="宋体" w:hAnsi="宋体" w:cs="宋体"/>
                <w:sz w:val="24"/>
                <w:highlight w:val="none"/>
              </w:rPr>
            </w:pPr>
            <w:r>
              <w:rPr>
                <w:rFonts w:hint="eastAsia" w:ascii="宋体" w:hAnsi="宋体" w:cs="宋体"/>
                <w:sz w:val="24"/>
                <w:highlight w:val="none"/>
              </w:rPr>
              <w:t>湿度</w:t>
            </w:r>
          </w:p>
        </w:tc>
        <w:tc>
          <w:tcPr>
            <w:tcW w:w="2910" w:type="dxa"/>
            <w:vAlign w:val="center"/>
          </w:tcPr>
          <w:p>
            <w:pPr>
              <w:spacing w:line="560" w:lineRule="exact"/>
              <w:jc w:val="center"/>
              <w:rPr>
                <w:rFonts w:hint="eastAsia" w:ascii="宋体" w:hAnsi="宋体" w:cs="宋体"/>
                <w:sz w:val="24"/>
                <w:highlight w:val="none"/>
              </w:rPr>
            </w:pPr>
            <w:r>
              <w:rPr>
                <w:rFonts w:hint="eastAsia" w:ascii="宋体" w:hAnsi="宋体" w:cs="宋体"/>
                <w:sz w:val="24"/>
                <w:highlight w:val="none"/>
              </w:rPr>
              <w:t>10%-80%（非冷凝）</w:t>
            </w:r>
          </w:p>
        </w:tc>
        <w:tc>
          <w:tcPr>
            <w:tcW w:w="1830" w:type="dxa"/>
            <w:vAlign w:val="center"/>
          </w:tcPr>
          <w:p>
            <w:pPr>
              <w:spacing w:line="560" w:lineRule="exact"/>
              <w:ind w:firstLine="480" w:firstLineChars="200"/>
              <w:jc w:val="center"/>
              <w:rPr>
                <w:rFonts w:hint="eastAsia" w:ascii="宋体" w:hAnsi="宋体" w:cs="宋体"/>
                <w:sz w:val="24"/>
                <w:highlight w:val="none"/>
              </w:rPr>
            </w:pPr>
          </w:p>
        </w:tc>
        <w:tc>
          <w:tcPr>
            <w:tcW w:w="887" w:type="dxa"/>
            <w:vAlign w:val="center"/>
          </w:tcPr>
          <w:p>
            <w:pPr>
              <w:spacing w:line="560" w:lineRule="exact"/>
              <w:ind w:firstLine="480" w:firstLineChars="200"/>
              <w:jc w:val="center"/>
              <w:rPr>
                <w:rFonts w:hint="eastAsia" w:ascii="宋体" w:hAnsi="宋体" w:cs="宋体"/>
                <w:sz w:val="24"/>
                <w:highlight w:val="none"/>
              </w:rPr>
            </w:pPr>
          </w:p>
        </w:tc>
      </w:tr>
      <w:bookmarkEnd w:id="19"/>
    </w:tbl>
    <w:p>
      <w:pPr>
        <w:pStyle w:val="2"/>
        <w:numPr>
          <w:ilvl w:val="0"/>
          <w:numId w:val="0"/>
        </w:numPr>
        <w:snapToGrid/>
        <w:spacing w:before="0" w:beforeLines="0" w:line="560" w:lineRule="exact"/>
        <w:rPr>
          <w:rFonts w:hint="eastAsia" w:hAnsi="宋体" w:cs="宋体"/>
          <w:sz w:val="24"/>
          <w:szCs w:val="24"/>
          <w:highlight w:val="none"/>
        </w:rPr>
      </w:pPr>
      <w:bookmarkStart w:id="20" w:name="_Toc276490903"/>
      <w:bookmarkStart w:id="21" w:name="_Toc276492375"/>
      <w:bookmarkStart w:id="22" w:name="_Toc24654"/>
      <w:r>
        <w:rPr>
          <w:rFonts w:hint="eastAsia" w:hAnsi="宋体" w:cs="宋体"/>
          <w:sz w:val="24"/>
          <w:szCs w:val="24"/>
          <w:highlight w:val="none"/>
        </w:rPr>
        <w:t>五、技术</w:t>
      </w:r>
      <w:bookmarkEnd w:id="20"/>
      <w:bookmarkEnd w:id="21"/>
      <w:r>
        <w:rPr>
          <w:rFonts w:hint="eastAsia" w:hAnsi="宋体" w:cs="宋体"/>
          <w:sz w:val="24"/>
          <w:szCs w:val="24"/>
          <w:highlight w:val="none"/>
        </w:rPr>
        <w:t>要求</w:t>
      </w:r>
      <w:bookmarkEnd w:id="22"/>
    </w:p>
    <w:p>
      <w:pPr>
        <w:pStyle w:val="3"/>
        <w:numPr>
          <w:ilvl w:val="0"/>
          <w:numId w:val="0"/>
        </w:numPr>
        <w:ind w:firstLine="480" w:firstLineChars="200"/>
        <w:rPr>
          <w:rFonts w:hint="eastAsia" w:hAnsi="宋体" w:cs="宋体"/>
          <w:sz w:val="24"/>
          <w:szCs w:val="24"/>
          <w:highlight w:val="none"/>
        </w:rPr>
      </w:pPr>
      <w:bookmarkStart w:id="23" w:name="_Toc18050"/>
      <w:bookmarkStart w:id="24" w:name="_Toc276492376"/>
      <w:r>
        <w:rPr>
          <w:rFonts w:hint="eastAsia" w:hAnsi="宋体" w:cs="宋体"/>
          <w:sz w:val="24"/>
          <w:szCs w:val="24"/>
          <w:highlight w:val="none"/>
        </w:rPr>
        <w:t>（一）设备技术参数和性能要求响应表</w:t>
      </w:r>
      <w:bookmarkEnd w:id="23"/>
    </w:p>
    <w:p>
      <w:pPr>
        <w:pStyle w:val="64"/>
        <w:adjustRightInd w:val="0"/>
        <w:snapToGrid w:val="0"/>
        <w:spacing w:line="360" w:lineRule="auto"/>
        <w:ind w:firstLine="480"/>
        <w:rPr>
          <w:rFonts w:hint="eastAsia" w:ascii="宋体" w:hAnsi="宋体" w:eastAsia="宋体"/>
          <w:sz w:val="24"/>
          <w:szCs w:val="24"/>
          <w:highlight w:val="none"/>
        </w:rPr>
      </w:pPr>
      <w:r>
        <w:rPr>
          <w:rFonts w:hint="eastAsia" w:ascii="宋体" w:hAnsi="宋体" w:eastAsia="宋体"/>
          <w:sz w:val="24"/>
          <w:szCs w:val="24"/>
          <w:highlight w:val="none"/>
        </w:rPr>
        <w:t>投标方应认真逐项填写所供设备技术参数和性能要求响应表（见表5.1）中“投标方保证值”栏，不能空格，也不能以“响应”两字代替，不允许改动本表内“投标方保证值”栏之外的数值。如有差异，请填写表10.1：技术差异表。注：1.标注“★”的条款为必须满足条款，投标方应出具相应技术资料证明达到条款和技术参数的要求，不满足要求视为无效投标；2.标注“▲”的条款为关键条款和技术参数，投标方应出具相应技术资料证明达到条款和技术参数的要求，不满足做扣分处理；3.对非“★”“▲”的技术参数条款有要求提供对应证明材料的，投标方应根据参数要求提供相应技术资料证明，不满足做扣分处理。</w:t>
      </w:r>
    </w:p>
    <w:p>
      <w:pPr>
        <w:pStyle w:val="64"/>
        <w:adjustRightInd w:val="0"/>
        <w:snapToGrid w:val="0"/>
        <w:spacing w:line="360" w:lineRule="auto"/>
        <w:ind w:firstLine="480"/>
        <w:jc w:val="left"/>
        <w:rPr>
          <w:rFonts w:hint="eastAsia" w:ascii="宋体" w:hAnsi="宋体" w:eastAsia="宋体"/>
          <w:sz w:val="24"/>
          <w:szCs w:val="24"/>
          <w:highlight w:val="none"/>
        </w:rPr>
      </w:pPr>
      <w:r>
        <w:rPr>
          <w:rFonts w:hint="eastAsia" w:ascii="宋体" w:hAnsi="宋体" w:eastAsia="宋体"/>
          <w:sz w:val="24"/>
          <w:szCs w:val="24"/>
          <w:highlight w:val="none"/>
        </w:rPr>
        <w:t>表5.1技术参数和性能要求响应表（项目单位填写）</w:t>
      </w:r>
    </w:p>
    <w:tbl>
      <w:tblPr>
        <w:tblStyle w:val="32"/>
        <w:tblW w:w="9018" w:type="dxa"/>
        <w:tblInd w:w="93" w:type="dxa"/>
        <w:tblLayout w:type="fixed"/>
        <w:tblCellMar>
          <w:top w:w="0" w:type="dxa"/>
          <w:left w:w="108" w:type="dxa"/>
          <w:bottom w:w="0" w:type="dxa"/>
          <w:right w:w="108" w:type="dxa"/>
        </w:tblCellMar>
      </w:tblPr>
      <w:tblGrid>
        <w:gridCol w:w="549"/>
        <w:gridCol w:w="1232"/>
        <w:gridCol w:w="4200"/>
        <w:gridCol w:w="690"/>
        <w:gridCol w:w="540"/>
        <w:gridCol w:w="1155"/>
        <w:gridCol w:w="652"/>
      </w:tblGrid>
      <w:tr>
        <w:tblPrEx>
          <w:tblCellMar>
            <w:top w:w="0" w:type="dxa"/>
            <w:left w:w="108" w:type="dxa"/>
            <w:bottom w:w="0" w:type="dxa"/>
            <w:right w:w="108" w:type="dxa"/>
          </w:tblCellMar>
        </w:tblPrEx>
        <w:tc>
          <w:tcPr>
            <w:tcW w:w="549" w:type="dxa"/>
            <w:vMerge w:val="restart"/>
            <w:tcBorders>
              <w:top w:val="single" w:color="000000" w:sz="8"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序号</w:t>
            </w:r>
          </w:p>
        </w:tc>
        <w:tc>
          <w:tcPr>
            <w:tcW w:w="1232" w:type="dxa"/>
            <w:vMerge w:val="restart"/>
            <w:tcBorders>
              <w:top w:val="single" w:color="000000" w:sz="8"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项目名称</w:t>
            </w:r>
          </w:p>
        </w:tc>
        <w:tc>
          <w:tcPr>
            <w:tcW w:w="4890" w:type="dxa"/>
            <w:gridSpan w:val="2"/>
            <w:tcBorders>
              <w:top w:val="single" w:color="000000" w:sz="8"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项目要求</w:t>
            </w:r>
          </w:p>
        </w:tc>
        <w:tc>
          <w:tcPr>
            <w:tcW w:w="540" w:type="dxa"/>
            <w:vMerge w:val="restart"/>
            <w:tcBorders>
              <w:top w:val="single" w:color="000000" w:sz="8"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单位</w:t>
            </w:r>
          </w:p>
        </w:tc>
        <w:tc>
          <w:tcPr>
            <w:tcW w:w="1807" w:type="dxa"/>
            <w:gridSpan w:val="2"/>
            <w:tcBorders>
              <w:top w:val="single" w:color="000000" w:sz="8"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投标方保证</w:t>
            </w:r>
          </w:p>
        </w:tc>
      </w:tr>
      <w:tr>
        <w:tblPrEx>
          <w:tblCellMar>
            <w:top w:w="0" w:type="dxa"/>
            <w:left w:w="108" w:type="dxa"/>
            <w:bottom w:w="0" w:type="dxa"/>
            <w:right w:w="108" w:type="dxa"/>
          </w:tblCellMar>
        </w:tblPrEx>
        <w:tc>
          <w:tcPr>
            <w:tcW w:w="549" w:type="dxa"/>
            <w:vMerge w:val="continue"/>
            <w:tcBorders>
              <w:top w:val="single" w:color="000000" w:sz="8" w:space="0"/>
              <w:left w:val="single" w:color="000000" w:sz="8" w:space="0"/>
              <w:bottom w:val="single" w:color="000000" w:sz="4" w:space="0"/>
              <w:right w:val="single" w:color="000000" w:sz="4" w:space="0"/>
            </w:tcBorders>
            <w:vAlign w:val="center"/>
          </w:tcPr>
          <w:p>
            <w:pPr>
              <w:jc w:val="center"/>
              <w:rPr>
                <w:rFonts w:hint="eastAsia" w:ascii="宋体" w:hAnsi="宋体" w:cs="宋体"/>
                <w:color w:val="000000"/>
                <w:sz w:val="18"/>
                <w:szCs w:val="18"/>
                <w:highlight w:val="none"/>
              </w:rPr>
            </w:pPr>
          </w:p>
        </w:tc>
        <w:tc>
          <w:tcPr>
            <w:tcW w:w="1232" w:type="dxa"/>
            <w:vMerge w:val="continue"/>
            <w:tcBorders>
              <w:top w:val="single" w:color="000000" w:sz="8" w:space="0"/>
              <w:left w:val="single" w:color="000000" w:sz="4" w:space="0"/>
              <w:bottom w:val="single" w:color="000000" w:sz="4" w:space="0"/>
              <w:right w:val="single" w:color="000000" w:sz="4" w:space="0"/>
            </w:tcBorders>
            <w:vAlign w:val="center"/>
          </w:tcPr>
          <w:p>
            <w:pPr>
              <w:jc w:val="center"/>
              <w:rPr>
                <w:rFonts w:hint="eastAsia" w:ascii="宋体" w:hAnsi="宋体" w:cs="宋体"/>
                <w:color w:val="000000"/>
                <w:sz w:val="18"/>
                <w:szCs w:val="18"/>
                <w:highlight w:val="none"/>
              </w:rPr>
            </w:pPr>
          </w:p>
        </w:tc>
        <w:tc>
          <w:tcPr>
            <w:tcW w:w="420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参数描述</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数量</w:t>
            </w:r>
          </w:p>
        </w:tc>
        <w:tc>
          <w:tcPr>
            <w:tcW w:w="540" w:type="dxa"/>
            <w:vMerge w:val="continue"/>
            <w:tcBorders>
              <w:top w:val="single" w:color="000000" w:sz="8" w:space="0"/>
              <w:left w:val="single" w:color="000000" w:sz="4" w:space="0"/>
              <w:bottom w:val="single" w:color="000000" w:sz="4" w:space="0"/>
              <w:right w:val="single" w:color="000000" w:sz="4" w:space="0"/>
            </w:tcBorders>
            <w:vAlign w:val="center"/>
          </w:tcPr>
          <w:p>
            <w:pPr>
              <w:jc w:val="center"/>
              <w:rPr>
                <w:rFonts w:hint="eastAsia" w:ascii="宋体" w:hAnsi="宋体" w:cs="宋体"/>
                <w:color w:val="000000"/>
                <w:sz w:val="18"/>
                <w:szCs w:val="18"/>
                <w:highlight w:val="none"/>
              </w:rPr>
            </w:pPr>
          </w:p>
        </w:tc>
        <w:tc>
          <w:tcPr>
            <w:tcW w:w="115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型式、规格</w:t>
            </w:r>
          </w:p>
        </w:tc>
        <w:tc>
          <w:tcPr>
            <w:tcW w:w="652" w:type="dxa"/>
            <w:tcBorders>
              <w:top w:val="single" w:color="000000" w:sz="4" w:space="0"/>
              <w:left w:val="single" w:color="000000" w:sz="4" w:space="0"/>
              <w:bottom w:val="single" w:color="000000" w:sz="4" w:space="0"/>
              <w:right w:val="single" w:color="000000" w:sz="8"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数量</w:t>
            </w: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w:t>
            </w:r>
          </w:p>
        </w:tc>
        <w:tc>
          <w:tcPr>
            <w:tcW w:w="5432"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一、边界管控系统</w:t>
            </w:r>
          </w:p>
        </w:tc>
        <w:tc>
          <w:tcPr>
            <w:tcW w:w="690" w:type="dxa"/>
            <w:tcBorders>
              <w:top w:val="single" w:color="000000" w:sz="4" w:space="0"/>
              <w:left w:val="single" w:color="000000" w:sz="4" w:space="0"/>
              <w:bottom w:val="single" w:color="000000" w:sz="4" w:space="0"/>
              <w:right w:val="single" w:color="000000" w:sz="4" w:space="0"/>
            </w:tcBorders>
            <w:noWrap/>
          </w:tcPr>
          <w:p>
            <w:pPr>
              <w:jc w:val="center"/>
              <w:rPr>
                <w:rFonts w:hint="eastAsia" w:ascii="宋体" w:hAnsi="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noWrap/>
            <w:vAlign w:val="center"/>
          </w:tcPr>
          <w:p>
            <w:pPr>
              <w:jc w:val="left"/>
              <w:rPr>
                <w:rFonts w:hint="eastAsia" w:ascii="宋体" w:hAnsi="宋体" w:cs="宋体"/>
                <w:color w:val="000000"/>
                <w:sz w:val="18"/>
                <w:szCs w:val="18"/>
                <w:highlight w:val="none"/>
              </w:rPr>
            </w:pP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2</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网络边缘防护代理</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1、机架式，配置≥8个Combo口，2个SFP+万兆光口，2个WAN口，≥1个Console口，1个USB接口；</w:t>
            </w:r>
            <w:r>
              <w:rPr>
                <w:rFonts w:hint="eastAsia" w:ascii="宋体" w:hAnsi="宋体" w:cs="宋体"/>
                <w:color w:val="000000"/>
                <w:kern w:val="0"/>
                <w:sz w:val="18"/>
                <w:szCs w:val="18"/>
                <w:highlight w:val="none"/>
              </w:rPr>
              <w:br w:type="textWrapping"/>
            </w:r>
            <w:r>
              <w:rPr>
                <w:rFonts w:hint="eastAsia" w:ascii="宋体" w:hAnsi="宋体" w:cs="宋体"/>
                <w:color w:val="000000"/>
                <w:kern w:val="0"/>
                <w:sz w:val="18"/>
                <w:szCs w:val="18"/>
                <w:highlight w:val="none"/>
              </w:rPr>
              <w:t>2、采用国产芯片，提供检测报告及设备使用的芯片照片证明，加盖厂商印章；</w:t>
            </w:r>
            <w:r>
              <w:rPr>
                <w:rFonts w:hint="eastAsia" w:ascii="宋体" w:hAnsi="宋体" w:cs="宋体"/>
                <w:color w:val="000000"/>
                <w:kern w:val="0"/>
                <w:sz w:val="18"/>
                <w:szCs w:val="18"/>
                <w:highlight w:val="none"/>
              </w:rPr>
              <w:br w:type="textWrapping"/>
            </w:r>
            <w:r>
              <w:rPr>
                <w:rFonts w:hint="eastAsia" w:ascii="宋体" w:hAnsi="宋体" w:cs="宋体"/>
                <w:color w:val="000000"/>
                <w:kern w:val="0"/>
                <w:sz w:val="18"/>
                <w:szCs w:val="18"/>
                <w:highlight w:val="none"/>
              </w:rPr>
              <w:t>3、支持前后风道；</w:t>
            </w:r>
            <w:r>
              <w:rPr>
                <w:rFonts w:hint="eastAsia" w:ascii="宋体" w:hAnsi="宋体" w:cs="宋体"/>
                <w:color w:val="000000"/>
                <w:kern w:val="0"/>
                <w:sz w:val="18"/>
                <w:szCs w:val="18"/>
                <w:highlight w:val="none"/>
              </w:rPr>
              <w:br w:type="textWrapping"/>
            </w:r>
            <w:r>
              <w:rPr>
                <w:rFonts w:hint="eastAsia" w:ascii="宋体" w:hAnsi="宋体" w:cs="宋体"/>
                <w:color w:val="000000"/>
                <w:kern w:val="0"/>
                <w:sz w:val="18"/>
                <w:szCs w:val="18"/>
                <w:highlight w:val="none"/>
              </w:rPr>
              <w:t>4、吞吐量≥2Gbps，最大并发连接数≥250万，每秒新建连接数≥6万，IPSec吞吐量≥1.5Gbps，IPSec最大连接数≥4000，SSLVPN最大并发用户数≥100，含SSLVPN≥100用户授权,提供原厂官网产品介绍链接及截图，加盖厂商印章；</w:t>
            </w:r>
            <w:r>
              <w:rPr>
                <w:rFonts w:hint="eastAsia" w:ascii="宋体" w:hAnsi="宋体" w:cs="宋体"/>
                <w:color w:val="000000"/>
                <w:kern w:val="0"/>
                <w:sz w:val="18"/>
                <w:szCs w:val="18"/>
                <w:highlight w:val="none"/>
              </w:rPr>
              <w:br w:type="textWrapping"/>
            </w:r>
            <w:r>
              <w:rPr>
                <w:rFonts w:hint="eastAsia" w:ascii="宋体" w:hAnsi="宋体" w:cs="宋体"/>
                <w:color w:val="000000"/>
                <w:kern w:val="0"/>
                <w:sz w:val="18"/>
                <w:szCs w:val="18"/>
                <w:highlight w:val="none"/>
              </w:rPr>
              <w:t>5、支持IPv6协议栈、IPV6穿越技术、IPV6路由协议；</w:t>
            </w:r>
            <w:r>
              <w:rPr>
                <w:rFonts w:hint="eastAsia" w:ascii="宋体" w:hAnsi="宋体" w:cs="宋体"/>
                <w:color w:val="000000"/>
                <w:kern w:val="0"/>
                <w:sz w:val="18"/>
                <w:szCs w:val="18"/>
                <w:highlight w:val="none"/>
              </w:rPr>
              <w:br w:type="textWrapping"/>
            </w:r>
            <w:r>
              <w:rPr>
                <w:rFonts w:hint="eastAsia" w:ascii="宋体" w:hAnsi="宋体" w:cs="宋体"/>
                <w:color w:val="000000"/>
                <w:kern w:val="0"/>
                <w:sz w:val="18"/>
                <w:szCs w:val="18"/>
                <w:highlight w:val="none"/>
              </w:rPr>
              <w:t>6、支持将基于端口的安全策略转换为基于应用的安全策略，分析设备策略风险，及冗余策略，提供安全策略优化建议；</w:t>
            </w:r>
            <w:r>
              <w:rPr>
                <w:rFonts w:hint="eastAsia" w:ascii="宋体" w:hAnsi="宋体" w:cs="宋体"/>
                <w:color w:val="000000"/>
                <w:kern w:val="0"/>
                <w:sz w:val="18"/>
                <w:szCs w:val="18"/>
                <w:highlight w:val="none"/>
              </w:rPr>
              <w:br w:type="textWrapping"/>
            </w:r>
            <w:r>
              <w:rPr>
                <w:rFonts w:hint="eastAsia" w:ascii="宋体" w:hAnsi="宋体" w:cs="宋体"/>
                <w:color w:val="000000"/>
                <w:kern w:val="0"/>
                <w:sz w:val="18"/>
                <w:szCs w:val="18"/>
                <w:highlight w:val="none"/>
              </w:rPr>
              <w:t>7、支持NAT地址复用技术，可实现单个公网IP地址的无限制端口转换，可有效解决地址短缺问题</w:t>
            </w:r>
            <w:r>
              <w:rPr>
                <w:rFonts w:hint="eastAsia" w:ascii="宋体" w:hAnsi="宋体" w:cs="宋体"/>
                <w:color w:val="000000"/>
                <w:kern w:val="0"/>
                <w:sz w:val="18"/>
                <w:szCs w:val="18"/>
                <w:highlight w:val="none"/>
              </w:rPr>
              <w:br w:type="textWrapping"/>
            </w:r>
            <w:r>
              <w:rPr>
                <w:rFonts w:hint="eastAsia" w:ascii="宋体" w:hAnsi="宋体" w:cs="宋体"/>
                <w:color w:val="000000"/>
                <w:kern w:val="0"/>
                <w:sz w:val="18"/>
                <w:szCs w:val="18"/>
                <w:highlight w:val="none"/>
              </w:rPr>
              <w:t>8、具备威胁防护AI引擎，AI引擎用于DGA域名请求检测，RDP协议暴力破解检测，SSH协议暴力破解检测，恶意C&amp;C流量检测，ECA恶意加密流量识别，SQL注入流量检测，提供第三方检测报告证明，加盖厂商印章</w:t>
            </w:r>
            <w:r>
              <w:rPr>
                <w:rFonts w:hint="eastAsia" w:ascii="宋体" w:hAnsi="宋体" w:cs="宋体"/>
                <w:color w:val="000000"/>
                <w:kern w:val="0"/>
                <w:sz w:val="18"/>
                <w:szCs w:val="18"/>
                <w:highlight w:val="none"/>
              </w:rPr>
              <w:br w:type="textWrapping"/>
            </w:r>
            <w:r>
              <w:rPr>
                <w:rFonts w:hint="eastAsia" w:ascii="宋体" w:hAnsi="宋体" w:cs="宋体"/>
                <w:color w:val="000000"/>
                <w:kern w:val="0"/>
                <w:sz w:val="18"/>
                <w:szCs w:val="18"/>
                <w:highlight w:val="none"/>
              </w:rPr>
              <w:t>9、支持安全综合评估，能对设备健康度检查，应能给出对应分值，能够直观展现严重问题、一般问题、提示问题的问题条数；检查项至少应包括硬件健康度、网络及业务健康度、资源使用、系统健康度等等；应能够根据健康度检查结果给出处理建议</w:t>
            </w:r>
            <w:r>
              <w:rPr>
                <w:rFonts w:hint="eastAsia" w:ascii="宋体" w:hAnsi="宋体" w:cs="宋体"/>
                <w:color w:val="000000"/>
                <w:kern w:val="0"/>
                <w:sz w:val="18"/>
                <w:szCs w:val="18"/>
                <w:highlight w:val="none"/>
              </w:rPr>
              <w:br w:type="textWrapping"/>
            </w:r>
            <w:r>
              <w:rPr>
                <w:rFonts w:hint="eastAsia" w:ascii="宋体" w:hAnsi="宋体" w:cs="宋体"/>
                <w:color w:val="000000"/>
                <w:kern w:val="0"/>
                <w:sz w:val="18"/>
                <w:szCs w:val="18"/>
                <w:highlight w:val="none"/>
              </w:rPr>
              <w:t>10、支持数据防泄露，对传输的文件和内容进行识别过滤，对内容与身份证、信用卡、银行卡、社会安全卡号等类型进行匹配，支持DNS过滤，应支持对DNS高、中、低、自定义过滤级别选择，从而提高网站过滤的性能。</w:t>
            </w:r>
            <w:r>
              <w:rPr>
                <w:rFonts w:hint="eastAsia" w:ascii="宋体" w:hAnsi="宋体" w:cs="宋体"/>
                <w:color w:val="000000"/>
                <w:kern w:val="0"/>
                <w:sz w:val="18"/>
                <w:szCs w:val="18"/>
                <w:highlight w:val="none"/>
              </w:rPr>
              <w:br w:type="textWrapping"/>
            </w:r>
            <w:r>
              <w:rPr>
                <w:rFonts w:hint="eastAsia" w:ascii="宋体" w:hAnsi="宋体" w:cs="宋体"/>
                <w:color w:val="000000"/>
                <w:kern w:val="0"/>
                <w:sz w:val="18"/>
                <w:szCs w:val="18"/>
                <w:highlight w:val="none"/>
              </w:rPr>
              <w:t>11、支持多出口智能选路，可根据目的地址智能优选运营商链路，支持主备接口配置以及按比例分配的负载分担方式</w:t>
            </w:r>
            <w:r>
              <w:rPr>
                <w:rFonts w:hint="eastAsia" w:ascii="宋体" w:hAnsi="宋体" w:cs="宋体"/>
                <w:color w:val="000000"/>
                <w:kern w:val="0"/>
                <w:sz w:val="18"/>
                <w:szCs w:val="18"/>
                <w:highlight w:val="none"/>
              </w:rPr>
              <w:br w:type="textWrapping"/>
            </w:r>
            <w:r>
              <w:rPr>
                <w:rFonts w:hint="eastAsia" w:ascii="宋体" w:hAnsi="宋体" w:cs="宋体"/>
                <w:color w:val="000000"/>
                <w:kern w:val="0"/>
                <w:sz w:val="18"/>
                <w:szCs w:val="18"/>
                <w:highlight w:val="none"/>
              </w:rPr>
              <w:t>12、支持可视化管理，对设备进行组网图配置，组网图能够直观的呈现内网区域、服务器区域、外网区域的可视化管理，链路能展现运行状况，应包含IP地址、接口状态、输入流量、输入错包数、输出流量、输出错包数、速率等</w:t>
            </w:r>
            <w:r>
              <w:rPr>
                <w:rFonts w:hint="eastAsia" w:ascii="宋体" w:hAnsi="宋体" w:cs="宋体"/>
                <w:color w:val="000000"/>
                <w:kern w:val="0"/>
                <w:sz w:val="18"/>
                <w:szCs w:val="18"/>
                <w:highlight w:val="none"/>
              </w:rPr>
              <w:br w:type="textWrapping"/>
            </w:r>
            <w:r>
              <w:rPr>
                <w:rFonts w:hint="eastAsia" w:ascii="宋体" w:hAnsi="宋体" w:cs="宋体"/>
                <w:color w:val="000000"/>
                <w:kern w:val="0"/>
                <w:sz w:val="18"/>
                <w:szCs w:val="18"/>
                <w:highlight w:val="none"/>
              </w:rPr>
              <w:t>13、能够对虚拟资源灵活配置，配置项包括会话数、策略数、IPSec隧道数，整体带宽、新建回话速率等进行按需分配，同时应支持剩余资源查询，确保灵活分配；支持虚拟服务安全管控，虚拟服务策略应包括IP地址/地区、协议、时间段、WANID、反病毒/入侵防御/URL过滤/内容过滤/WEB应用防护等。</w:t>
            </w:r>
            <w:r>
              <w:rPr>
                <w:rFonts w:hint="eastAsia" w:ascii="宋体" w:hAnsi="宋体" w:cs="宋体"/>
                <w:color w:val="000000"/>
                <w:kern w:val="0"/>
                <w:sz w:val="18"/>
                <w:szCs w:val="18"/>
                <w:highlight w:val="none"/>
              </w:rPr>
              <w:br w:type="textWrapping"/>
            </w:r>
            <w:r>
              <w:rPr>
                <w:rFonts w:hint="eastAsia" w:ascii="宋体" w:hAnsi="宋体" w:cs="宋体"/>
                <w:color w:val="000000"/>
                <w:kern w:val="0"/>
                <w:sz w:val="18"/>
                <w:szCs w:val="18"/>
                <w:highlight w:val="none"/>
              </w:rPr>
              <w:t>14、实配威胁防护3年，硬盘</w:t>
            </w:r>
            <w:r>
              <w:rPr>
                <w:rFonts w:hint="eastAsia" w:ascii="宋体" w:hAnsi="宋体" w:cs="宋体"/>
                <w:color w:val="000000"/>
                <w:kern w:val="0"/>
                <w:sz w:val="18"/>
                <w:szCs w:val="18"/>
                <w:highlight w:val="none"/>
              </w:rPr>
              <w:t>≥</w:t>
            </w:r>
            <w:r>
              <w:rPr>
                <w:rFonts w:hint="eastAsia" w:ascii="宋体" w:hAnsi="宋体" w:cs="宋体"/>
                <w:color w:val="000000"/>
                <w:kern w:val="0"/>
                <w:sz w:val="18"/>
                <w:szCs w:val="18"/>
                <w:highlight w:val="none"/>
              </w:rPr>
              <w:t>240G。</w:t>
            </w:r>
          </w:p>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t>15、安全要求：投标产品集成部件的芯片须基于自主可控芯片，包括但不限于多核架构CPU、DRAM颗粒、PHY、FLASH、电源、交换转发、通信等芯片。</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台</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3</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内部区域访问控制器</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1、桌面设备，配置≥10个电口，2个≥SFP光口，≥1个Console口，1个USB接口；</w:t>
            </w:r>
            <w:r>
              <w:rPr>
                <w:rFonts w:hint="eastAsia" w:ascii="宋体" w:hAnsi="宋体" w:cs="宋体"/>
                <w:color w:val="000000"/>
                <w:kern w:val="0"/>
                <w:sz w:val="18"/>
                <w:szCs w:val="18"/>
                <w:highlight w:val="none"/>
              </w:rPr>
              <w:br w:type="textWrapping"/>
            </w:r>
            <w:r>
              <w:rPr>
                <w:rFonts w:hint="eastAsia" w:ascii="宋体" w:hAnsi="宋体" w:cs="宋体"/>
                <w:color w:val="000000"/>
                <w:kern w:val="0"/>
                <w:sz w:val="18"/>
                <w:szCs w:val="18"/>
                <w:highlight w:val="none"/>
              </w:rPr>
              <w:t>2、采用国产芯片，提供检测报告及设备使用的芯片照片证明，加盖厂商印章；</w:t>
            </w:r>
            <w:r>
              <w:rPr>
                <w:rFonts w:hint="eastAsia" w:ascii="宋体" w:hAnsi="宋体" w:cs="宋体"/>
                <w:color w:val="000000"/>
                <w:kern w:val="0"/>
                <w:sz w:val="18"/>
                <w:szCs w:val="18"/>
                <w:highlight w:val="none"/>
              </w:rPr>
              <w:br w:type="textWrapping"/>
            </w:r>
            <w:r>
              <w:rPr>
                <w:rFonts w:hint="eastAsia" w:ascii="宋体" w:hAnsi="宋体" w:cs="宋体"/>
                <w:color w:val="000000"/>
                <w:kern w:val="0"/>
                <w:sz w:val="18"/>
                <w:szCs w:val="18"/>
                <w:highlight w:val="none"/>
              </w:rPr>
              <w:t>3、吞吐量≥2Gbps，最大并发连接数≥40万，每秒新建连接数≥2万，IPSec吞吐量≥1Gbps，IPSec最大连接数≥1000，SSLVPN最大并发用户数≥100，含SSLVPN≥100用户授权，提供原厂官网产品介绍链接及截图，加盖厂商印章；</w:t>
            </w:r>
            <w:r>
              <w:rPr>
                <w:rFonts w:hint="eastAsia" w:ascii="宋体" w:hAnsi="宋体" w:cs="宋体"/>
                <w:color w:val="000000"/>
                <w:kern w:val="0"/>
                <w:sz w:val="18"/>
                <w:szCs w:val="18"/>
                <w:highlight w:val="none"/>
              </w:rPr>
              <w:br w:type="textWrapping"/>
            </w:r>
            <w:r>
              <w:rPr>
                <w:rFonts w:hint="eastAsia" w:ascii="宋体" w:hAnsi="宋体" w:cs="宋体"/>
                <w:color w:val="000000"/>
                <w:kern w:val="0"/>
                <w:sz w:val="18"/>
                <w:szCs w:val="18"/>
                <w:highlight w:val="none"/>
              </w:rPr>
              <w:t>4、支持IPv6协议栈、IPV6穿越技术、IPV6路由协议；</w:t>
            </w:r>
            <w:r>
              <w:rPr>
                <w:rFonts w:hint="eastAsia" w:ascii="宋体" w:hAnsi="宋体" w:cs="宋体"/>
                <w:color w:val="000000"/>
                <w:kern w:val="0"/>
                <w:sz w:val="18"/>
                <w:szCs w:val="18"/>
                <w:highlight w:val="none"/>
              </w:rPr>
              <w:br w:type="textWrapping"/>
            </w:r>
            <w:r>
              <w:rPr>
                <w:rFonts w:hint="eastAsia" w:ascii="宋体" w:hAnsi="宋体" w:cs="宋体"/>
                <w:color w:val="000000"/>
                <w:kern w:val="0"/>
                <w:sz w:val="18"/>
                <w:szCs w:val="18"/>
                <w:highlight w:val="none"/>
              </w:rPr>
              <w:t>5、支持将基于端口的安全策略转换为基于应用的安全策略，分析设备策略风险，及冗余策略，提供安全策略优化建议；</w:t>
            </w:r>
            <w:r>
              <w:rPr>
                <w:rFonts w:hint="eastAsia" w:ascii="宋体" w:hAnsi="宋体" w:cs="宋体"/>
                <w:color w:val="000000"/>
                <w:kern w:val="0"/>
                <w:sz w:val="18"/>
                <w:szCs w:val="18"/>
                <w:highlight w:val="none"/>
              </w:rPr>
              <w:br w:type="textWrapping"/>
            </w:r>
            <w:r>
              <w:rPr>
                <w:rFonts w:hint="eastAsia" w:ascii="宋体" w:hAnsi="宋体" w:cs="宋体"/>
                <w:color w:val="000000"/>
                <w:kern w:val="0"/>
                <w:sz w:val="18"/>
                <w:szCs w:val="18"/>
                <w:highlight w:val="none"/>
              </w:rPr>
              <w:t>6、支持NAT地址复用技术，可实现单个公网IP地址的无限制端口转换，可有效解决地址短缺问题</w:t>
            </w:r>
            <w:r>
              <w:rPr>
                <w:rFonts w:hint="eastAsia" w:ascii="宋体" w:hAnsi="宋体" w:cs="宋体"/>
                <w:color w:val="000000"/>
                <w:kern w:val="0"/>
                <w:sz w:val="18"/>
                <w:szCs w:val="18"/>
                <w:highlight w:val="none"/>
              </w:rPr>
              <w:br w:type="textWrapping"/>
            </w:r>
            <w:r>
              <w:rPr>
                <w:rFonts w:hint="eastAsia" w:ascii="宋体" w:hAnsi="宋体" w:cs="宋体"/>
                <w:color w:val="000000"/>
                <w:kern w:val="0"/>
                <w:sz w:val="18"/>
                <w:szCs w:val="18"/>
                <w:highlight w:val="none"/>
              </w:rPr>
              <w:t>7、具备威胁防护AI引擎，AI引擎用于DGA域名请求检测，RDP协议暴力破解检测，SSH协议暴力破解检测，恶意C&amp;C流量检测，ECA恶意加密流量识别，SQL注入流量检测，提供第三方检测报告证明，加盖厂商印章</w:t>
            </w:r>
            <w:r>
              <w:rPr>
                <w:rFonts w:hint="eastAsia" w:ascii="宋体" w:hAnsi="宋体" w:cs="宋体"/>
                <w:color w:val="000000"/>
                <w:kern w:val="0"/>
                <w:sz w:val="18"/>
                <w:szCs w:val="18"/>
                <w:highlight w:val="none"/>
              </w:rPr>
              <w:br w:type="textWrapping"/>
            </w:r>
            <w:r>
              <w:rPr>
                <w:rFonts w:hint="eastAsia" w:ascii="宋体" w:hAnsi="宋体" w:cs="宋体"/>
                <w:color w:val="000000"/>
                <w:kern w:val="0"/>
                <w:sz w:val="18"/>
                <w:szCs w:val="18"/>
                <w:highlight w:val="none"/>
              </w:rPr>
              <w:t>8、支持安全综合评估，能对设备健康度检查，应能给出对应分值，能够直观展现严重问题、一般问题、提示问题的问题条数；检查项至少应包括硬件健康度、网络及业务健康度、资源使用、系统健康度等等；应能够根据健康度检查结果给出处理建议</w:t>
            </w:r>
            <w:r>
              <w:rPr>
                <w:rFonts w:hint="eastAsia" w:ascii="宋体" w:hAnsi="宋体" w:cs="宋体"/>
                <w:color w:val="000000"/>
                <w:kern w:val="0"/>
                <w:sz w:val="18"/>
                <w:szCs w:val="18"/>
                <w:highlight w:val="none"/>
              </w:rPr>
              <w:br w:type="textWrapping"/>
            </w:r>
            <w:r>
              <w:rPr>
                <w:rFonts w:hint="eastAsia" w:ascii="宋体" w:hAnsi="宋体" w:cs="宋体"/>
                <w:color w:val="000000"/>
                <w:kern w:val="0"/>
                <w:sz w:val="18"/>
                <w:szCs w:val="18"/>
                <w:highlight w:val="none"/>
              </w:rPr>
              <w:t>9、支持数据防泄露，对传输的文件和内容进行识别过滤，对内容与身份证、信用卡、银行卡、社会安全卡号等类型进行匹配，支持DNS过滤，应支持对DNS高、中、低、自定义过滤级别选择，从而提高网站过滤的性能。</w:t>
            </w:r>
            <w:r>
              <w:rPr>
                <w:rFonts w:hint="eastAsia" w:ascii="宋体" w:hAnsi="宋体" w:cs="宋体"/>
                <w:color w:val="000000"/>
                <w:kern w:val="0"/>
                <w:sz w:val="18"/>
                <w:szCs w:val="18"/>
                <w:highlight w:val="none"/>
              </w:rPr>
              <w:br w:type="textWrapping"/>
            </w:r>
            <w:r>
              <w:rPr>
                <w:rFonts w:hint="eastAsia" w:ascii="宋体" w:hAnsi="宋体" w:cs="宋体"/>
                <w:color w:val="000000"/>
                <w:kern w:val="0"/>
                <w:sz w:val="18"/>
                <w:szCs w:val="18"/>
                <w:highlight w:val="none"/>
              </w:rPr>
              <w:t>10、支持多出口智能选路，可根据目的地址智能优选运营商链路，支持主备接口配置以及按比例分配的负载分担方式</w:t>
            </w:r>
            <w:r>
              <w:rPr>
                <w:rFonts w:hint="eastAsia" w:ascii="宋体" w:hAnsi="宋体" w:cs="宋体"/>
                <w:color w:val="000000"/>
                <w:kern w:val="0"/>
                <w:sz w:val="18"/>
                <w:szCs w:val="18"/>
                <w:highlight w:val="none"/>
              </w:rPr>
              <w:br w:type="textWrapping"/>
            </w:r>
            <w:r>
              <w:rPr>
                <w:rFonts w:hint="eastAsia" w:ascii="宋体" w:hAnsi="宋体" w:cs="宋体"/>
                <w:color w:val="000000"/>
                <w:kern w:val="0"/>
                <w:sz w:val="18"/>
                <w:szCs w:val="18"/>
                <w:highlight w:val="none"/>
              </w:rPr>
              <w:t>11、支持可视化管理，对设备进行组网图配置，组网图能够直观的呈现内网区域、服务器区域、外网区域的可视化管理，链路能展现运行状况，应包含IP地址、接口状态、输入流量、输入错包数、输出流量、输出错包数、速率等</w:t>
            </w:r>
            <w:r>
              <w:rPr>
                <w:rFonts w:hint="eastAsia" w:ascii="宋体" w:hAnsi="宋体" w:cs="宋体"/>
                <w:color w:val="000000"/>
                <w:kern w:val="0"/>
                <w:sz w:val="18"/>
                <w:szCs w:val="18"/>
                <w:highlight w:val="none"/>
              </w:rPr>
              <w:br w:type="textWrapping"/>
            </w:r>
            <w:r>
              <w:rPr>
                <w:rFonts w:hint="eastAsia" w:ascii="宋体" w:hAnsi="宋体" w:cs="宋体"/>
                <w:color w:val="000000"/>
                <w:kern w:val="0"/>
                <w:sz w:val="18"/>
                <w:szCs w:val="18"/>
                <w:highlight w:val="none"/>
              </w:rPr>
              <w:t>12、能够对虚拟资源灵活配置，配置项包括会话数、策略数、IPSec隧道数，整体带宽、新建回话速率等进行按需分配，同时应支持剩余资源查询，确保灵活分配；支持虚拟服务安全管控，虚拟服务策略应包括IP地址/地区、协议、时间段、WANID、反病毒/入侵防御/URL过滤/内容过滤/WEB应用防护等。</w:t>
            </w:r>
            <w:r>
              <w:rPr>
                <w:rFonts w:hint="eastAsia" w:ascii="宋体" w:hAnsi="宋体" w:cs="宋体"/>
                <w:color w:val="000000"/>
                <w:kern w:val="0"/>
                <w:sz w:val="18"/>
                <w:szCs w:val="18"/>
                <w:highlight w:val="none"/>
              </w:rPr>
              <w:br w:type="textWrapping"/>
            </w:r>
            <w:r>
              <w:rPr>
                <w:rFonts w:hint="eastAsia" w:ascii="宋体" w:hAnsi="宋体" w:cs="宋体"/>
                <w:color w:val="000000"/>
                <w:kern w:val="0"/>
                <w:sz w:val="18"/>
                <w:szCs w:val="18"/>
                <w:highlight w:val="none"/>
              </w:rPr>
              <w:t>13、实配威胁防护授权3年，存储卡</w:t>
            </w:r>
            <w:r>
              <w:rPr>
                <w:rFonts w:hint="eastAsia" w:ascii="宋体" w:hAnsi="宋体" w:cs="宋体"/>
                <w:color w:val="000000"/>
                <w:kern w:val="0"/>
                <w:sz w:val="18"/>
                <w:szCs w:val="18"/>
                <w:highlight w:val="none"/>
              </w:rPr>
              <w:t>≥</w:t>
            </w:r>
            <w:r>
              <w:rPr>
                <w:rFonts w:hint="eastAsia" w:ascii="宋体" w:hAnsi="宋体" w:cs="宋体"/>
                <w:color w:val="000000"/>
                <w:kern w:val="0"/>
                <w:sz w:val="18"/>
                <w:szCs w:val="18"/>
                <w:highlight w:val="none"/>
              </w:rPr>
              <w:t>64G</w:t>
            </w:r>
          </w:p>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t>14、安全要求：投标产品集成部件的芯片须基于自主可控芯片，包括但不限于多核架构CPU、DRAM颗粒、PHY、FLASH、电源、交换转发、通信等芯片。</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台</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4</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区域互联枢纽机</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1、交换容量≥2.4Tbps</w:t>
            </w:r>
            <w:r>
              <w:rPr>
                <w:rFonts w:hint="eastAsia" w:ascii="宋体" w:hAnsi="宋体" w:cs="宋体"/>
                <w:color w:val="000000"/>
                <w:kern w:val="0"/>
                <w:sz w:val="18"/>
                <w:szCs w:val="18"/>
                <w:highlight w:val="none"/>
              </w:rPr>
              <w:br w:type="textWrapping"/>
            </w:r>
            <w:r>
              <w:rPr>
                <w:rFonts w:hint="eastAsia" w:ascii="宋体" w:hAnsi="宋体" w:cs="宋体"/>
                <w:color w:val="000000"/>
                <w:kern w:val="0"/>
                <w:sz w:val="18"/>
                <w:szCs w:val="18"/>
                <w:highlight w:val="none"/>
              </w:rPr>
              <w:t>2、包转发率≥480Mpps</w:t>
            </w:r>
            <w:r>
              <w:rPr>
                <w:rFonts w:hint="eastAsia" w:ascii="宋体" w:hAnsi="宋体" w:cs="宋体"/>
                <w:color w:val="000000"/>
                <w:kern w:val="0"/>
                <w:sz w:val="18"/>
                <w:szCs w:val="18"/>
                <w:highlight w:val="none"/>
              </w:rPr>
              <w:br w:type="textWrapping"/>
            </w:r>
            <w:r>
              <w:rPr>
                <w:rFonts w:hint="eastAsia" w:ascii="宋体" w:hAnsi="宋体" w:cs="宋体"/>
                <w:color w:val="000000"/>
                <w:kern w:val="0"/>
                <w:sz w:val="18"/>
                <w:szCs w:val="18"/>
                <w:highlight w:val="none"/>
              </w:rPr>
              <w:t>3、</w:t>
            </w:r>
            <w:r>
              <w:rPr>
                <w:rFonts w:hint="eastAsia" w:ascii="宋体" w:hAnsi="宋体" w:cs="宋体"/>
                <w:color w:val="000000"/>
                <w:kern w:val="0"/>
                <w:sz w:val="18"/>
                <w:szCs w:val="18"/>
                <w:highlight w:val="none"/>
              </w:rPr>
              <w:t>≥</w:t>
            </w:r>
            <w:r>
              <w:rPr>
                <w:rFonts w:hint="eastAsia" w:ascii="宋体" w:hAnsi="宋体" w:cs="宋体"/>
                <w:color w:val="000000"/>
                <w:kern w:val="0"/>
                <w:sz w:val="18"/>
                <w:szCs w:val="18"/>
                <w:highlight w:val="none"/>
              </w:rPr>
              <w:t>24个千兆电口,</w:t>
            </w:r>
            <w:r>
              <w:rPr>
                <w:rFonts w:hint="eastAsia" w:ascii="宋体" w:hAnsi="宋体" w:cs="宋体"/>
                <w:color w:val="000000"/>
                <w:kern w:val="0"/>
                <w:sz w:val="18"/>
                <w:szCs w:val="18"/>
                <w:highlight w:val="none"/>
              </w:rPr>
              <w:t>≥</w:t>
            </w:r>
            <w:r>
              <w:rPr>
                <w:rFonts w:hint="eastAsia" w:ascii="宋体" w:hAnsi="宋体" w:cs="宋体"/>
                <w:color w:val="000000"/>
                <w:kern w:val="0"/>
                <w:sz w:val="18"/>
                <w:szCs w:val="18"/>
                <w:highlight w:val="none"/>
              </w:rPr>
              <w:t>8个2.5GE光口，</w:t>
            </w:r>
            <w:r>
              <w:rPr>
                <w:rFonts w:hint="eastAsia" w:ascii="宋体" w:hAnsi="宋体" w:cs="宋体"/>
                <w:color w:val="000000"/>
                <w:kern w:val="0"/>
                <w:sz w:val="18"/>
                <w:szCs w:val="18"/>
                <w:highlight w:val="none"/>
              </w:rPr>
              <w:t>≥</w:t>
            </w:r>
            <w:r>
              <w:rPr>
                <w:rFonts w:hint="eastAsia" w:ascii="宋体" w:hAnsi="宋体" w:cs="宋体"/>
                <w:color w:val="000000"/>
                <w:kern w:val="0"/>
                <w:sz w:val="18"/>
                <w:szCs w:val="18"/>
                <w:highlight w:val="none"/>
              </w:rPr>
              <w:t>8个25GESFP28光口；支持</w:t>
            </w:r>
            <w:r>
              <w:rPr>
                <w:rFonts w:hint="eastAsia" w:ascii="宋体" w:hAnsi="宋体" w:cs="宋体"/>
                <w:color w:val="000000"/>
                <w:kern w:val="0"/>
                <w:sz w:val="18"/>
                <w:szCs w:val="18"/>
                <w:highlight w:val="none"/>
              </w:rPr>
              <w:t>≥</w:t>
            </w:r>
            <w:r>
              <w:rPr>
                <w:rFonts w:hint="eastAsia" w:ascii="宋体" w:hAnsi="宋体" w:cs="宋体"/>
                <w:color w:val="000000"/>
                <w:kern w:val="0"/>
                <w:sz w:val="18"/>
                <w:szCs w:val="18"/>
                <w:highlight w:val="none"/>
              </w:rPr>
              <w:t>1个子卡槽位，支持1+1电源备份），自带2个可拔插风扇</w:t>
            </w:r>
            <w:r>
              <w:rPr>
                <w:rFonts w:hint="eastAsia" w:ascii="宋体" w:hAnsi="宋体" w:cs="宋体"/>
                <w:color w:val="000000"/>
                <w:kern w:val="0"/>
                <w:sz w:val="18"/>
                <w:szCs w:val="18"/>
                <w:highlight w:val="none"/>
              </w:rPr>
              <w:br w:type="textWrapping"/>
            </w:r>
            <w:r>
              <w:rPr>
                <w:rFonts w:hint="eastAsia" w:ascii="宋体" w:hAnsi="宋体" w:cs="宋体"/>
                <w:color w:val="000000"/>
                <w:kern w:val="0"/>
                <w:sz w:val="18"/>
                <w:szCs w:val="18"/>
                <w:highlight w:val="none"/>
              </w:rPr>
              <w:t>4、支持独立的网络指示灯，可以快速感知设备是否联网、是否被云管纳管。设备上线，清晰可见</w:t>
            </w:r>
            <w:r>
              <w:rPr>
                <w:rFonts w:hint="eastAsia" w:ascii="宋体" w:hAnsi="宋体" w:cs="宋体"/>
                <w:color w:val="000000"/>
                <w:kern w:val="0"/>
                <w:sz w:val="18"/>
                <w:szCs w:val="18"/>
                <w:highlight w:val="none"/>
              </w:rPr>
              <w:br w:type="textWrapping"/>
            </w:r>
            <w:r>
              <w:rPr>
                <w:rFonts w:hint="eastAsia" w:ascii="宋体" w:hAnsi="宋体" w:cs="宋体"/>
                <w:color w:val="000000"/>
                <w:kern w:val="0"/>
                <w:sz w:val="18"/>
                <w:szCs w:val="18"/>
                <w:highlight w:val="none"/>
              </w:rPr>
              <w:t>5、支持MAC地址≥16K，提供官方截图证明，加盖厂商印章</w:t>
            </w:r>
            <w:r>
              <w:rPr>
                <w:rFonts w:hint="eastAsia" w:ascii="宋体" w:hAnsi="宋体" w:cs="宋体"/>
                <w:color w:val="000000"/>
                <w:kern w:val="0"/>
                <w:sz w:val="18"/>
                <w:szCs w:val="18"/>
                <w:highlight w:val="none"/>
              </w:rPr>
              <w:br w:type="textWrapping"/>
            </w:r>
            <w:r>
              <w:rPr>
                <w:rFonts w:hint="eastAsia" w:ascii="宋体" w:hAnsi="宋体" w:cs="宋体"/>
                <w:color w:val="000000"/>
                <w:kern w:val="0"/>
                <w:sz w:val="18"/>
                <w:szCs w:val="18"/>
                <w:highlight w:val="none"/>
              </w:rPr>
              <w:t>6、支持4K个VLAN，支持VoiceVLAN，基于端口的VLAN，基于MAC的VLAN，基于协议的VLAN</w:t>
            </w:r>
            <w:r>
              <w:rPr>
                <w:rFonts w:hint="eastAsia" w:ascii="宋体" w:hAnsi="宋体" w:cs="宋体"/>
                <w:color w:val="000000"/>
                <w:kern w:val="0"/>
                <w:sz w:val="18"/>
                <w:szCs w:val="18"/>
                <w:highlight w:val="none"/>
              </w:rPr>
              <w:br w:type="textWrapping"/>
            </w:r>
            <w:r>
              <w:rPr>
                <w:rFonts w:hint="eastAsia" w:ascii="宋体" w:hAnsi="宋体" w:cs="宋体"/>
                <w:color w:val="000000"/>
                <w:kern w:val="0"/>
                <w:sz w:val="18"/>
                <w:szCs w:val="18"/>
                <w:highlight w:val="none"/>
              </w:rPr>
              <w:t>7、支持ERPS以太环保护协议（G.8032），支持STP（IEEE802.1d），RSTP（IEEE802.1w）和MSTP（IEEE802.1s）协议</w:t>
            </w:r>
            <w:r>
              <w:rPr>
                <w:rFonts w:hint="eastAsia" w:ascii="宋体" w:hAnsi="宋体" w:cs="宋体"/>
                <w:color w:val="000000"/>
                <w:kern w:val="0"/>
                <w:sz w:val="18"/>
                <w:szCs w:val="18"/>
                <w:highlight w:val="none"/>
              </w:rPr>
              <w:br w:type="textWrapping"/>
            </w:r>
            <w:r>
              <w:rPr>
                <w:rFonts w:hint="eastAsia" w:ascii="宋体" w:hAnsi="宋体" w:cs="宋体"/>
                <w:color w:val="000000"/>
                <w:kern w:val="0"/>
                <w:sz w:val="18"/>
                <w:szCs w:val="18"/>
                <w:highlight w:val="none"/>
              </w:rPr>
              <w:t>8、支持静态路由，策略路由路由，</w:t>
            </w:r>
            <w:r>
              <w:rPr>
                <w:rFonts w:hint="eastAsia" w:ascii="宋体" w:hAnsi="宋体" w:cs="宋体"/>
                <w:color w:val="000000"/>
                <w:kern w:val="0"/>
                <w:sz w:val="18"/>
                <w:szCs w:val="18"/>
                <w:highlight w:val="none"/>
              </w:rPr>
              <w:t>支持≥</w:t>
            </w:r>
            <w:r>
              <w:rPr>
                <w:rFonts w:hint="eastAsia" w:ascii="宋体" w:hAnsi="宋体" w:cs="宋体"/>
                <w:color w:val="000000"/>
                <w:kern w:val="0"/>
                <w:sz w:val="18"/>
                <w:szCs w:val="18"/>
                <w:highlight w:val="none"/>
              </w:rPr>
              <w:t>512个FIBv4条目，</w:t>
            </w:r>
            <w:r>
              <w:rPr>
                <w:rFonts w:hint="eastAsia" w:ascii="宋体" w:hAnsi="宋体" w:cs="宋体"/>
                <w:color w:val="000000"/>
                <w:kern w:val="0"/>
                <w:sz w:val="18"/>
                <w:szCs w:val="18"/>
                <w:highlight w:val="none"/>
              </w:rPr>
              <w:t>支持≥</w:t>
            </w:r>
            <w:r>
              <w:rPr>
                <w:rFonts w:hint="eastAsia" w:ascii="宋体" w:hAnsi="宋体" w:cs="宋体"/>
                <w:color w:val="000000"/>
                <w:kern w:val="0"/>
                <w:sz w:val="18"/>
                <w:szCs w:val="18"/>
                <w:highlight w:val="none"/>
              </w:rPr>
              <w:t>512个FIBv6条目，提供官方截图证明，加盖厂商印章</w:t>
            </w:r>
            <w:r>
              <w:rPr>
                <w:rFonts w:hint="eastAsia" w:ascii="宋体" w:hAnsi="宋体" w:cs="宋体"/>
                <w:color w:val="000000"/>
                <w:kern w:val="0"/>
                <w:sz w:val="18"/>
                <w:szCs w:val="18"/>
                <w:highlight w:val="none"/>
              </w:rPr>
              <w:br w:type="textWrapping"/>
            </w:r>
            <w:r>
              <w:rPr>
                <w:rFonts w:hint="eastAsia" w:ascii="宋体" w:hAnsi="宋体" w:cs="宋体"/>
                <w:color w:val="000000"/>
                <w:kern w:val="0"/>
                <w:sz w:val="18"/>
                <w:szCs w:val="18"/>
                <w:highlight w:val="none"/>
              </w:rPr>
              <w:t>9、支持智能iStack堆叠，将多台支持堆叠特性的设备组合在一起，从逻辑上虚拟为一台设备</w:t>
            </w:r>
            <w:r>
              <w:rPr>
                <w:rFonts w:hint="eastAsia" w:ascii="宋体" w:hAnsi="宋体" w:cs="宋体"/>
                <w:color w:val="000000"/>
                <w:kern w:val="0"/>
                <w:sz w:val="18"/>
                <w:szCs w:val="18"/>
                <w:highlight w:val="none"/>
              </w:rPr>
              <w:br w:type="textWrapping"/>
            </w:r>
            <w:r>
              <w:rPr>
                <w:rFonts w:hint="eastAsia" w:ascii="宋体" w:hAnsi="宋体" w:cs="宋体"/>
                <w:color w:val="000000"/>
                <w:kern w:val="0"/>
                <w:sz w:val="18"/>
                <w:szCs w:val="18"/>
                <w:highlight w:val="none"/>
              </w:rPr>
              <w:t>10、MTBF（平均无故障时间）超过70年</w:t>
            </w:r>
            <w:r>
              <w:rPr>
                <w:rFonts w:hint="eastAsia" w:ascii="宋体" w:hAnsi="宋体" w:cs="宋体"/>
                <w:color w:val="000000"/>
                <w:kern w:val="0"/>
                <w:sz w:val="18"/>
                <w:szCs w:val="18"/>
                <w:highlight w:val="none"/>
              </w:rPr>
              <w:br w:type="textWrapping"/>
            </w:r>
            <w:r>
              <w:rPr>
                <w:rFonts w:hint="eastAsia" w:ascii="宋体" w:hAnsi="宋体" w:cs="宋体"/>
                <w:color w:val="000000"/>
                <w:kern w:val="0"/>
                <w:sz w:val="18"/>
                <w:szCs w:val="18"/>
                <w:highlight w:val="none"/>
              </w:rPr>
              <w:t>11、可用度满足99.999%的电信级可靠性要求</w:t>
            </w:r>
            <w:r>
              <w:rPr>
                <w:rFonts w:hint="eastAsia" w:ascii="宋体" w:hAnsi="宋体" w:cs="宋体"/>
                <w:color w:val="000000"/>
                <w:kern w:val="0"/>
                <w:sz w:val="18"/>
                <w:szCs w:val="18"/>
                <w:highlight w:val="none"/>
              </w:rPr>
              <w:br w:type="textWrapping"/>
            </w:r>
            <w:r>
              <w:rPr>
                <w:rFonts w:hint="eastAsia" w:ascii="宋体" w:hAnsi="宋体" w:cs="宋体"/>
                <w:color w:val="000000"/>
                <w:kern w:val="0"/>
                <w:sz w:val="18"/>
                <w:szCs w:val="18"/>
                <w:highlight w:val="none"/>
              </w:rPr>
              <w:t>12、业务口防雷可达10KV</w:t>
            </w:r>
            <w:r>
              <w:rPr>
                <w:rFonts w:hint="eastAsia" w:ascii="宋体" w:hAnsi="宋体" w:cs="宋体"/>
                <w:color w:val="000000"/>
                <w:kern w:val="0"/>
                <w:sz w:val="18"/>
                <w:szCs w:val="18"/>
                <w:highlight w:val="none"/>
              </w:rPr>
              <w:br w:type="textWrapping"/>
            </w:r>
            <w:r>
              <w:rPr>
                <w:rFonts w:hint="eastAsia" w:ascii="宋体" w:hAnsi="宋体" w:cs="宋体"/>
                <w:color w:val="000000"/>
                <w:kern w:val="0"/>
                <w:sz w:val="18"/>
                <w:szCs w:val="18"/>
                <w:highlight w:val="none"/>
              </w:rPr>
              <w:t>13、支持802.3az能效以太网EEE，节能环保</w:t>
            </w:r>
            <w:r>
              <w:rPr>
                <w:rFonts w:hint="eastAsia" w:ascii="宋体" w:hAnsi="宋体" w:cs="宋体"/>
                <w:color w:val="000000"/>
                <w:kern w:val="0"/>
                <w:sz w:val="18"/>
                <w:szCs w:val="18"/>
                <w:highlight w:val="none"/>
              </w:rPr>
              <w:br w:type="textWrapping"/>
            </w:r>
            <w:r>
              <w:rPr>
                <w:rFonts w:hint="eastAsia" w:ascii="宋体" w:hAnsi="宋体" w:cs="宋体"/>
                <w:color w:val="000000"/>
                <w:kern w:val="0"/>
                <w:sz w:val="18"/>
                <w:szCs w:val="18"/>
                <w:highlight w:val="none"/>
              </w:rPr>
              <w:t>14、支持SNMPv1/v2/v3,Telnet,RMON，HTTPS,Web等方式进行管理和维护</w:t>
            </w:r>
          </w:p>
          <w:p>
            <w:pPr>
              <w:widowControl/>
              <w:jc w:val="left"/>
              <w:textAlignment w:val="center"/>
              <w:rPr>
                <w:rFonts w:hint="eastAsia" w:ascii="宋体" w:hAnsi="宋体" w:cs="宋体"/>
                <w:color w:val="000000"/>
                <w:sz w:val="18"/>
                <w:szCs w:val="18"/>
                <w:highlight w:val="none"/>
              </w:rPr>
            </w:pP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台</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5</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互联网访问策略管理器</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rPr>
              <w:t>1、1U设备，≥12个千兆电口，≥12个千兆光口，含1对Bypass接口，1个console口，1个USB接口</w:t>
            </w:r>
            <w:r>
              <w:rPr>
                <w:rFonts w:hint="eastAsia" w:ascii="宋体" w:hAnsi="宋体" w:cs="宋体"/>
                <w:color w:val="000000"/>
                <w:kern w:val="0"/>
                <w:sz w:val="18"/>
                <w:szCs w:val="18"/>
                <w:highlight w:val="none"/>
              </w:rPr>
              <w:br w:type="textWrapping"/>
            </w:r>
            <w:r>
              <w:rPr>
                <w:rFonts w:hint="eastAsia" w:ascii="宋体" w:hAnsi="宋体" w:cs="宋体"/>
                <w:color w:val="000000"/>
                <w:kern w:val="0"/>
                <w:sz w:val="18"/>
                <w:szCs w:val="18"/>
                <w:highlight w:val="none"/>
              </w:rPr>
              <w:t>2、内置≥2T硬盘</w:t>
            </w:r>
            <w:r>
              <w:rPr>
                <w:rFonts w:hint="eastAsia" w:ascii="宋体" w:hAnsi="宋体" w:cs="宋体"/>
                <w:color w:val="000000"/>
                <w:kern w:val="0"/>
                <w:sz w:val="18"/>
                <w:szCs w:val="18"/>
                <w:highlight w:val="none"/>
              </w:rPr>
              <w:br w:type="textWrapping"/>
            </w:r>
            <w:r>
              <w:rPr>
                <w:rFonts w:hint="eastAsia" w:ascii="宋体" w:hAnsi="宋体" w:cs="宋体"/>
                <w:color w:val="000000"/>
                <w:kern w:val="0"/>
                <w:sz w:val="18"/>
                <w:szCs w:val="18"/>
                <w:highlight w:val="none"/>
              </w:rPr>
              <w:t>3、内置冗余电源</w:t>
            </w:r>
            <w:r>
              <w:rPr>
                <w:rFonts w:hint="eastAsia" w:ascii="宋体" w:hAnsi="宋体" w:cs="宋体"/>
                <w:color w:val="000000"/>
                <w:kern w:val="0"/>
                <w:sz w:val="18"/>
                <w:szCs w:val="18"/>
                <w:highlight w:val="none"/>
              </w:rPr>
              <w:br w:type="textWrapping"/>
            </w:r>
            <w:r>
              <w:rPr>
                <w:rFonts w:hint="eastAsia" w:ascii="宋体" w:hAnsi="宋体" w:cs="宋体"/>
                <w:color w:val="000000"/>
                <w:kern w:val="0"/>
                <w:sz w:val="18"/>
                <w:szCs w:val="18"/>
                <w:highlight w:val="none"/>
              </w:rPr>
              <w:t>4、网络吞吐量≥8Gbps，应用层吞吐量≥2.5Gbps，最大并发连接数≥65W，每秒新建连接数≥3.5W，IPSEC吞吐量≥1.22Gbps</w:t>
            </w:r>
            <w:r>
              <w:rPr>
                <w:rFonts w:hint="eastAsia" w:ascii="宋体" w:hAnsi="宋体" w:cs="宋体"/>
                <w:color w:val="000000"/>
                <w:kern w:val="0"/>
                <w:sz w:val="18"/>
                <w:szCs w:val="18"/>
                <w:highlight w:val="none"/>
              </w:rPr>
              <w:br w:type="textWrapping"/>
            </w:r>
            <w:r>
              <w:rPr>
                <w:rFonts w:hint="eastAsia" w:ascii="宋体" w:hAnsi="宋体" w:cs="宋体"/>
                <w:color w:val="000000"/>
                <w:kern w:val="0"/>
                <w:sz w:val="18"/>
                <w:szCs w:val="18"/>
                <w:highlight w:val="none"/>
              </w:rPr>
              <w:t>5、支持路由模式、透明（网桥）模式、混合模式、旁路模式；旁路部署支持加入多个物理接口；部署模式切换无需重启设备</w:t>
            </w:r>
            <w:r>
              <w:rPr>
                <w:rFonts w:hint="eastAsia" w:ascii="宋体" w:hAnsi="宋体" w:cs="宋体"/>
                <w:color w:val="000000"/>
                <w:kern w:val="0"/>
                <w:sz w:val="18"/>
                <w:szCs w:val="18"/>
                <w:highlight w:val="none"/>
              </w:rPr>
              <w:br w:type="textWrapping"/>
            </w:r>
            <w:r>
              <w:rPr>
                <w:rFonts w:hint="eastAsia" w:ascii="宋体" w:hAnsi="宋体" w:cs="宋体"/>
                <w:color w:val="000000"/>
                <w:kern w:val="0"/>
                <w:sz w:val="18"/>
                <w:szCs w:val="18"/>
                <w:highlight w:val="none"/>
              </w:rPr>
              <w:t>6、使用VRF功能可以从系统层面隔离不同VRF组里的流量信息和路由信息，使用VRF功能可以作为MPLS组网里的MCE设备；不同vrf下的接口可以配置相同的ip地址；支持静态路由</w:t>
            </w:r>
            <w:r>
              <w:rPr>
                <w:rFonts w:hint="eastAsia" w:ascii="宋体" w:hAnsi="宋体" w:cs="宋体"/>
                <w:color w:val="000000"/>
                <w:kern w:val="0"/>
                <w:sz w:val="18"/>
                <w:szCs w:val="18"/>
                <w:highlight w:val="none"/>
              </w:rPr>
              <w:br w:type="textWrapping"/>
            </w:r>
            <w:r>
              <w:rPr>
                <w:rFonts w:hint="eastAsia" w:ascii="宋体" w:hAnsi="宋体" w:cs="宋体"/>
                <w:color w:val="000000"/>
                <w:kern w:val="0"/>
                <w:sz w:val="18"/>
                <w:szCs w:val="18"/>
                <w:highlight w:val="none"/>
              </w:rPr>
              <w:t>7、包括但不限于数据包方向、协议、端口、IP地址、目标域名、关键字识别等维度，数据包方向包括任意、请求数据、响应数据，关键字匹配模式支持文本或正则表达式；支持DNS域名学习模式，可引用数据包特征中的目标域名或指定域名。支持智能和快速识别模式配置。提供截图证明，加盖厂商印章</w:t>
            </w:r>
            <w:r>
              <w:rPr>
                <w:rFonts w:hint="eastAsia" w:ascii="宋体" w:hAnsi="宋体" w:cs="宋体"/>
                <w:color w:val="000000"/>
                <w:kern w:val="0"/>
                <w:sz w:val="18"/>
                <w:szCs w:val="18"/>
                <w:highlight w:val="none"/>
              </w:rPr>
              <w:br w:type="textWrapping"/>
            </w:r>
            <w:r>
              <w:rPr>
                <w:rFonts w:hint="eastAsia" w:ascii="宋体" w:hAnsi="宋体" w:cs="宋体"/>
                <w:color w:val="000000"/>
                <w:kern w:val="0"/>
                <w:sz w:val="18"/>
                <w:szCs w:val="18"/>
                <w:highlight w:val="none"/>
              </w:rPr>
              <w:t>8、支持在设备旁路部署时针对违规上网行为进行阻断过滤。支持针对用户、IP地址、应用协议、URL、时间、终端类型、VLAN、DSCP等多维度进行权限管控；针对非法行为支持公告提醒，推送间隔和推送页面支持自定义。提供截图证明，加盖厂商印章</w:t>
            </w:r>
            <w:r>
              <w:rPr>
                <w:rFonts w:hint="eastAsia" w:ascii="宋体" w:hAnsi="宋体" w:cs="宋体"/>
                <w:color w:val="000000"/>
                <w:kern w:val="0"/>
                <w:sz w:val="18"/>
                <w:szCs w:val="18"/>
                <w:highlight w:val="none"/>
              </w:rPr>
              <w:br w:type="textWrapping"/>
            </w:r>
            <w:r>
              <w:rPr>
                <w:rFonts w:hint="eastAsia" w:ascii="宋体" w:hAnsi="宋体" w:cs="宋体"/>
                <w:color w:val="000000"/>
                <w:kern w:val="0"/>
                <w:sz w:val="18"/>
                <w:szCs w:val="18"/>
                <w:highlight w:val="none"/>
              </w:rPr>
              <w:t>9、针对私接网络行为，惩罚方式包括但不限于无操作、阻断和限速，阻断和限速支持自定义惩罚时长</w:t>
            </w:r>
            <w:r>
              <w:rPr>
                <w:rFonts w:hint="eastAsia" w:ascii="宋体" w:hAnsi="宋体" w:cs="宋体"/>
                <w:color w:val="000000"/>
                <w:kern w:val="0"/>
                <w:sz w:val="18"/>
                <w:szCs w:val="18"/>
                <w:highlight w:val="none"/>
              </w:rPr>
              <w:br w:type="textWrapping"/>
            </w:r>
            <w:r>
              <w:rPr>
                <w:rFonts w:hint="eastAsia" w:ascii="宋体" w:hAnsi="宋体" w:cs="宋体"/>
                <w:color w:val="000000"/>
                <w:kern w:val="0"/>
                <w:sz w:val="18"/>
                <w:szCs w:val="18"/>
                <w:highlight w:val="none"/>
              </w:rPr>
              <w:t>10、支持单用户全天行为分析报表，一个界面同时展示用户名、用户组、在线时长、虚拟身份（如QQ号码、微博账号等）、日志关联情况、全天流量使用分布、网站访问类别分布、全天关键网络行为轴等信息。支持会话的统计与分析，支持统计会话源Top20、会话目的Top20，以趋势图方式展示并发会话、新建、TCP、UDP、其他协议等趋势信息</w:t>
            </w:r>
            <w:r>
              <w:rPr>
                <w:rFonts w:hint="eastAsia" w:ascii="宋体" w:hAnsi="宋体" w:cs="宋体"/>
                <w:color w:val="000000"/>
                <w:kern w:val="0"/>
                <w:sz w:val="18"/>
                <w:szCs w:val="18"/>
                <w:highlight w:val="none"/>
              </w:rPr>
              <w:br w:type="textWrapping"/>
            </w:r>
            <w:r>
              <w:rPr>
                <w:rFonts w:hint="eastAsia" w:ascii="宋体" w:hAnsi="宋体" w:cs="宋体"/>
                <w:color w:val="000000"/>
                <w:kern w:val="0"/>
                <w:sz w:val="18"/>
                <w:szCs w:val="18"/>
                <w:highlight w:val="none"/>
              </w:rPr>
              <w:t>11、支持本地安全防护，包括但不限于入侵防御、病毒查杀、DDOS、异常包防护等，入侵防御规则不少于7800条，病毒防护规则不少于400万</w:t>
            </w:r>
            <w:r>
              <w:rPr>
                <w:rFonts w:hint="eastAsia" w:ascii="宋体" w:hAnsi="宋体" w:cs="宋体"/>
                <w:color w:val="000000"/>
                <w:kern w:val="0"/>
                <w:sz w:val="18"/>
                <w:szCs w:val="18"/>
                <w:highlight w:val="none"/>
              </w:rPr>
              <w:br w:type="textWrapping"/>
            </w:r>
            <w:r>
              <w:rPr>
                <w:rFonts w:hint="eastAsia" w:ascii="宋体" w:hAnsi="宋体" w:cs="宋体"/>
                <w:color w:val="000000"/>
                <w:kern w:val="0"/>
                <w:sz w:val="18"/>
                <w:szCs w:val="18"/>
                <w:highlight w:val="none"/>
              </w:rPr>
              <w:t>12、支持端口镜像功能，支持入流量、出流量和双向流量等维度镜像，支持将接口的流量镜像到另一个接口，方便网络问题定位。支持PING、TCP、DNS方式进行接口、域名、IP地址连通性和时延探测，对整体网络提供清晰的整体网络质量评级，支持以列表形式展示的名单</w:t>
            </w:r>
            <w:r>
              <w:rPr>
                <w:rFonts w:hint="eastAsia" w:ascii="宋体" w:hAnsi="宋体" w:cs="宋体"/>
                <w:color w:val="000000"/>
                <w:kern w:val="0"/>
                <w:sz w:val="18"/>
                <w:szCs w:val="18"/>
                <w:highlight w:val="none"/>
              </w:rPr>
              <w:br w:type="textWrapping"/>
            </w:r>
            <w:r>
              <w:rPr>
                <w:rFonts w:hint="eastAsia" w:ascii="宋体" w:hAnsi="宋体" w:cs="宋体"/>
                <w:color w:val="000000"/>
                <w:kern w:val="0"/>
                <w:sz w:val="18"/>
                <w:szCs w:val="18"/>
                <w:highlight w:val="none"/>
              </w:rPr>
              <w:t>13、支持网监平台特征库化，可通过特征库升级方式新增网监平台，提供截图证明，加盖厂商印章</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台</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6</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数据平面控制器</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highlight w:val="none"/>
              </w:rPr>
            </w:pPr>
            <w:r>
              <w:rPr>
                <w:rFonts w:hint="eastAsia" w:ascii="宋体" w:hAnsi="宋体" w:cs="宋体"/>
                <w:color w:val="000000"/>
                <w:kern w:val="0"/>
                <w:sz w:val="18"/>
                <w:szCs w:val="18"/>
                <w:highlight w:val="none"/>
              </w:rPr>
              <w:t>1、交换容量≥2.56Tbps</w:t>
            </w:r>
            <w:r>
              <w:rPr>
                <w:rFonts w:hint="eastAsia" w:ascii="宋体" w:hAnsi="宋体" w:cs="宋体"/>
                <w:color w:val="000000"/>
                <w:kern w:val="0"/>
                <w:sz w:val="18"/>
                <w:szCs w:val="18"/>
                <w:highlight w:val="none"/>
              </w:rPr>
              <w:br w:type="textWrapping"/>
            </w:r>
            <w:r>
              <w:rPr>
                <w:rFonts w:hint="eastAsia" w:ascii="宋体" w:hAnsi="宋体" w:cs="宋体"/>
                <w:color w:val="000000"/>
                <w:kern w:val="0"/>
                <w:sz w:val="18"/>
                <w:szCs w:val="18"/>
                <w:highlight w:val="none"/>
              </w:rPr>
              <w:t>2、包转发率≥960Mpps</w:t>
            </w:r>
            <w:r>
              <w:rPr>
                <w:rFonts w:hint="eastAsia" w:ascii="宋体" w:hAnsi="宋体" w:cs="宋体"/>
                <w:color w:val="000000"/>
                <w:kern w:val="0"/>
                <w:sz w:val="18"/>
                <w:szCs w:val="18"/>
                <w:highlight w:val="none"/>
              </w:rPr>
              <w:br w:type="textWrapping"/>
            </w:r>
            <w:r>
              <w:rPr>
                <w:rFonts w:hint="eastAsia" w:ascii="宋体" w:hAnsi="宋体" w:cs="宋体"/>
                <w:color w:val="000000"/>
                <w:kern w:val="0"/>
                <w:sz w:val="18"/>
                <w:szCs w:val="18"/>
                <w:highlight w:val="none"/>
              </w:rPr>
              <w:t>3、千兆电口≥24个；万兆光口（SFP+）≥16个;25G光口（SFP28）≥8个；40G/100G混合端口（QSFP28）≥2个，扩展槽≥1个</w:t>
            </w:r>
            <w:r>
              <w:rPr>
                <w:rFonts w:hint="eastAsia" w:ascii="宋体" w:hAnsi="宋体" w:cs="宋体"/>
                <w:color w:val="000000"/>
                <w:kern w:val="0"/>
                <w:sz w:val="18"/>
                <w:szCs w:val="18"/>
                <w:highlight w:val="none"/>
              </w:rPr>
              <w:br w:type="textWrapping"/>
            </w:r>
            <w:r>
              <w:rPr>
                <w:rFonts w:hint="eastAsia" w:ascii="宋体" w:hAnsi="宋体" w:cs="宋体"/>
                <w:color w:val="000000"/>
                <w:kern w:val="0"/>
                <w:sz w:val="18"/>
                <w:szCs w:val="18"/>
                <w:highlight w:val="none"/>
              </w:rPr>
              <w:t>4、支持冗余电源，冗余风扇</w:t>
            </w:r>
            <w:r>
              <w:rPr>
                <w:rFonts w:hint="eastAsia" w:ascii="宋体" w:hAnsi="宋体" w:cs="宋体"/>
                <w:color w:val="000000"/>
                <w:kern w:val="0"/>
                <w:sz w:val="18"/>
                <w:szCs w:val="18"/>
                <w:highlight w:val="none"/>
              </w:rPr>
              <w:br w:type="textWrapping"/>
            </w:r>
            <w:r>
              <w:rPr>
                <w:rFonts w:hint="eastAsia" w:ascii="宋体" w:hAnsi="宋体" w:cs="宋体"/>
                <w:color w:val="000000"/>
                <w:kern w:val="0"/>
                <w:sz w:val="18"/>
                <w:szCs w:val="18"/>
                <w:highlight w:val="none"/>
              </w:rPr>
              <w:t>5、支持MAC地址≥64K，提供官方截图证明，加盖厂商印章</w:t>
            </w:r>
            <w:r>
              <w:rPr>
                <w:rFonts w:hint="eastAsia" w:ascii="宋体" w:hAnsi="宋体" w:cs="宋体"/>
                <w:color w:val="000000"/>
                <w:kern w:val="0"/>
                <w:sz w:val="18"/>
                <w:szCs w:val="18"/>
                <w:highlight w:val="none"/>
              </w:rPr>
              <w:br w:type="textWrapping"/>
            </w:r>
            <w:r>
              <w:rPr>
                <w:rFonts w:hint="eastAsia" w:ascii="宋体" w:hAnsi="宋体" w:cs="宋体"/>
                <w:color w:val="000000"/>
                <w:kern w:val="0"/>
                <w:sz w:val="18"/>
                <w:szCs w:val="18"/>
                <w:highlight w:val="none"/>
              </w:rPr>
              <w:t>6、支持4KVLAN，支持支持Access、Trunk、Hybrid方式，支持基本QinQ和灵活QinQ，支持基于MAC的动态VLAN分配</w:t>
            </w:r>
            <w:r>
              <w:rPr>
                <w:rFonts w:hint="eastAsia" w:ascii="宋体" w:hAnsi="宋体" w:cs="宋体"/>
                <w:color w:val="000000"/>
                <w:kern w:val="0"/>
                <w:sz w:val="18"/>
                <w:szCs w:val="18"/>
                <w:highlight w:val="none"/>
              </w:rPr>
              <w:br w:type="textWrapping"/>
            </w:r>
            <w:r>
              <w:rPr>
                <w:rFonts w:hint="eastAsia" w:ascii="宋体" w:hAnsi="宋体" w:cs="宋体"/>
                <w:color w:val="000000"/>
                <w:kern w:val="0"/>
                <w:sz w:val="18"/>
                <w:szCs w:val="18"/>
                <w:highlight w:val="none"/>
              </w:rPr>
              <w:t>7、支持STP（IEEE802.1d），RSTP（IEEE802.1w）和MSTP（IEEE802.1s），支持ERPS以太环保护协议（G.8032）</w:t>
            </w:r>
            <w:r>
              <w:rPr>
                <w:rFonts w:hint="eastAsia" w:ascii="宋体" w:hAnsi="宋体" w:cs="宋体"/>
                <w:color w:val="000000"/>
                <w:kern w:val="0"/>
                <w:sz w:val="18"/>
                <w:szCs w:val="18"/>
                <w:highlight w:val="none"/>
              </w:rPr>
              <w:br w:type="textWrapping"/>
            </w:r>
            <w:r>
              <w:rPr>
                <w:rFonts w:hint="eastAsia" w:ascii="宋体" w:hAnsi="宋体" w:cs="宋体"/>
                <w:color w:val="000000"/>
                <w:kern w:val="0"/>
                <w:sz w:val="18"/>
                <w:szCs w:val="18"/>
                <w:highlight w:val="none"/>
              </w:rPr>
              <w:t>8、支持RIP、OSPF、ISIS、BGP等IPv4动态路由协议，支持RIPng、OSPFv3、ISISv6、BGP4+等IPv6动态路由协议，提供官方截图证明，加盖厂商印章</w:t>
            </w:r>
            <w:r>
              <w:rPr>
                <w:rFonts w:hint="eastAsia" w:ascii="宋体" w:hAnsi="宋体" w:cs="宋体"/>
                <w:color w:val="000000"/>
                <w:kern w:val="0"/>
                <w:sz w:val="18"/>
                <w:szCs w:val="18"/>
                <w:highlight w:val="none"/>
              </w:rPr>
              <w:br w:type="textWrapping"/>
            </w:r>
            <w:r>
              <w:rPr>
                <w:rFonts w:hint="eastAsia" w:ascii="宋体" w:hAnsi="宋体" w:cs="宋体"/>
                <w:color w:val="000000"/>
                <w:kern w:val="0"/>
                <w:sz w:val="18"/>
                <w:szCs w:val="18"/>
                <w:highlight w:val="none"/>
              </w:rPr>
              <w:t>9、支持智能iStack堆叠，将多台支持堆叠特性的设备组合在一起，从逻辑上虚拟为一台设备</w:t>
            </w:r>
            <w:r>
              <w:rPr>
                <w:rFonts w:hint="eastAsia" w:ascii="宋体" w:hAnsi="宋体" w:cs="宋体"/>
                <w:color w:val="000000"/>
                <w:kern w:val="0"/>
                <w:sz w:val="18"/>
                <w:szCs w:val="18"/>
                <w:highlight w:val="none"/>
              </w:rPr>
              <w:br w:type="textWrapping"/>
            </w:r>
            <w:r>
              <w:rPr>
                <w:rFonts w:hint="eastAsia" w:ascii="宋体" w:hAnsi="宋体" w:cs="宋体"/>
                <w:color w:val="000000"/>
                <w:kern w:val="0"/>
                <w:sz w:val="18"/>
                <w:szCs w:val="18"/>
                <w:highlight w:val="none"/>
              </w:rPr>
              <w:t>10、支持PIMDM、PIMSM、PIMSSM支持IGMPv1/v2/v3及IGMPv1/v2/v3Snooping、MLDSnooping和IGMPfast</w:t>
            </w:r>
            <w:r>
              <w:rPr>
                <w:rFonts w:hint="eastAsia" w:ascii="宋体" w:hAnsi="宋体" w:cs="宋体"/>
                <w:color w:val="000000"/>
                <w:kern w:val="0"/>
                <w:sz w:val="18"/>
                <w:szCs w:val="18"/>
                <w:highlight w:val="none"/>
              </w:rPr>
              <w:br w:type="textWrapping"/>
            </w:r>
            <w:r>
              <w:rPr>
                <w:rFonts w:hint="eastAsia" w:ascii="宋体" w:hAnsi="宋体" w:cs="宋体"/>
                <w:color w:val="000000"/>
                <w:kern w:val="0"/>
                <w:sz w:val="18"/>
                <w:szCs w:val="18"/>
                <w:highlight w:val="none"/>
              </w:rPr>
              <w:t>11、支持802.3az能效以太网EEE，节能环保</w:t>
            </w:r>
            <w:r>
              <w:rPr>
                <w:rFonts w:hint="eastAsia" w:ascii="宋体" w:hAnsi="宋体" w:cs="宋体"/>
                <w:color w:val="000000"/>
                <w:kern w:val="0"/>
                <w:sz w:val="18"/>
                <w:szCs w:val="18"/>
                <w:highlight w:val="none"/>
              </w:rPr>
              <w:br w:type="textWrapping"/>
            </w:r>
            <w:r>
              <w:rPr>
                <w:rFonts w:hint="eastAsia" w:ascii="宋体" w:hAnsi="宋体" w:cs="宋体"/>
                <w:color w:val="000000"/>
                <w:kern w:val="0"/>
                <w:sz w:val="18"/>
                <w:szCs w:val="18"/>
                <w:highlight w:val="none"/>
              </w:rPr>
              <w:t>12、支持SNMPv1/v2/v3,Telnet,RMON，HTTPS,Web等方式进行管理和维护</w:t>
            </w:r>
          </w:p>
          <w:p>
            <w:pPr>
              <w:widowControl/>
              <w:jc w:val="left"/>
              <w:textAlignment w:val="center"/>
              <w:rPr>
                <w:rFonts w:hint="eastAsia" w:ascii="宋体" w:hAnsi="宋体" w:cs="宋体"/>
                <w:color w:val="000000"/>
                <w:sz w:val="18"/>
                <w:szCs w:val="18"/>
                <w:highlight w:val="none"/>
              </w:rPr>
            </w:pP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台</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7</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高密度供电接入节点</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highlight w:val="none"/>
                <w:lang w:bidi="ar"/>
              </w:rPr>
            </w:pPr>
            <w:r>
              <w:rPr>
                <w:rFonts w:hint="eastAsia" w:ascii="宋体" w:hAnsi="宋体" w:cs="宋体"/>
                <w:color w:val="000000"/>
                <w:kern w:val="0"/>
                <w:sz w:val="18"/>
                <w:szCs w:val="18"/>
                <w:highlight w:val="none"/>
                <w:lang w:bidi="ar"/>
              </w:rPr>
              <w:t>1、交换容量≥396Gbps</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2、包转发率≥88Mpps</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3、≥24个千兆电口,4个2.5G光口</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4、支持POE/POE+，POE功率400W，支持永久POE功能，设备重启时（如软件版本升级时重启），对下挂PD设备供电不会中断，保证设备重启过程中PD不掉电</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5、支持MAC地址≥16K，提供官方截图证明，加盖厂商印章</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6、支持4KVLAN</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7、支持ERPS以太环保护协议（G.8032）；支持STP（IEEE802.1d），RSTP（IEEE802.1w）协议</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8、支持IGMPv1/v2/v3Snooping</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9、支持链路聚合</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10、支持云管理，支持WEB管理（HTTPS），支持SSHv2.0，支持系统日志、分级告警</w:t>
            </w:r>
          </w:p>
          <w:p>
            <w:pPr>
              <w:widowControl/>
              <w:jc w:val="left"/>
              <w:textAlignment w:val="center"/>
              <w:rPr>
                <w:rFonts w:hint="eastAsia" w:ascii="宋体" w:hAnsi="宋体" w:cs="宋体"/>
                <w:color w:val="000000"/>
                <w:sz w:val="18"/>
                <w:szCs w:val="18"/>
                <w:highlight w:val="none"/>
              </w:rPr>
            </w:pP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11</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台</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8</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聚合边缘交换单元</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18"/>
                <w:szCs w:val="18"/>
                <w:highlight w:val="none"/>
                <w:lang w:bidi="ar"/>
              </w:rPr>
            </w:pPr>
            <w:r>
              <w:rPr>
                <w:rFonts w:hint="eastAsia" w:ascii="宋体" w:hAnsi="宋体" w:cs="宋体"/>
                <w:color w:val="000000"/>
                <w:kern w:val="0"/>
                <w:sz w:val="18"/>
                <w:szCs w:val="18"/>
                <w:highlight w:val="none"/>
                <w:lang w:bidi="ar"/>
              </w:rPr>
              <w:t>1、交换容量≥396Gbps</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2、包转发率≥88Mpps</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3、≥24个千兆电口,4个2.5G光口</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4、支持MAC地址≥16K，提供官方截图证明，加盖厂商印章</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5、支持4KVLAN</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6、支持ERPS以太环保护协议（G.8032）；支持STP（IEEE802.1d），RSTP（IEEE802.1w）协议</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7、支持IGMPv1/v2/v3Snooping</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8、支持链路聚合</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9、支持云管理，支持WEB管理（HTTPS），支持SSHv2.0，支持系统日志、分级告警</w:t>
            </w:r>
          </w:p>
          <w:p>
            <w:pPr>
              <w:widowControl/>
              <w:jc w:val="left"/>
              <w:textAlignment w:val="center"/>
              <w:rPr>
                <w:rFonts w:hint="eastAsia" w:ascii="宋体" w:hAnsi="宋体" w:cs="宋体"/>
                <w:color w:val="000000"/>
                <w:sz w:val="18"/>
                <w:szCs w:val="18"/>
                <w:highlight w:val="none"/>
              </w:rPr>
            </w:pP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3</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台</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9</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射频管理系统</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1、最大管理AP数量≥128，默认支持128个AP授权管理许可</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2、最大接入用户数量≥2K</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3、转发能力≥10Gbps</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4、≥2个10GE光口,10个GE电口</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5、支持URL过滤、反病毒、入侵防御，检测和中止入侵行为（包括缓冲区溢出攻击、木马、蠕虫等），可提供官网彩页截图证明</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6、支持设备冗余备份功能，可支持1+1或N+1备份，并支持主备AC间配置同步</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7、支持广域逃生，本地转发模式下，AP与WLANAC连接中断后，原有用户在线、新用户正常接入，业务不中断</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8、支持标准网管协议SNMPv1/v2/v3，支持RMON</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9、支持对端发现，链路监控，故障通告，远端环回</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10、基于用户、AP、WLANAC三个维度的一键式智能诊断，支持实时与定时诊断，并且针对故障问题提供可行性处理建议</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11、支持整机软件加载、在线加载，支持BIOS在线升级，支持在线补丁</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台</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10</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嵌入式射频接入点</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1.兼容IEEE802.11a/b/g/n/ac/acwave2/ax标准，支持2.4GHz/5GHz双频段同时工作</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2、整机性能：2.975Gbps，支持总空间流数≥4</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3、标准的86式，体积小巧，便于客户灵活部署</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4、支持上行1x100M/1GE电口，下行1x100M/1GE电口</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5、内置智能天线</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6、最大发射功率≥20dBm，支持按1dB步长调整发射功率</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7、支持DTLS加密，保证接入设备的合法性，提高无线网络安全，提供官网彩页截图证明</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8、支持WPA3认证/加密方式</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9、工作温度0°C~40°C</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10、支持POE供电</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7</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个</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11</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高覆盖射频分布单元</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1、支持IEEE802.11be标准，兼容802.11a/b/g/n/ac/ax标准，支持2.4GHz/5GHz双频段同时工作</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2、整机性能：3.57Gbps，支持总空间流数≥4</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4、支持1个100M/1000M/2.5GE电接口</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5、支持蓝牙BLE5.4</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5、支持USB接口，可用于扩展外置物联网（支持ZigBee、RFID等协议），提供官网彩页截图证明</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6、内置智能天线</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7、最大发射功率≥23dBm，支持按1dB步长调整发射功率</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8、每射频最大SSID数量≥15</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9、支持的4096-QAM调制技术，兼容1024QAM/256QAM/64QAM/16QAM/8QAM/QPSK/BPSK</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10、支持WPA3认证/加密方式</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11、工作温度-10°C~50°C</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12、支持POE供电</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19</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个</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12</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短距光传输适配器</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1、GEeSFP封装光模块，传输速率1Gbit/s，接口类型1000BASE-SX；</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2、工作壳温-20°C～+85°C；</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3、中心波长850nm，传输距离550m。</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28</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对</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13</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高速多模光接口单元</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1、10GESFP+封装光模块，传输速率10Gbit/s，接口类型10GBASE-LR；</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2、工作壳温0°C～70°C；</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3、中心波长1310nm，传输距离10Km。</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10</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对</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14</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小型设备箱</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rPr>
              <w:t>≥</w:t>
            </w:r>
            <w:r>
              <w:rPr>
                <w:rFonts w:hint="eastAsia" w:ascii="宋体" w:hAnsi="宋体" w:cs="宋体"/>
                <w:color w:val="000000"/>
                <w:kern w:val="0"/>
                <w:sz w:val="18"/>
                <w:szCs w:val="18"/>
                <w:highlight w:val="none"/>
                <w:lang w:bidi="ar"/>
              </w:rPr>
              <w:t>600*590*6U 玻璃前门，钢板后门，标配，挂墙安装。</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2</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个</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15</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中型设备箱</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rPr>
              <w:t>≥</w:t>
            </w:r>
            <w:r>
              <w:rPr>
                <w:rFonts w:hint="eastAsia" w:ascii="宋体" w:hAnsi="宋体" w:cs="宋体"/>
                <w:color w:val="000000"/>
                <w:kern w:val="0"/>
                <w:sz w:val="18"/>
                <w:szCs w:val="18"/>
                <w:highlight w:val="none"/>
                <w:lang w:bidi="ar"/>
              </w:rPr>
              <w:t>600*600*24U玻璃前门，钢板后门，标配，落地安装。</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个</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16</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大型设备箱</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rPr>
              <w:t>≥</w:t>
            </w:r>
            <w:r>
              <w:rPr>
                <w:rFonts w:hint="eastAsia" w:ascii="宋体" w:hAnsi="宋体" w:cs="宋体"/>
                <w:color w:val="000000"/>
                <w:kern w:val="0"/>
                <w:sz w:val="18"/>
                <w:szCs w:val="18"/>
                <w:highlight w:val="none"/>
                <w:lang w:bidi="ar"/>
              </w:rPr>
              <w:t>600*600*42U玻璃前门，钢板后门，标配，落地安装。</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3</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个</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17</w:t>
            </w:r>
          </w:p>
        </w:tc>
        <w:tc>
          <w:tcPr>
            <w:tcW w:w="5432"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二、出入管控系统</w:t>
            </w:r>
          </w:p>
        </w:tc>
        <w:tc>
          <w:tcPr>
            <w:tcW w:w="690" w:type="dxa"/>
            <w:tcBorders>
              <w:top w:val="single" w:color="000000" w:sz="4" w:space="0"/>
              <w:left w:val="single" w:color="000000" w:sz="4" w:space="0"/>
              <w:bottom w:val="single" w:color="000000" w:sz="4" w:space="0"/>
              <w:right w:val="single" w:color="000000" w:sz="4" w:space="0"/>
            </w:tcBorders>
            <w:noWrap/>
          </w:tcPr>
          <w:p>
            <w:pPr>
              <w:jc w:val="center"/>
              <w:rPr>
                <w:rFonts w:hint="eastAsia" w:ascii="宋体" w:hAnsi="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noWrap/>
            <w:vAlign w:val="center"/>
          </w:tcPr>
          <w:p>
            <w:pPr>
              <w:jc w:val="left"/>
              <w:rPr>
                <w:rFonts w:hint="eastAsia" w:ascii="宋体" w:hAnsi="宋体" w:cs="宋体"/>
                <w:color w:val="000000"/>
                <w:sz w:val="18"/>
                <w:szCs w:val="18"/>
                <w:highlight w:val="none"/>
              </w:rPr>
            </w:pP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18</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智能身份识别终端</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屏幕参数：≥2.4寸LCD非触摸显示屏</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按键属性：实体按键</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认证方式：支持刷卡（IC卡（支持扇区加密）、手机NFC卡、CPU卡(仅卡号、不支持加密功能)、身份证卡序列号）、密码认证方式；</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存储容量：1000张卡、500个密码和10万条事件记录；</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硬件接口：LAN*1、电锁*1、门磁*1、开门按钮*1、USB*1、防拆*1</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通信方式：有线网络；</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使用环境：室内使用，不防水；</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安装方式：壁挂安装（标配挂板，适配86底盒）；</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工作电压：DC12V/1A（自带12V1A电源适配器）；</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功能介绍：</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认证结果显示可配：支持认证成功界面的“姓名”、“工号”信息可配置是否显示；且支持姓名和工号的脱敏显示；</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认证结果文本自定义：认证</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成功和认证失败显示的认证结果文本可以自定义；</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息屏操作：待机界面支持息屏操作，息屏时间支持自定义（默认60s，20s-999s可配）；</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门禁计划模板：支持255组计划模板管理，128个周计划，1024个假日计划；支持常开、常闭时段管理；</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组合认证：支持刷卡+密码的组合认证方式；</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多重认证：支持多个人员认证通过后才开门；</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报警功能：设备支持防拆报警、门被外力开起报警、胁迫卡和胁迫密码报警等；</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事件上传：在线状态下将设备认证结果实时上传给平台，支持断网续传功能，设备离线状态下产生事件在与平台连接后会重新上传；</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单机使用：设备可进行本地管理，支持本地注册卡片、查询、设置、管理设备参数等；</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WEB管理：支持Web端管理，可进行人员管理、参数配置、事件查询、系统维护等操作。</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14</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台</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19</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开关供能单元</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输入电压：100-240VAC；</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输出电压：12VDC；</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输出电流：4.17A；</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输出功率：50W；</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工作温度：-10℃-+50℃；</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工作湿度：＜95%；</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14</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个</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20</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数字身份凭证</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符合标准：ISO14443标准</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卡片容量：1Kbyte</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工作频率：13.56MHz</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主体材质：PVC</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28</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张</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21</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rPr>
              <w:t>凭证写入终端</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支持发卡类型：ID卡、IC卡、身份证物料卡号（序列号）、普通CPU卡、国密CPU卡；</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USB2.0接口；</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具有2个Sim卡尺寸的PSAM卡座；</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工作电压：DC5V；</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工作电流：0.2A；</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个</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22</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单点电磁闭锁</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铝外壳采用高强度合金材料，阳极硬化处理；</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最大静态直线拉力：230kg±10%；</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断电开锁，满足消防要求；</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指示灯：红灯为开锁状态，绿灯为上锁状态；</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支持锁状态侦测信号(门磁)输出：NO/NC/COM接点；</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工作电压：12V/470mA或24V/235mA，可自行设定工作电压，出厂默认为DC12V；</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防残磁设计，选用防磨损材料；</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磁力锁无机械故障，完全采用电磁吸力工作；</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加大电磁吸力，专业设计、双重锁体绝缘处理；</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使用环境：室内（不防水）；</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适用门型：木门、玻璃门、金属门、防火门。</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10</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个</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23</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单点锁具定位基座</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选用材料：高强铝合金，表面喷砂</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外壳处理：阳极硬化电镀处理</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适用门型：木门、金属门</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开门方式：90度内开式门</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L型支架尺寸：长250*宽46*厚30(mm)</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Z型支架尺寸：长180*宽47*厚47(mm)</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10</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个</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24</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双点锁具定位基座</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选用材料：高强铝合金，表面喷砂</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外壳处理：阳极硬化电镀处理</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适用门型：木门、金属门</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开门方式：90度内开式门</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4</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个</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25</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双点电磁闭锁</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铝外壳采用高强度合金材料，阳极硬化处理；</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最大静态直线拉力：230kg±10%*2；</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断电开锁，满足消防要求；</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指示灯：红灯为开锁状态，绿灯为上锁状态；</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支持锁状态侦测信号(门磁)输出：NO/NC/COM接点；</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工作电压：12V/940mA或24V/470mA，可自行设定工作电压，出厂默认为DC12V；</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防残磁设计，选用防磨损材料；</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磁力锁无机械故障，完全采用电磁吸力工作；</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加大电磁吸力，专业设计、双重锁体绝缘处理；</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使用环境：室内（不防水）；</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适用门型：木门、玻璃门、金属门、防火门。</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注意：左右两个进线孔都要使用</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4</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个</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26</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物理授权触发装置</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结构：塑料面板；</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性能：最大耐电流1.25A，电压250V；</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输出：常开；</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类型：适合埋入式电器盒使用；</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14</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个</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27</w:t>
            </w:r>
          </w:p>
        </w:tc>
        <w:tc>
          <w:tcPr>
            <w:tcW w:w="5432"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三、扩展显示系统</w:t>
            </w:r>
          </w:p>
        </w:tc>
        <w:tc>
          <w:tcPr>
            <w:tcW w:w="690" w:type="dxa"/>
            <w:tcBorders>
              <w:top w:val="single" w:color="000000" w:sz="4" w:space="0"/>
              <w:left w:val="single" w:color="000000" w:sz="4" w:space="0"/>
              <w:bottom w:val="single" w:color="000000" w:sz="4" w:space="0"/>
              <w:right w:val="single" w:color="000000" w:sz="4" w:space="0"/>
            </w:tcBorders>
            <w:noWrap/>
          </w:tcPr>
          <w:p>
            <w:pPr>
              <w:jc w:val="center"/>
              <w:rPr>
                <w:rFonts w:hint="eastAsia" w:ascii="宋体" w:hAnsi="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noWrap/>
            <w:vAlign w:val="center"/>
          </w:tcPr>
          <w:p>
            <w:pPr>
              <w:jc w:val="left"/>
              <w:rPr>
                <w:rFonts w:hint="eastAsia" w:ascii="宋体" w:hAnsi="宋体" w:cs="宋体"/>
                <w:color w:val="000000"/>
                <w:sz w:val="18"/>
                <w:szCs w:val="18"/>
                <w:highlight w:val="none"/>
              </w:rPr>
            </w:pP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28</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高分辨率视觉终端</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1、显示尺寸：≥65英寸</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2、亮度：≥200nits</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3、分辨率：≥3840*2160</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4、存储容量：≥32G</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5、屏幕刷新率：≥60Hz</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6、支持投屏功能</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13</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台</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29</w:t>
            </w:r>
          </w:p>
        </w:tc>
        <w:tc>
          <w:tcPr>
            <w:tcW w:w="5432"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四、青年讲堂显示系统（2间）</w:t>
            </w:r>
          </w:p>
        </w:tc>
        <w:tc>
          <w:tcPr>
            <w:tcW w:w="690" w:type="dxa"/>
            <w:tcBorders>
              <w:top w:val="single" w:color="000000" w:sz="4" w:space="0"/>
              <w:left w:val="single" w:color="000000" w:sz="4" w:space="0"/>
              <w:bottom w:val="single" w:color="000000" w:sz="4" w:space="0"/>
              <w:right w:val="single" w:color="000000" w:sz="4" w:space="0"/>
            </w:tcBorders>
            <w:noWrap/>
          </w:tcPr>
          <w:p>
            <w:pPr>
              <w:jc w:val="center"/>
              <w:rPr>
                <w:rFonts w:hint="eastAsia" w:ascii="宋体" w:hAnsi="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noWrap/>
            <w:vAlign w:val="center"/>
          </w:tcPr>
          <w:p>
            <w:pPr>
              <w:jc w:val="left"/>
              <w:rPr>
                <w:rFonts w:hint="eastAsia" w:ascii="宋体" w:hAnsi="宋体" w:cs="宋体"/>
                <w:color w:val="000000"/>
                <w:sz w:val="18"/>
                <w:szCs w:val="18"/>
                <w:highlight w:val="none"/>
              </w:rPr>
            </w:pP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30</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高密度室内显像设备</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长4.16*宽1.76</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像素结构SMD1010三合一</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像素间距（mm）</w:t>
            </w:r>
            <w:r>
              <w:rPr>
                <w:rFonts w:hint="eastAsia" w:ascii="宋体" w:hAnsi="宋体" w:cs="宋体"/>
                <w:color w:val="000000"/>
                <w:kern w:val="0"/>
                <w:sz w:val="18"/>
                <w:szCs w:val="18"/>
                <w:highlight w:val="none"/>
                <w:lang w:bidi="ar"/>
              </w:rPr>
              <w:t>≤</w:t>
            </w:r>
            <w:r>
              <w:rPr>
                <w:rFonts w:hint="eastAsia" w:ascii="宋体" w:hAnsi="宋体" w:cs="宋体"/>
                <w:color w:val="000000"/>
                <w:kern w:val="0"/>
                <w:sz w:val="18"/>
                <w:szCs w:val="18"/>
                <w:highlight w:val="none"/>
                <w:lang w:bidi="ar"/>
              </w:rPr>
              <w:t>1.25</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模组分辨率（W×H）256×128=32768</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模组尺寸（mm）</w:t>
            </w:r>
            <w:r>
              <w:rPr>
                <w:rFonts w:hint="eastAsia" w:ascii="宋体" w:hAnsi="宋体" w:cs="宋体"/>
                <w:color w:val="000000"/>
                <w:kern w:val="0"/>
                <w:sz w:val="18"/>
                <w:szCs w:val="18"/>
                <w:highlight w:val="none"/>
                <w:lang w:bidi="ar"/>
              </w:rPr>
              <w:t>≤</w:t>
            </w:r>
            <w:r>
              <w:rPr>
                <w:rFonts w:hint="eastAsia" w:ascii="宋体" w:hAnsi="宋体" w:cs="宋体"/>
                <w:color w:val="000000"/>
                <w:kern w:val="0"/>
                <w:sz w:val="18"/>
                <w:szCs w:val="18"/>
                <w:highlight w:val="none"/>
                <w:lang w:bidi="ar"/>
              </w:rPr>
              <w:t>320×160×16.6</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模组输入电压（V）4.5±0.1（可5V）</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模组最大电流（A）≤5</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模组最大功耗（W）≤25</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光学参数单点亮度校正有</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单点色度校正有</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白平衡亮度（nits）≥700</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色温（K）900—18000可调</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视角（水平/垂直°）</w:t>
            </w:r>
            <w:r>
              <w:rPr>
                <w:rFonts w:hint="eastAsia" w:ascii="宋体" w:hAnsi="宋体" w:cs="宋体"/>
                <w:color w:val="000000"/>
                <w:kern w:val="0"/>
                <w:sz w:val="18"/>
                <w:szCs w:val="18"/>
                <w:highlight w:val="none"/>
                <w:lang w:bidi="ar"/>
              </w:rPr>
              <w:t>≥</w:t>
            </w:r>
            <w:r>
              <w:rPr>
                <w:rFonts w:hint="eastAsia" w:ascii="宋体" w:hAnsi="宋体" w:cs="宋体"/>
                <w:color w:val="000000"/>
                <w:kern w:val="0"/>
                <w:sz w:val="18"/>
                <w:szCs w:val="18"/>
                <w:highlight w:val="none"/>
                <w:lang w:bidi="ar"/>
              </w:rPr>
              <w:t>175/175</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亮度/色度均匀性≥97%</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对比度10000:1</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电气参数最大功耗（W/㎡）400</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平均功耗（W/㎡）200</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供电要求AC186~264V，频率47-63（Hz）</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性能参数换帧频率（Hz）50&amp;60</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驱动方式恒流驱动，64扫</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灰度级别16384</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刷新率（Hz）</w:t>
            </w:r>
            <w:r>
              <w:rPr>
                <w:rFonts w:hint="eastAsia" w:ascii="宋体" w:hAnsi="宋体" w:cs="宋体"/>
                <w:color w:val="000000"/>
                <w:kern w:val="0"/>
                <w:sz w:val="18"/>
                <w:szCs w:val="18"/>
                <w:highlight w:val="none"/>
                <w:lang w:bidi="ar"/>
              </w:rPr>
              <w:t>≥</w:t>
            </w:r>
            <w:r>
              <w:rPr>
                <w:rFonts w:hint="eastAsia" w:ascii="宋体" w:hAnsi="宋体" w:cs="宋体"/>
                <w:color w:val="000000"/>
                <w:kern w:val="0"/>
                <w:sz w:val="18"/>
                <w:szCs w:val="18"/>
                <w:highlight w:val="none"/>
                <w:lang w:bidi="ar"/>
              </w:rPr>
              <w:t>3840Hz</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颜色处理位数14bit</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寿命典型值（hrs）</w:t>
            </w:r>
            <w:r>
              <w:rPr>
                <w:rFonts w:hint="eastAsia" w:ascii="宋体" w:hAnsi="宋体" w:cs="宋体"/>
                <w:color w:val="000000"/>
                <w:kern w:val="0"/>
                <w:sz w:val="18"/>
                <w:szCs w:val="18"/>
                <w:highlight w:val="none"/>
                <w:lang w:bidi="ar"/>
              </w:rPr>
              <w:t>≥</w:t>
            </w:r>
            <w:r>
              <w:rPr>
                <w:rFonts w:hint="eastAsia" w:ascii="宋体" w:hAnsi="宋体" w:cs="宋体"/>
                <w:color w:val="000000"/>
                <w:kern w:val="0"/>
                <w:sz w:val="18"/>
                <w:szCs w:val="18"/>
                <w:highlight w:val="none"/>
                <w:lang w:bidi="ar"/>
              </w:rPr>
              <w:t>100,000H</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工作温/湿度范围（℃/RH）-20℃–40℃/10%-65%RH（无结露）</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存储温/湿度范围（℃/RH）-10℃–40℃/10%-60%RH（无结露）</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14.64</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平方</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31</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视频处理器</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1.支持采集能力800*600~4096*2160@60Hz</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2.支持带载能力≥520万像素，最宽8192，最高4320</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3.支持单网口最大带载65万像素</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4.支持点对点和全屏缩放</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5.支持多图层，同时最多支持2个视频源</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6.支持亮度手动和自动调节</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7.支持显示纯色、线条、灰阶的测试图像，以及黑屏、锁定画面等功能</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8.支持输出网口冗余配置，实现主备切换</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9.支持电压、温度监测，及误码率检测</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10.支持多台间同步</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11.支持网络接口≥9个，≥1个百兆网口，连接PC通讯，实现配置和升级。≥8个千兆网口，用于连接接收卡</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12.支持≥3个HDMI接口，≥1个DP接口，≥1个RS-232接口，≥1个RS-485接口，≥1个光探头接口，≥1个USB接口，1个3DSYNC接口，1个3.5mm音频输出接口</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▲13.支持手动和自动智能除湿，除湿过程中有明确的除湿进度信息；（提供有效检测报告复印件加盖原厂公章或投标专用章）</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14.支持智能节能功能，自动检测当前环境是否有人，无人时自动调暗屏幕画面或黑屏；支持同时接入3个以上人体检测传感器；支持设置从无人到熄屏的时间；支持防动物误触发；支持无视频信号输入时，自动黑屏。（提供有效检测报告复印件加盖原厂公章或投标专用章）</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15.支持智能火情预警功能，自动检测当前环境是否存在高温火点，当出现火情时，自动断开大屏电源，防止火情随着电流快速蔓延；支持3个以上火情检测传感器。（提供有效检测报告复印件加盖原厂公章或投标专用章）</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2</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台</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32</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接收卡</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单卡带载512×512像素；</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支持逐点亮色度校正；</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支持接收卡预存画面设置；</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支持温度、电压、网线通讯和视频源信号状态检测；</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集成</w:t>
            </w:r>
            <w:r>
              <w:rPr>
                <w:rFonts w:hint="eastAsia" w:ascii="宋体" w:hAnsi="宋体" w:cs="宋体"/>
                <w:color w:val="000000"/>
                <w:kern w:val="0"/>
                <w:sz w:val="18"/>
                <w:szCs w:val="18"/>
                <w:highlight w:val="none"/>
                <w:lang w:bidi="ar"/>
              </w:rPr>
              <w:t>≥</w:t>
            </w:r>
            <w:r>
              <w:rPr>
                <w:rFonts w:hint="eastAsia" w:ascii="宋体" w:hAnsi="宋体" w:cs="宋体"/>
                <w:color w:val="000000"/>
                <w:kern w:val="0"/>
                <w:sz w:val="18"/>
                <w:szCs w:val="18"/>
                <w:highlight w:val="none"/>
                <w:lang w:bidi="ar"/>
              </w:rPr>
              <w:t>8个HUB320接口；</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支持程序回读；</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采用千兆网口，可以连接PC端；</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支持画面90°旋转；</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56</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张</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33</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显像设备配套电源管理器</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10KW，屏体和设备电源供应及电源管理《380V》</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2</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台</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34</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屏体线缆</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控制室到屏体超五类8芯网线8+3条</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配电房至LED屏控制箱体1组380V 10平方国标电缆</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电箱下路1组220V 4平方国标电缆</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2</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套</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35</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屏体钢结构</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工程结构:用于安装支撑屏体的钢结构体费用及安装</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屏幕包边:用于屏体四周包边装饰，正常2-5cm</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15.84</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平方</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36</w:t>
            </w:r>
          </w:p>
        </w:tc>
        <w:tc>
          <w:tcPr>
            <w:tcW w:w="5432"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五、青年讲堂扩声系统（2间）</w:t>
            </w:r>
          </w:p>
        </w:tc>
        <w:tc>
          <w:tcPr>
            <w:tcW w:w="690" w:type="dxa"/>
            <w:tcBorders>
              <w:top w:val="single" w:color="000000" w:sz="4" w:space="0"/>
              <w:left w:val="single" w:color="000000" w:sz="4" w:space="0"/>
              <w:bottom w:val="single" w:color="000000" w:sz="4" w:space="0"/>
              <w:right w:val="single" w:color="000000" w:sz="4" w:space="0"/>
            </w:tcBorders>
            <w:noWrap/>
          </w:tcPr>
          <w:p>
            <w:pPr>
              <w:jc w:val="center"/>
              <w:rPr>
                <w:rFonts w:hint="eastAsia" w:ascii="宋体" w:hAnsi="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noWrap/>
            <w:vAlign w:val="center"/>
          </w:tcPr>
          <w:p>
            <w:pPr>
              <w:jc w:val="left"/>
              <w:rPr>
                <w:rFonts w:hint="eastAsia" w:ascii="宋体" w:hAnsi="宋体" w:cs="宋体"/>
                <w:color w:val="000000"/>
                <w:sz w:val="18"/>
                <w:szCs w:val="18"/>
                <w:highlight w:val="none"/>
              </w:rPr>
            </w:pP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37</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专业功放</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产品概述：</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新一代专业数字功放。具有高效、稳定、音质佳的特点，在电源技术、调制技术、控制技术上突破了传统技术，使整体性能有了本质的提升。可变震荡调制技术的应用、多重反馈调控技术以及创新的输出功率控制技术，让功放拥有超过95%超高效率和出色的稳定性；专为大型扩声、巡回演出多功能厅等量身设计。</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功能特点：</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1.采用高效功率放大电路，输出可桥接8欧。</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2.电源采用开关电源供电，具有过压保护功能。</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3.1U机箱设计，体质小，重量轻。</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4.功放具有压限，过温保护，过流保护，输出直流保护，输出短路保护等功能。</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5.支持XLR平衡式输入，SPEA</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KON音响插座输出。</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6.MONO/STEREO/BRIDGE三种模式可选择切换。</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7.常规带载8</w:t>
            </w:r>
            <w:r>
              <w:rPr>
                <w:rFonts w:ascii="Calibri" w:hAnsi="Calibri" w:cs="Calibri"/>
                <w:color w:val="000000"/>
                <w:kern w:val="0"/>
                <w:sz w:val="18"/>
                <w:szCs w:val="18"/>
                <w:highlight w:val="none"/>
                <w:lang w:bidi="ar"/>
              </w:rPr>
              <w:t>Ω</w:t>
            </w:r>
            <w:r>
              <w:rPr>
                <w:rFonts w:hint="eastAsia" w:ascii="宋体" w:hAnsi="宋体" w:cs="宋体"/>
                <w:color w:val="000000"/>
                <w:kern w:val="0"/>
                <w:sz w:val="18"/>
                <w:szCs w:val="18"/>
                <w:highlight w:val="none"/>
                <w:lang w:bidi="ar"/>
              </w:rPr>
              <w:t>，最低带载4</w:t>
            </w:r>
            <w:r>
              <w:rPr>
                <w:rFonts w:ascii="Calibri" w:hAnsi="Calibri" w:cs="Calibri"/>
                <w:color w:val="000000"/>
                <w:kern w:val="0"/>
                <w:sz w:val="18"/>
                <w:szCs w:val="18"/>
                <w:highlight w:val="none"/>
                <w:lang w:bidi="ar"/>
              </w:rPr>
              <w:t>Ω</w:t>
            </w:r>
            <w:r>
              <w:rPr>
                <w:rFonts w:hint="eastAsia" w:ascii="宋体" w:hAnsi="宋体" w:cs="宋体"/>
                <w:color w:val="000000"/>
                <w:kern w:val="0"/>
                <w:sz w:val="18"/>
                <w:szCs w:val="18"/>
                <w:highlight w:val="none"/>
                <w:lang w:bidi="ar"/>
              </w:rPr>
              <w:t>。</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技术参数：</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1.输出功率：立体声8</w:t>
            </w:r>
            <w:r>
              <w:rPr>
                <w:rFonts w:ascii="Calibri" w:hAnsi="Calibri" w:cs="Calibri"/>
                <w:color w:val="000000"/>
                <w:kern w:val="0"/>
                <w:sz w:val="18"/>
                <w:szCs w:val="18"/>
                <w:highlight w:val="none"/>
                <w:lang w:bidi="ar"/>
              </w:rPr>
              <w:t>Ω</w:t>
            </w:r>
            <w:r>
              <w:rPr>
                <w:rFonts w:hint="eastAsia" w:ascii="宋体" w:hAnsi="宋体" w:cs="宋体"/>
                <w:color w:val="000000"/>
                <w:kern w:val="0"/>
                <w:sz w:val="18"/>
                <w:szCs w:val="18"/>
                <w:highlight w:val="none"/>
                <w:lang w:bidi="ar"/>
              </w:rPr>
              <w:t>：350W×4；立体声4</w:t>
            </w:r>
            <w:r>
              <w:rPr>
                <w:rFonts w:ascii="Calibri" w:hAnsi="Calibri" w:cs="Calibri"/>
                <w:color w:val="000000"/>
                <w:kern w:val="0"/>
                <w:sz w:val="18"/>
                <w:szCs w:val="18"/>
                <w:highlight w:val="none"/>
                <w:lang w:bidi="ar"/>
              </w:rPr>
              <w:t>Ω</w:t>
            </w:r>
            <w:r>
              <w:rPr>
                <w:rFonts w:hint="eastAsia" w:ascii="宋体" w:hAnsi="宋体" w:cs="宋体"/>
                <w:color w:val="000000"/>
                <w:kern w:val="0"/>
                <w:sz w:val="18"/>
                <w:szCs w:val="18"/>
                <w:highlight w:val="none"/>
                <w:lang w:bidi="ar"/>
              </w:rPr>
              <w:t>：580W×4；桥接8</w:t>
            </w:r>
            <w:r>
              <w:rPr>
                <w:rFonts w:ascii="Calibri" w:hAnsi="Calibri" w:cs="Calibri"/>
                <w:color w:val="000000"/>
                <w:kern w:val="0"/>
                <w:sz w:val="18"/>
                <w:szCs w:val="18"/>
                <w:highlight w:val="none"/>
                <w:lang w:bidi="ar"/>
              </w:rPr>
              <w:t>Ω</w:t>
            </w:r>
            <w:r>
              <w:rPr>
                <w:rFonts w:hint="eastAsia" w:ascii="宋体" w:hAnsi="宋体" w:cs="宋体"/>
                <w:color w:val="000000"/>
                <w:kern w:val="0"/>
                <w:sz w:val="18"/>
                <w:szCs w:val="18"/>
                <w:highlight w:val="none"/>
                <w:lang w:bidi="ar"/>
              </w:rPr>
              <w:t>：1100W×2</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2.输入灵敏度：2.2dBu(1V)</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3.输入阻抗：10K</w:t>
            </w:r>
            <w:r>
              <w:rPr>
                <w:rFonts w:ascii="Calibri" w:hAnsi="Calibri" w:cs="Calibri"/>
                <w:color w:val="000000"/>
                <w:kern w:val="0"/>
                <w:sz w:val="18"/>
                <w:szCs w:val="18"/>
                <w:highlight w:val="none"/>
                <w:lang w:bidi="ar"/>
              </w:rPr>
              <w:t>Ω</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4.频率响应(@1W功率下)：20Hz-20KHz/±1dB@8</w:t>
            </w:r>
            <w:r>
              <w:rPr>
                <w:rFonts w:ascii="Calibri" w:hAnsi="Calibri" w:cs="Calibri"/>
                <w:color w:val="000000"/>
                <w:kern w:val="0"/>
                <w:sz w:val="18"/>
                <w:szCs w:val="18"/>
                <w:highlight w:val="none"/>
                <w:lang w:bidi="ar"/>
              </w:rPr>
              <w:t>Ω</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5.THD+N(@1/8功率下)：≤0.01%</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6.分离度(@1KHz)：≥80dB</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7.阻尼系数(@1KHz)：≥200@8ohms</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8.信噪比（A计权）：≥93dB</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9.输入电压：220V~230V(50Hz)</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10.整机功耗：450W</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说明：</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输出功率：是按CEA-2006-B/CEA-490-A标准使用20ms脉冲1kHz正弦波在1%总谐波失真下测量得出</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整机功耗：依据GB4943.1-2022测试手法：在1kHz正弦波额定负载1/8功率条件下测得</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3</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台</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38</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专业音箱</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适用范围</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1.与专业功放、前级效果处理器配套使用，组成一套完美音效、人声表现突出，适用于剧场，高档会议室及多功能厅等，与超低音搭配可做高性能卫星箱使用。</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功能特点</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1.箱体采用15mm夹板制作，质量轻，耐磨喷漆处理，外贴防尘网棉。</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2.精确设计的分频器优化人声部分的中频表现力。</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3.多个螺丝吊装孔位，多种安装方式。</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技术参数</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1.阻抗：8Ω</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2.频响：65Hz~20KHz</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3.额定功率：</w:t>
            </w:r>
            <w:r>
              <w:rPr>
                <w:rFonts w:hint="eastAsia" w:ascii="宋体" w:hAnsi="宋体" w:cs="宋体"/>
                <w:color w:val="000000"/>
                <w:kern w:val="0"/>
                <w:sz w:val="18"/>
                <w:szCs w:val="18"/>
                <w:highlight w:val="none"/>
                <w:lang w:bidi="ar"/>
              </w:rPr>
              <w:t>≥</w:t>
            </w:r>
            <w:r>
              <w:rPr>
                <w:rFonts w:hint="eastAsia" w:ascii="宋体" w:hAnsi="宋体" w:cs="宋体"/>
                <w:color w:val="000000"/>
                <w:kern w:val="0"/>
                <w:sz w:val="18"/>
                <w:szCs w:val="18"/>
                <w:highlight w:val="none"/>
                <w:lang w:bidi="ar"/>
              </w:rPr>
              <w:t>150W</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4.峰值功率：</w:t>
            </w:r>
            <w:r>
              <w:rPr>
                <w:rFonts w:hint="eastAsia" w:ascii="宋体" w:hAnsi="宋体" w:cs="宋体"/>
                <w:color w:val="000000"/>
                <w:kern w:val="0"/>
                <w:sz w:val="18"/>
                <w:szCs w:val="18"/>
                <w:highlight w:val="none"/>
                <w:lang w:bidi="ar"/>
              </w:rPr>
              <w:t>≥</w:t>
            </w:r>
            <w:r>
              <w:rPr>
                <w:rFonts w:hint="eastAsia" w:ascii="宋体" w:hAnsi="宋体" w:cs="宋体"/>
                <w:color w:val="000000"/>
                <w:kern w:val="0"/>
                <w:sz w:val="18"/>
                <w:szCs w:val="18"/>
                <w:highlight w:val="none"/>
                <w:lang w:bidi="ar"/>
              </w:rPr>
              <w:t>600W</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5.灵敏度：95dB/W/M</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6.最大声压级（额定/峰值）：117dB/123dB</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7.覆盖角度：(H)80°(V)60°</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8.高音：</w:t>
            </w:r>
            <w:r>
              <w:rPr>
                <w:rFonts w:hint="eastAsia" w:ascii="宋体" w:hAnsi="宋体" w:cs="宋体"/>
                <w:color w:val="000000"/>
                <w:kern w:val="0"/>
                <w:sz w:val="18"/>
                <w:szCs w:val="18"/>
                <w:highlight w:val="none"/>
                <w:lang w:bidi="ar"/>
              </w:rPr>
              <w:t>≥</w:t>
            </w:r>
            <w:r>
              <w:rPr>
                <w:rFonts w:hint="eastAsia" w:ascii="宋体" w:hAnsi="宋体" w:cs="宋体"/>
                <w:color w:val="000000"/>
                <w:kern w:val="0"/>
                <w:sz w:val="18"/>
                <w:szCs w:val="18"/>
                <w:highlight w:val="none"/>
                <w:lang w:bidi="ar"/>
              </w:rPr>
              <w:t>3"锥形高音单元×1</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9.低音：</w:t>
            </w:r>
            <w:r>
              <w:rPr>
                <w:rFonts w:hint="eastAsia" w:ascii="宋体" w:hAnsi="宋体" w:cs="宋体"/>
                <w:color w:val="000000"/>
                <w:kern w:val="0"/>
                <w:sz w:val="18"/>
                <w:szCs w:val="18"/>
                <w:highlight w:val="none"/>
                <w:lang w:bidi="ar"/>
              </w:rPr>
              <w:t>≥</w:t>
            </w:r>
            <w:r>
              <w:rPr>
                <w:rFonts w:hint="eastAsia" w:ascii="宋体" w:hAnsi="宋体" w:cs="宋体"/>
                <w:color w:val="000000"/>
                <w:kern w:val="0"/>
                <w:sz w:val="18"/>
                <w:szCs w:val="18"/>
                <w:highlight w:val="none"/>
                <w:lang w:bidi="ar"/>
              </w:rPr>
              <w:t>8"低音×1</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12</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只</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39</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支架</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固定面板孔位尺寸（长*宽）：140mm*65mm</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箱体固定面板孔位尺寸（长*宽）：128mm*70mm</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设备面板尺寸：160mm*90mm</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类型：音箱支架</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12</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只</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40</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调音台</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功能特点：</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1.专业型紧凑式调音台,超低噪声离散式麦克风前置放大器和+48V幻象电源，功能强大齐全，音质动听。</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2.具有8路Mic输入接口兼容6路线路输入接口，CH1-CH6通道话筒输入接口带48V幻象开关独立控制。</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3.具有2组立体声输入，4路RCA输入，可连接立体设备。</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4.具有1组主混音断点插入、6个断点插入，可连接额外的</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处理器（压缩器、均衡器。限幅器等）。</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5.具有13个60mm行程的高精密碳膜推子。</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6.内置蓝牙MP3播放器，支持1路USB接口、外接U盘和连接手机蓝牙播放音乐。</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7.内置USB声卡，连接电脑进行音乐播放和声音录音。</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8.内置24位DSP效果器，具有100种预设效果。</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9.具有1个USB供电接口，可连接USB照明灯。</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10.支持7段图示均衡推子调节。</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11.具有分辨率128*64的点阵液晶屏，用户可通过显示屏查看蓝牙、MP3等多媒体信息。</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技术参数：</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1.麦克风输入：</w:t>
            </w:r>
            <w:r>
              <w:rPr>
                <w:rFonts w:hint="eastAsia" w:ascii="宋体" w:hAnsi="宋体" w:cs="宋体"/>
                <w:color w:val="000000"/>
                <w:kern w:val="0"/>
                <w:sz w:val="18"/>
                <w:szCs w:val="18"/>
                <w:highlight w:val="none"/>
                <w:lang w:bidi="ar"/>
              </w:rPr>
              <w:t>≥</w:t>
            </w:r>
            <w:r>
              <w:rPr>
                <w:rFonts w:hint="eastAsia" w:ascii="宋体" w:hAnsi="宋体" w:cs="宋体"/>
                <w:color w:val="000000"/>
                <w:kern w:val="0"/>
                <w:sz w:val="18"/>
                <w:szCs w:val="18"/>
                <w:highlight w:val="none"/>
                <w:lang w:bidi="ar"/>
              </w:rPr>
              <w:t>8路（8个XLR接口）</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2.线路输入：</w:t>
            </w:r>
            <w:r>
              <w:rPr>
                <w:rFonts w:hint="eastAsia" w:ascii="宋体" w:hAnsi="宋体" w:cs="宋体"/>
                <w:color w:val="000000"/>
                <w:kern w:val="0"/>
                <w:sz w:val="18"/>
                <w:szCs w:val="18"/>
                <w:highlight w:val="none"/>
                <w:lang w:bidi="ar"/>
              </w:rPr>
              <w:t>≥</w:t>
            </w:r>
            <w:r>
              <w:rPr>
                <w:rFonts w:hint="eastAsia" w:ascii="宋体" w:hAnsi="宋体" w:cs="宋体"/>
                <w:color w:val="000000"/>
                <w:kern w:val="0"/>
                <w:sz w:val="18"/>
                <w:szCs w:val="18"/>
                <w:highlight w:val="none"/>
                <w:lang w:bidi="ar"/>
              </w:rPr>
              <w:t>6路单插单声道/立体声自动切换混合接口</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3.立体声输入通道：2组（4路单声道）、4路RCA输入</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4.输出通道：</w:t>
            </w:r>
            <w:r>
              <w:rPr>
                <w:rFonts w:hint="eastAsia" w:ascii="宋体" w:hAnsi="宋体" w:cs="宋体"/>
                <w:color w:val="000000"/>
                <w:kern w:val="0"/>
                <w:sz w:val="18"/>
                <w:szCs w:val="18"/>
                <w:highlight w:val="none"/>
                <w:lang w:bidi="ar"/>
              </w:rPr>
              <w:t>≥</w:t>
            </w:r>
            <w:r>
              <w:rPr>
                <w:rFonts w:hint="eastAsia" w:ascii="宋体" w:hAnsi="宋体" w:cs="宋体"/>
                <w:color w:val="000000"/>
                <w:kern w:val="0"/>
                <w:sz w:val="18"/>
                <w:szCs w:val="18"/>
                <w:highlight w:val="none"/>
                <w:lang w:bidi="ar"/>
              </w:rPr>
              <w:t>2组立体声输出、4路编组输出、4路辅助输出、1个耳机监听输出、1个接口双路效果输出、1组控制室输出</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5.INSERT：</w:t>
            </w:r>
            <w:r>
              <w:rPr>
                <w:rFonts w:hint="eastAsia" w:ascii="宋体" w:hAnsi="宋体" w:cs="宋体"/>
                <w:color w:val="000000"/>
                <w:kern w:val="0"/>
                <w:sz w:val="18"/>
                <w:szCs w:val="18"/>
                <w:highlight w:val="none"/>
                <w:lang w:bidi="ar"/>
              </w:rPr>
              <w:t>≥</w:t>
            </w:r>
            <w:r>
              <w:rPr>
                <w:rFonts w:hint="eastAsia" w:ascii="宋体" w:hAnsi="宋体" w:cs="宋体"/>
                <w:color w:val="000000"/>
                <w:kern w:val="0"/>
                <w:sz w:val="18"/>
                <w:szCs w:val="18"/>
                <w:highlight w:val="none"/>
                <w:lang w:bidi="ar"/>
              </w:rPr>
              <w:t>1组主混音断点插入、6个断点插入</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6.USB接口：外接U盘播放音乐</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7.无线连接：内置蓝牙无线收发器，可连接手机进行播放音乐</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8.效果器：24位DSP效果器（包括人声、小房子、大厅、回声、回声+回响、盘子、声乐板、合唱GTR，旋转GTR、颤音GTR类型），100种预设效果</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9.USB声卡端口：支持电脑播放/录音，通过CH11/12通道回放</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10.幻象电源：CH1-CH6每路通道带48V幻象开关独立控制</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11.频率响应：20Hz-20kHz，±2dB</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12.失真度：&lt;0.03%at+0dB,22Hz-22KHzA-weighted</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13.灵敏度：+20dB~-30dB</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14.信噪比：&lt;-100dBrA-weighted</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15.单声道均衡：高频：+/-15dB@12KHz；中频：+/-15dB@100Hz-8KHz；低频：+/-15dB@80Hz</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16.立体声均衡：高频：+/-15dB@12KHz；中频：+/-15dB@3KHzor+/-15dB@500Hz；低频：+/-15dB@80Hz</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17.主混音串音：&lt;-80dB@0dB20Hz-22KHzA-weighted，主输出：0dB,其他通道：最小</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18.电平表：2x12-点距LED电平指示表</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19.供电电压：AC100-240V50/60Hz</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20.额定功率：30W</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2</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台</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41</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音频处理器</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后面板具有≥12路线路音频凤凰端子平衡输入接口（具有48V幻象供电）、≥12路线路音频凤凰端子平衡输出接口、≥1个拨码开关、≥1个RJ45接口、≥1个RS232接口、≥1个RS485接口、≥8个可编程GPIO控制接口、≥1个接地柱；前面板具有≥2.0英寸IPS真彩显示屏、≥1个编码旋钮、≥1个USB存储设备接口。</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2.输入通道支持前级放大、信号发生器、扩展器、压缩器、均衡器（≥12段参量均衡、可选10/15/31段图示均衡器可调，图示均衡器可用于单独调节带宽）、闪避器、AGC自动增益、AM自动混音功能（门限式、增益共享式）、AFC自适应反馈消除、AEC回声消除、ANC噪声消除、音频矩阵；输出通道支持均衡器（≥12段参量均衡、可选10/15/31段图示均衡器可调，图示均衡器可用于单独调节带宽）、延时器、分频器、高低通滤波器、限幅器；基于啸叫检测门限更新法，具有移频+陷波组合反馈抑制，可以使用≥24个可编程陷波点，可自由分配动态/静态点，自动/手动切换。（提供功能截图佐证）（需提供得到CMA或CNAS认可的检测机构出具的检测报告作为该技术参数证明材料）</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3.具有矩阵增益调节功能，每个输入通道参与混音的增益可调，增益调节范围等同或优于-72db到12db。</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4.音频处理器具有跨平台软件，可运行的操作系统版本≥8种，包括Windows7/10/11、银河麒麟桌面操作系统（兆芯版）、银河麒麟桌面操作系统（飞腾版）、macOS系统、统信UOS、Ubuntu桌面版操作系统。（提供功能截图佐证）（需提供得到CMA或CNAS认可的检测机构出具的检测报告作为该技术参数证明材料）</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5.产品具有PC客户端、手机移动端、安卓平板端不同控制方式，可以通同时登入APP软件、PC客户端同时连接设备，并实现多端数据的同步。</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6.设备具有编码旋钮和IPS屏幕，可用于控制和配置设备静音，增益，场景；IPS屏幕能够显示IP地址，输入和输出通道的实时电平。</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7.具有设备定位功能，客户端一键定位局域网内同类设备，被定位的设备会显示定位信息。</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8.设备具有统一集中控制功能，支持≥65535台设备通过软件集中控制。</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9.音频处理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提供功能截图佐证）（需提供得到CMA或CNAS认可的检测机构出具的检测报告作为该技术参数证明材料）</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2</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台</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42</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无线话筒</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1.基于数字U段的传输技术，pi/4-DQPSK调制方式，采用国产主控芯片，传输距离≥80米，接收机具有≥2路平衡输出、≥1路非平衡混音输出；具有混响、均衡、智能静音、音频加密、功率调节功能。</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2.具有≥1台接收主机、≥1只手持发射机、≥1只头戴腰包发射机；频率范围等同或优于470MHz-510MHz、540MHz-590MHz、640MHz-690MHz、807MHz-830MHz四个频段使用。</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3.接收机前面板具有≥2个TFT-LCD显示屏、≥2个编码旋钮、≥2个频率扫描实体按键、≥2个红外对频实体按键、≥1个电源开关按键、≥1个二合一指示灯（红外发射管+对频指示灯）；后面板具有≥1个LINE-OUT接口、≥2个XLR-OUT接口、≥2个BNC接口、≥1个DC接口。腰包发射机具有≥1个显示屏、≥4个实体按键（包括≥1个静音键、≥1个音量减少键、≥1个音量增加键、≥1个电源开关键）、≥1个电源状态指示灯、≥1个静音指示灯。手持发射机具有≥1个OLED显示屏、≥1个开关机/静音按键、≥1个工作状态指示灯、≥1个红外对频指示灯。（需提供得到CMA或CNAS认可的检测机构出具的检测报告作为该技术参数证明材料）</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4.具有自动静音功能，麦克风跌落、抛掷时，毫秒级自动静音，避免冲击声；实时监测设备姿态，静置≥5秒静音，≥8分钟关机，无需手动干预。（需提供得到CMA或CNAS认可的检测机构出具的检测报告作为该技术参数证明材料）</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▲5.具有多档位混响调节功能，混响效果≥15625个，效果占比、回响延时、混响幅度调节，三种音效各具有≥25档调节方式。（需提供得到CMA或CNAS认可的检测机构出具的检测报告作为该技术参数证明材料）</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6.具有多频段均衡调节功能，均衡调节≥2197种，麦克风均衡器调节功能，具有高、中、低音三种调节档位，每种效果支持≥13档调节。</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7.具有长时间续航，发射机连续使用时长≥10小时。</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8.具有ID码防串扰功能，采用32位唯一ID码，用于接收和发射配对，收发ID码必须相同才能对码，能够有效防止相同频率的信号相互串台。</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9.接收机具有≥2个2.2英寸的TFT-LCD显示屏；发射机具有≥0.96英寸OLED显示屏，能够显示频率信息、音频加密状态、功率挡位、静音状态、电量格数信息。</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2</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套</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43</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话筒呼叫控制嵌入软件</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1.软件内嵌于无线话筒系统设备，话筒呼叫控制功能。</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2.采用UHF超高频段双真分集接收，并采用PLL锁相环多信道频率合成技术。</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3.支持自动选讯接收方式。</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4.支持信道选择、频率可调、可设置主机与话筒配对。</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2</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套</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44</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话筒天线</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1.射频频率范围等同或优于470～950MHz</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2.驻波比：≤2.0</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3.输入阻抗：≤50Ω</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4.指向性：≥180度指向</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2</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套</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45</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电源管理器</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1.支持≥8通道电源时序打开/关闭，每路动作延时时间：≤1秒，支持远程控制（上电+24V直流信号）8通道电源时序打开/关闭—当电源开关处于off位置时有效。支持配置CH1和CH2通道为受控或不受控状态。</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2.当远程控制有效时同时控制后板ALARM（报警）端口导通以起到级联控制ALARM（报警）功能。</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3.单个通道最大负载功率≥2200W，所有通道负载总功率≥6000W。输出连接器：多用途电源插座。</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4.具有一路及以上USB输出接口。</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2</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台</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46</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音频连接线</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1.8米音频连接线：卡侬头（母）-卡侬头（公）</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8</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根</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47</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音频连接线</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1.8米音频连接线：卡农头（母）-空</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4</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根</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48</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音频连接线</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1.8米音频连接线：6.35话筒插头-空</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8</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根</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49</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音频连接线</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1.8米音频连接线：卡农头（公）-空</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12</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根</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50</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音频连接线</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5米音频连接线：3.5（耳机插头）-双6.35话筒插头</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4</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根</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51</w:t>
            </w:r>
          </w:p>
        </w:tc>
        <w:tc>
          <w:tcPr>
            <w:tcW w:w="5432"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六、党建展示区显示系统（3楼党建培训室）</w:t>
            </w:r>
          </w:p>
        </w:tc>
        <w:tc>
          <w:tcPr>
            <w:tcW w:w="690" w:type="dxa"/>
            <w:tcBorders>
              <w:top w:val="single" w:color="000000" w:sz="4" w:space="0"/>
              <w:left w:val="single" w:color="000000" w:sz="4" w:space="0"/>
              <w:bottom w:val="single" w:color="000000" w:sz="4" w:space="0"/>
              <w:right w:val="single" w:color="000000" w:sz="4" w:space="0"/>
            </w:tcBorders>
            <w:noWrap/>
          </w:tcPr>
          <w:p>
            <w:pPr>
              <w:jc w:val="center"/>
              <w:rPr>
                <w:rFonts w:hint="eastAsia" w:ascii="宋体" w:hAnsi="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noWrap/>
            <w:vAlign w:val="center"/>
          </w:tcPr>
          <w:p>
            <w:pPr>
              <w:jc w:val="left"/>
              <w:rPr>
                <w:rFonts w:hint="eastAsia" w:ascii="宋体" w:hAnsi="宋体" w:cs="宋体"/>
                <w:color w:val="000000"/>
                <w:sz w:val="18"/>
                <w:szCs w:val="18"/>
                <w:highlight w:val="none"/>
              </w:rPr>
            </w:pP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52</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高密度室内显像设备</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长8.64*高1.76</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像素结构SMD1010三合一</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像素间距（mm）</w:t>
            </w:r>
            <w:r>
              <w:rPr>
                <w:rFonts w:hint="eastAsia" w:ascii="宋体" w:hAnsi="宋体" w:cs="宋体"/>
                <w:color w:val="000000"/>
                <w:kern w:val="0"/>
                <w:sz w:val="18"/>
                <w:szCs w:val="18"/>
                <w:highlight w:val="none"/>
                <w:lang w:bidi="ar"/>
              </w:rPr>
              <w:t>≤</w:t>
            </w:r>
            <w:r>
              <w:rPr>
                <w:rFonts w:hint="eastAsia" w:ascii="宋体" w:hAnsi="宋体" w:cs="宋体"/>
                <w:color w:val="000000"/>
                <w:kern w:val="0"/>
                <w:sz w:val="18"/>
                <w:szCs w:val="18"/>
                <w:highlight w:val="none"/>
                <w:lang w:bidi="ar"/>
              </w:rPr>
              <w:t>1.25</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模组分辨率（W×H）256×128=32768</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模组尺寸（mm）320×160×16.6</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模组输入电压（V）4.5±0.1（可5V）</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模组最大电流（A）≤5</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模组最大功耗（W）≤25</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光学参数单点亮度校正有</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单点色度校正有</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白平衡亮度（nits）≥700</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色温（K）900—18000可调</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视角（水平/垂直°）175/175</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亮度/色度均匀性≥97%</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对比度10000:1</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电气参数最大功耗（W/㎡）</w:t>
            </w:r>
            <w:r>
              <w:rPr>
                <w:rFonts w:hint="eastAsia" w:ascii="宋体" w:hAnsi="宋体" w:cs="宋体"/>
                <w:color w:val="000000"/>
                <w:kern w:val="0"/>
                <w:sz w:val="18"/>
                <w:szCs w:val="18"/>
                <w:highlight w:val="none"/>
                <w:lang w:bidi="ar"/>
              </w:rPr>
              <w:t>≤</w:t>
            </w:r>
            <w:r>
              <w:rPr>
                <w:rFonts w:hint="eastAsia" w:ascii="宋体" w:hAnsi="宋体" w:cs="宋体"/>
                <w:color w:val="000000"/>
                <w:kern w:val="0"/>
                <w:sz w:val="18"/>
                <w:szCs w:val="18"/>
                <w:highlight w:val="none"/>
                <w:lang w:bidi="ar"/>
              </w:rPr>
              <w:t>400</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平均功耗（W/㎡）</w:t>
            </w:r>
            <w:r>
              <w:rPr>
                <w:rFonts w:hint="eastAsia" w:ascii="宋体" w:hAnsi="宋体" w:cs="宋体"/>
                <w:color w:val="000000"/>
                <w:kern w:val="0"/>
                <w:sz w:val="18"/>
                <w:szCs w:val="18"/>
                <w:highlight w:val="none"/>
                <w:lang w:bidi="ar"/>
              </w:rPr>
              <w:t>≤</w:t>
            </w:r>
            <w:r>
              <w:rPr>
                <w:rFonts w:hint="eastAsia" w:ascii="宋体" w:hAnsi="宋体" w:cs="宋体"/>
                <w:color w:val="000000"/>
                <w:kern w:val="0"/>
                <w:sz w:val="18"/>
                <w:szCs w:val="18"/>
                <w:highlight w:val="none"/>
                <w:lang w:bidi="ar"/>
              </w:rPr>
              <w:t>200</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供电要求AC186~264V，频率47-63（Hz）</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性能参数换帧频率（Hz）50&amp;60</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驱动方式恒流驱动，64扫</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灰度级别16384</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刷新率（Hz）3840Hz</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颜色处理位数14bit</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寿命典型值（hrs）100,000H</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工作温/湿度范围（℃/RH）-20℃–40℃/10%-65%RH（无结露）</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存储温/湿度范围（℃/RH）-10℃–40℃/10%-60%RH（无结露）</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15.21</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平方</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53</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视频处理器</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1.支持≥1个320x240分辨率的液晶屏</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2.支持≥1个旋钮，可用于调节液晶屏菜单</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3.支持采集能力800*600~4096*2160@60Hz</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4.总带载能力≥1300万像素，最宽16384，最高8192</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5.支持点对点、全屏缩放和自定义缩放</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6.支持接入6路信号，6图层任意开窗显示</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7.支持亮度手动和自动调节</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8.支持显示纯色、线条、灰阶的测试图像，以及黑屏、锁定画面等功能</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9.支持输出网口冗余配置，实现主备切换</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10.支持电压、温度监测，及误码率检测</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11.支持多台间同步使用；</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12.支持网络接口≥21个，≥1个百兆网口，连接PC通讯，实现配置和升级。≥20个千兆网口，用于连接接收卡</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13.支持≥6个HDMI接口，≥1个DP接口，≥1个VGA接口，≥1个DVI接口，≥1个RS-232接口，≥1个RS-485接口，≥1个光探头接口，≥2个USB，1个3.5mm音频输入和1个3.5mm音频输出接口。</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▲14.支持手动和自动智能除湿，除湿过程中有明确的除湿进度信息；（提供有效检测报告复印件加盖原厂公章或投标专用章）</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15.支持智能节能功能，自动检测当前环境是否有人，无人时自动调暗屏幕画面或黑屏；支持同时接入3个以上人体检测传感器；支持设置从无人到熄屏的时间；支持防动物误触发；支持无视频信号输入时，自动黑屏。（提供有效检测报告复印件加盖原厂公章或投标专用章）</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16.支持智能火情预警功能，自动检测当前环境是否存在高温火点，当出现火情时，自动断开大屏电源，防止火情随着电流快速蔓延；支持3个以上火情检测传感器。（提供有效检测报告复印件加盖原厂公章或投标专用章）</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台</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54</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接收卡</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单卡带载512×512像素；</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支持逐点亮色度校正；</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支持接收卡预存画面设置；</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支持温度、电压、网线通讯和视频源信号状态检测；</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集成8个HUB320接口；</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支持程序回读；</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采用千兆网口，可以连接PC端；</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支持画面90°旋转；</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56</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张</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55</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显像设备配套电源管理器</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w:t>
            </w:r>
            <w:r>
              <w:rPr>
                <w:rFonts w:hint="eastAsia" w:ascii="宋体" w:hAnsi="宋体" w:cs="宋体"/>
                <w:color w:val="000000"/>
                <w:kern w:val="0"/>
                <w:sz w:val="18"/>
                <w:szCs w:val="18"/>
                <w:highlight w:val="none"/>
                <w:lang w:bidi="ar"/>
              </w:rPr>
              <w:t>15KW，屏体和设备电源供应及电源管理《380V》</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台</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56</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屏体线缆</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控制室到屏体超五类8芯网线  16+3条</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配电房至LED屏控制箱体1组380V  10平方国标电缆</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电箱下路2组220V  3*4平方国标电缆</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项</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57</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屏体钢结构</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工程结构:用于安装支撑屏体的钢结构体费用及安装</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屏幕包边:用于屏体四周包边装饰，正常2-5cm</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16.26</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平方</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58</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电子黑板</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1.整机采用全金属外壳，三拼接平面一体化设计，屏幕边缘采用圆角包边防护，整机背板采用金属材质。</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2.整体外观尺寸：宽≥4200mm，高≥1200mm，厚≤119mm。</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3.整机86英寸采用超高清LED液晶显示屏，显示比例16:9，分辨率3840×2160。</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4.侧置输入接口具备2路HDMI、1路RS232、1路USB接口；侧置输出接口具备1路音频输出、1路触控USB输出；前置输入接口具备3路USB接口（包含1路Type-C、2路USB）。（提供检验检测中心所出具的权威检测报告复印件并加盖厂家公章）</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5.整机嵌入式系统版本≥Android14，主频≥1.8GHz，内存≥2GB，存储空间≥8GB。（提供检验检测中心所出具的权威检测报告复印件并加盖厂家公章）</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6.整机嵌入式芯片内置2TOPSAI算力，可用于AI图像、音频处理。（提供检验检测中心所出具的权威检测报告复印件并加盖厂家公章）</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7.采用红外触控方式，支持Windows系统中进行40点或以上触控，支持在Android系统中进行40点或以上触控。（提供检验检测中心所出具的权威检测报告复印件并加盖厂家公章）</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8.前置USB接口支持Android系统、Windows系统读取外接移动存储设备。（提供检验检测中心所出具的权威检测报告复印件并加盖厂家公章）</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9.部署单根网线可实现Android、Windows双系统有线网络连通。（提供检验检测中心所出具的权威检测报告复印件并加盖厂家公章）</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10.整机能感应并自动调节屏幕亮度来达到在不同光照环境下的不同亮度显示效果，此功能可自行开启或关闭。（提供检验检测中心所出具的权威检测报告复印件并加盖厂家公章）</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11.整机内置2.2声道扬声器，位于设备上边框，顶置朝前发声，前朝向10W高音扬声器2个，上朝向20W中低音扬声器2个，额定总功率60W。（提供检验检测中心所出具的权威检测报告复印件并加盖厂家公章）</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12.整机内置扬声器采用缝隙发声技术，喇叭采用槽式开口设计，不大于5.8mm（提供检验检测中心所出具的权威检测报告复印件并加盖厂家公章）</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13.整机扬声器在100%音量下，可做到1米处声压级≥90db，10米处声压级≥80dB（提供检验检测中心所出具的权威检测报告复印件并加盖厂家公章）</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14.内置摄像头、麦克风无需外接线材连接，无任何可见外接线材及模块化拼接痕迹，未占用整机设备端口。（提供检验检测中心所出具的权威检测报告复印件并加盖厂家公章）</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15.支持标准、听力、观影和AI空间感知音效模式，AI空间感知音效模式可通过内置麦克风采集教室物理环境声音，自动生成符合当前教室物理环境的频段、音量、音效。（提供检验检测中心所出具的权威检测报告复印件并加盖厂家公章）</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16.整机支持色彩空间可选，包含标准模式和sRGB模式，在sRGB模式下可做到高色准</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△E≤1（提供检验检测中心所出具的权威检测报告复印件并加盖厂家公章）</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17.整机采用硬件低蓝光背光技术，在源头减少有害蓝光波段能量，蓝光占比（有害蓝光415～455nm能量综合）/（整体蓝光400～500能量综合）＜50%，低蓝光保护显示不偏色、不泛黄。</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18.支持标准、多媒体和节能三种图像模式调节。（提供检验检测中心所出具的权威检测报告复印件并加盖厂家公章）</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19.整机内置非独立广角高清摄像头，视场角≥150度且水平视场角≥120度，支持输出4:3、16:9比例的图片和视频；在清晰度为3840*2160（4K）分辨率下，支持30帧的视频输出，支持画面畸变矫正功能。（提供检验检测中心所出具的权威检测报告复印件并加盖厂家公章）</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20.整机内置摄像头支持3D降噪算法和数字宽动态范围成像WDR技术，支持输出MJPG、H.264视频格式。（提供检验检测中心所出具的权威检测报告复印件并加盖厂家公章）</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21.ops模块：</w:t>
            </w:r>
            <w:r>
              <w:rPr>
                <w:rFonts w:hint="eastAsia" w:ascii="宋体" w:hAnsi="宋体" w:cs="宋体"/>
                <w:color w:val="000000"/>
                <w:kern w:val="0"/>
                <w:sz w:val="18"/>
                <w:szCs w:val="18"/>
                <w:highlight w:val="none"/>
                <w:lang w:bidi="ar"/>
              </w:rPr>
              <w:t>≥</w:t>
            </w:r>
            <w:r>
              <w:rPr>
                <w:rFonts w:hint="eastAsia" w:ascii="宋体" w:hAnsi="宋体" w:cs="宋体"/>
                <w:color w:val="000000"/>
                <w:kern w:val="0"/>
                <w:sz w:val="18"/>
                <w:szCs w:val="18"/>
                <w:highlight w:val="none"/>
                <w:lang w:bidi="ar"/>
              </w:rPr>
              <w:t>i5处理器，</w:t>
            </w:r>
            <w:r>
              <w:rPr>
                <w:rFonts w:hint="eastAsia" w:ascii="宋体" w:hAnsi="宋体" w:cs="宋体"/>
                <w:color w:val="000000"/>
                <w:kern w:val="0"/>
                <w:sz w:val="18"/>
                <w:szCs w:val="18"/>
                <w:highlight w:val="none"/>
                <w:lang w:bidi="ar"/>
              </w:rPr>
              <w:t>≥</w:t>
            </w:r>
            <w:r>
              <w:rPr>
                <w:rFonts w:hint="eastAsia" w:ascii="宋体" w:hAnsi="宋体" w:cs="宋体"/>
                <w:color w:val="000000"/>
                <w:kern w:val="0"/>
                <w:sz w:val="18"/>
                <w:szCs w:val="18"/>
                <w:highlight w:val="none"/>
                <w:lang w:bidi="ar"/>
              </w:rPr>
              <w:t>8g运行内存，</w:t>
            </w:r>
            <w:r>
              <w:rPr>
                <w:rFonts w:hint="eastAsia" w:ascii="宋体" w:hAnsi="宋体" w:cs="宋体"/>
                <w:color w:val="000000"/>
                <w:kern w:val="0"/>
                <w:sz w:val="18"/>
                <w:szCs w:val="18"/>
                <w:highlight w:val="none"/>
                <w:lang w:bidi="ar"/>
              </w:rPr>
              <w:t>≥</w:t>
            </w:r>
            <w:r>
              <w:rPr>
                <w:rFonts w:hint="eastAsia" w:ascii="宋体" w:hAnsi="宋体" w:cs="宋体"/>
                <w:color w:val="000000"/>
                <w:kern w:val="0"/>
                <w:sz w:val="18"/>
                <w:szCs w:val="18"/>
                <w:highlight w:val="none"/>
                <w:lang w:bidi="ar"/>
              </w:rPr>
              <w:t>256g固态硬盘</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套</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59</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交互智能终端</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一、产品设计</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1.嵌入式系统版本不低于Android13，内存≥2GB，存储空间≥8GB。（需提供具有CNAS或CMA标识的国家权威检测机构出具的检测报告复印件并加盖厂商印章）</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2.整机采用一体设计，外部无任何可见内部功能模块连接线。边角采用弧形设计，表面无尖锐边缘或凸起。</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3.整机采用全金属外壳设计，屏幕边缘采用金属圆角包边防护，整机背板采用金属材质，有效屏蔽内部电路器件辐射；防潮耐盐雾蚀锈，适应多种教学环境。</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4.整机屏幕采用≥65英寸液晶显示器。</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5.整机采用超高清LED液晶显示屏，显示比例16:9，分辨率3840×2160。</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6.侧置输入接口具备2路HDMI、1路RS232、1路USB接口；侧置输出接口具备1路音频输出、1路触控USB输出；前置输入接口具备3路USB接口</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7.钢化玻璃表面硬度≥9H。</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二、功能配置</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8.▲采用红外触控技术，支持Windows系统中进行38点或以上触控，支持在Android系统中进行38点或以上触控。</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9.▲整机上边框内置非独立式≥2个智能拼接摄像头，支持清晰度TVlines≥1600lines，视场角≥141度且水平视场角≥139度，可拍摄≥1600万像素的照片，支持输出8192×2048分辨率的照片和视频，支持画面畸变矫正功能。</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10.整机内置扬声器采用缝隙发声技术，喇叭采用槽式开口设计，不大于5.8mm。</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11.整机内置2.2声道扬声器，位于设备上边框，顶置朝前发声，前朝向≥10W高音扬声器2个，上朝向≥20W中低音扬声器2个，额定总功率≥60W。（需提供具有CNAS或CMA标识的国家权威检测机构出具的检测报告复印件并加盖厂商印章）</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12.整机支持蓝牙Bluetooth5.4标准，固件版本号HCI13.0/LMP13.0。（需提供具有CNAS或CMA标识的国家权威检测机构出具的检测报告复印件并加盖厂商公章）</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13.▲整机摄像头支持人脸识别、清点人数、随机抽人；识别所有人员，显示标记，然后随机抽选，同时显示标记不少于55人。</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14.整机支持上边框内置非独立摄像头模组，同时输出至少3路视频流，支持本地画面预览（拍照或视频录制）。（需提供具有CNAS或CMA标识的国家权威检测机构出具的检测报告复印件并加盖厂商印章）</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15.整机系统支持书写触控延迟≤25ms。</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16.整机屏幕触摸有效识别高度不超过1.5mm，即触摸物体</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距离玻璃外表面高度不超过1.5mm时，触摸屏识别为点击操作。</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17.整机触摸支持动态压力感应，支持无任何电子功能的普通书写笔在整机上书写或点压时，整机能感应压力变化，书写或点压过程笔迹呈现不同粗细。</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18.整机支持手笔分离，通过提笔即写唤醒批注功能后，可进行手笔分离功能，使用笔正常书写，使用手指可以操作应用，进行点击操作。</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19.支持智能板擦功能，系统可根据触控物体的形状自动识别出实物板擦，可擦除电子白板中的内容，无需依赖外部电子设备。</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20.整机内置全通道侧边栏快捷菜单，小工具、应用软件、快捷设置、亮度/音量调节、教室物联入口。</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21.▲整机支持≥4个自定义前置按键，“设置”、“音量-”，“音量+”，“护眼”按键，可通过自定义设置实现前置面板功能按键一键启用任一全局小工具（批注、截屏、计时、降半屏、放大镜、倒数日、日历）、快捷开关（节能模式、纸质护眼模式、经典护眼模式、自动亮度模式）。</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22.整机全通道侧边栏快捷菜单包含如下小工具：批注、降半屏、截屏、放大镜、倒计时、日历、聚光灯、秒表、冻屏、倒数日、答题、节拍器。</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23.整机全通道侧边栏快捷菜单小工具支持自定义，支持设置对应小工具的显示/隐藏。</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24.整机全通道侧边栏支持使用批注小工具进行批注讲解，可切换书写笔颜色、截屏保存批注内容、清屏，可根据手与屏幕的接触面积自动调整板擦工具的大小。</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25.整机设备自带地震预警软件。支持在地震预警页面中获取位置，可以手动进行位置校准。支持在地震预警页面中选择提醒阈值。支持在地震预警界面中开启和关闭</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地震预警服务。（需提供具有CNAS或CMA标识的国家权威检测机构出具的检测报告复印件并加盖厂商印章）</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三、OPS</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1.采用按压式卡扣，无需工具就可快速拆卸电脑模块。</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2.具有标准PC防盗锁孔。</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3.搭载Intel12代酷睿系列</w:t>
            </w:r>
            <w:r>
              <w:rPr>
                <w:rFonts w:hint="eastAsia" w:ascii="宋体" w:hAnsi="宋体" w:cs="宋体"/>
                <w:color w:val="000000"/>
                <w:kern w:val="0"/>
                <w:sz w:val="18"/>
                <w:szCs w:val="18"/>
                <w:highlight w:val="none"/>
                <w:lang w:bidi="ar"/>
              </w:rPr>
              <w:t>≥</w:t>
            </w:r>
            <w:r>
              <w:rPr>
                <w:rFonts w:hint="eastAsia" w:ascii="宋体" w:hAnsi="宋体" w:cs="宋体"/>
                <w:color w:val="000000"/>
                <w:kern w:val="0"/>
                <w:sz w:val="18"/>
                <w:szCs w:val="18"/>
                <w:highlight w:val="none"/>
                <w:lang w:bidi="ar"/>
              </w:rPr>
              <w:t>i5CPU，</w:t>
            </w:r>
            <w:r>
              <w:rPr>
                <w:rFonts w:hint="eastAsia" w:ascii="宋体" w:hAnsi="宋体" w:cs="宋体"/>
                <w:color w:val="000000"/>
                <w:kern w:val="0"/>
                <w:sz w:val="18"/>
                <w:szCs w:val="18"/>
                <w:highlight w:val="none"/>
                <w:lang w:bidi="ar"/>
              </w:rPr>
              <w:t>≥</w:t>
            </w:r>
            <w:r>
              <w:rPr>
                <w:rFonts w:hint="eastAsia" w:ascii="宋体" w:hAnsi="宋体" w:cs="宋体"/>
                <w:color w:val="000000"/>
                <w:kern w:val="0"/>
                <w:sz w:val="18"/>
                <w:szCs w:val="18"/>
                <w:highlight w:val="none"/>
                <w:lang w:bidi="ar"/>
              </w:rPr>
              <w:t>8GBDDR4笔记本内存或以上配置。硬盘：</w:t>
            </w:r>
            <w:r>
              <w:rPr>
                <w:rFonts w:hint="eastAsia" w:ascii="宋体" w:hAnsi="宋体" w:cs="宋体"/>
                <w:color w:val="000000"/>
                <w:kern w:val="0"/>
                <w:sz w:val="18"/>
                <w:szCs w:val="18"/>
                <w:highlight w:val="none"/>
                <w:lang w:bidi="ar"/>
              </w:rPr>
              <w:t>≥</w:t>
            </w:r>
            <w:r>
              <w:rPr>
                <w:rFonts w:hint="eastAsia" w:ascii="宋体" w:hAnsi="宋体" w:cs="宋体"/>
                <w:color w:val="000000"/>
                <w:kern w:val="0"/>
                <w:sz w:val="18"/>
                <w:szCs w:val="18"/>
                <w:highlight w:val="none"/>
                <w:lang w:bidi="ar"/>
              </w:rPr>
              <w:t>256GB或以上SSD固态硬盘。</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4.整机的连接接口针脚数≥40pin（须提供具有CNAS或CMA认证的国家权威第三方检测机构出具的功能检测报告扫描件，要求内容能体现满足上述参数要求，加盖厂商印章）</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6</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台</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60</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32寸数字画作展示界面</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1.液晶屏采用全高清显示屏，物理分辨率1920*1080，高宽比16:9，响应速度快，色彩还原度高。</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2.液晶屏亮度≥180cd/㎡，可视角度178°，对比度700:1，色域72%（NTSC标准）,刷新率60Hz，采用侧入式背光源。</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3.整机采用安卓系统7.0或以上系统，运行内存≥1G，存储内存≥8G，系统运行流畅，画面表现更唯美，支持双wifi频段2.4GHz，内置≥2*5W音箱。</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14</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台</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61</w:t>
            </w:r>
          </w:p>
        </w:tc>
        <w:tc>
          <w:tcPr>
            <w:tcW w:w="5432"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七、党建展示区扩声系统（3楼党建培训室）</w:t>
            </w:r>
          </w:p>
        </w:tc>
        <w:tc>
          <w:tcPr>
            <w:tcW w:w="690" w:type="dxa"/>
            <w:tcBorders>
              <w:top w:val="single" w:color="000000" w:sz="4" w:space="0"/>
              <w:left w:val="single" w:color="000000" w:sz="4" w:space="0"/>
              <w:bottom w:val="single" w:color="000000" w:sz="4" w:space="0"/>
              <w:right w:val="single" w:color="000000" w:sz="4" w:space="0"/>
            </w:tcBorders>
            <w:noWrap/>
          </w:tcPr>
          <w:p>
            <w:pPr>
              <w:jc w:val="center"/>
              <w:rPr>
                <w:rFonts w:hint="eastAsia" w:ascii="宋体" w:hAnsi="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noWrap/>
            <w:vAlign w:val="center"/>
          </w:tcPr>
          <w:p>
            <w:pPr>
              <w:jc w:val="left"/>
              <w:rPr>
                <w:rFonts w:hint="eastAsia" w:ascii="宋体" w:hAnsi="宋体" w:cs="宋体"/>
                <w:color w:val="000000"/>
                <w:sz w:val="18"/>
                <w:szCs w:val="18"/>
                <w:highlight w:val="none"/>
              </w:rPr>
            </w:pP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62</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专业功放</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功能特点：</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1.1U机箱设计，体积小，重量轻。</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2.采用最新D类数字功放设计方案，失真小，效率高。</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3.电源采用开关电源技术，效率高，有效的抑制电源谐波，达到欧盟绿色电源标准。</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4.智能削峰限幅器，控制功率模块及扬声器系统在安全范围内工作。</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5.标准XLR输入接口，和LINK输出口，简洁的接口更加方便不同用户需求。</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6.开机软启动，防止开机时</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向电网吸收大电流，干扰其它用电设备。</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7.智能控制强制散热设计，风机噪音小，散热效率高等特点。</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8.具有：过压保护，欠压保护，过流保护，直流保护，输出短路保护，温控风扇等功能。</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技术参数：</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1.输出功率：立体声@8</w:t>
            </w:r>
            <w:r>
              <w:rPr>
                <w:rFonts w:ascii="Calibri" w:hAnsi="Calibri" w:cs="Calibri"/>
                <w:color w:val="000000"/>
                <w:kern w:val="0"/>
                <w:sz w:val="18"/>
                <w:szCs w:val="18"/>
                <w:highlight w:val="none"/>
                <w:lang w:bidi="ar"/>
              </w:rPr>
              <w:t>Ω</w:t>
            </w:r>
            <w:r>
              <w:rPr>
                <w:rFonts w:hint="eastAsia" w:ascii="宋体" w:hAnsi="宋体" w:cs="宋体"/>
                <w:color w:val="000000"/>
                <w:kern w:val="0"/>
                <w:sz w:val="18"/>
                <w:szCs w:val="18"/>
                <w:highlight w:val="none"/>
                <w:lang w:bidi="ar"/>
              </w:rPr>
              <w:t>：350W×2；立体声@4</w:t>
            </w:r>
            <w:r>
              <w:rPr>
                <w:rFonts w:ascii="Calibri" w:hAnsi="Calibri" w:cs="Calibri"/>
                <w:color w:val="000000"/>
                <w:kern w:val="0"/>
                <w:sz w:val="18"/>
                <w:szCs w:val="18"/>
                <w:highlight w:val="none"/>
                <w:lang w:bidi="ar"/>
              </w:rPr>
              <w:t>Ω</w:t>
            </w:r>
            <w:r>
              <w:rPr>
                <w:rFonts w:hint="eastAsia" w:ascii="宋体" w:hAnsi="宋体" w:cs="宋体"/>
                <w:color w:val="000000"/>
                <w:kern w:val="0"/>
                <w:sz w:val="18"/>
                <w:szCs w:val="18"/>
                <w:highlight w:val="none"/>
                <w:lang w:bidi="ar"/>
              </w:rPr>
              <w:t>：600W×2</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2.输入灵敏度：2.2dBu(1V)</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3.输入阻抗：10K</w:t>
            </w:r>
            <w:r>
              <w:rPr>
                <w:rFonts w:ascii="Calibri" w:hAnsi="Calibri" w:cs="Calibri"/>
                <w:color w:val="000000"/>
                <w:kern w:val="0"/>
                <w:sz w:val="18"/>
                <w:szCs w:val="18"/>
                <w:highlight w:val="none"/>
                <w:lang w:bidi="ar"/>
              </w:rPr>
              <w:t>Ω</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4.频率响应(@1W功率下)：20Hz-20KHz/±1dB@8</w:t>
            </w:r>
            <w:r>
              <w:rPr>
                <w:rFonts w:ascii="Calibri" w:hAnsi="Calibri" w:cs="Calibri"/>
                <w:color w:val="000000"/>
                <w:kern w:val="0"/>
                <w:sz w:val="18"/>
                <w:szCs w:val="18"/>
                <w:highlight w:val="none"/>
                <w:lang w:bidi="ar"/>
              </w:rPr>
              <w:t>Ω</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5.THD+N(@1/8功率下)：≤0.01%</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6.分离度(@1KHz)：≥80dB</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7.阻尼系数(@1KHz)：≥200@8ohms</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8.信噪比（A计权）：≥93dB</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9.输入电压：~220V/50Hz</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10.整机功耗：200W</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说明：</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输出功率：是按CEA-2006-B/CEA-490-A标准使用20ms脉冲1kHz正弦波在1%总谐波失真下测量得出</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整机功耗：依据GB4943.1-2022测试手法：在1kHz正弦波额定负载1/8功率条件下测得</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3</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台</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63</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专业音箱</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1.阻抗≤8Ω</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2.频响等同或优于65Hz~20KHz</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3.额定功率≥150W</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4.灵敏度≥95dB/W/M</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5.水平覆盖角≥80°，垂直覆盖角≥60°</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6.高音≥3"锥形高音单元×1</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7.低音≥8"低音×1</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6</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只</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64</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支架</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音箱支架</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6</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只</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65</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音频处理器</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产品概述：</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一款高性能音频处理器，具有8路模拟平衡输入和8路模拟平衡输出。集成动态范围控制（DRC）、自动增益（AGC）、反馈抑制（AFC）、自适应降噪（ANS）、自适应回声消除（AEC）、音频滤波器（GEQ、PEQ、分频器）等功能，主要应用于专业扩声场景，可以满足会议室、法庭、礼堂、多功能厅、演出、教室等场所对扩声系统应用方面的需求。</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产品特点：</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1.高性能64-bitDSP处理器（800兆主频），32-bit/48KHzAD/DA，专业DSP处理，提供卓越的高品质声音。</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2.具有8进8出音频矩阵，输入可根据音源的不同调整灵敏度。每路输入支持48V幻象电源供电，可单独配置开启关闭，灵活方便。</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3.输入通道支持前级放大、信号发生器、扩展器、压缩器、均衡器（12段参量均衡、可选10/15/31段图示均衡器可调，图示均衡器可用于单独调节带宽）、闪避器、AGC自动增益、AM自动混音功能（门限式、增益共享式）、AFC自适应反馈消除、AEC回声消除、ANC噪声消除、音频矩阵；输出通道支持均衡器（12段参量均衡、可选10/15/31段图示均衡器可调，图示均衡器可用于单独调节带宽）、延时器、分频器、高低通滤波器、限幅器；基于啸叫检测门限更新法，具有移频+陷波组合反馈抑制，可以使用24个可编程陷波点，可自由分配动态/静态点，自动/手动切换。</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4.具有闪避器功能，用于背景音乐自动闪避话筒发言，提供多种参数设置，方便现场灵活运用。</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5.具有话筒自动增益功能，用于控制话筒的拾音信号的动态范围，实现远近音质一致。</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6.具有智能混音功能，包括增益共享混音以及门限自动混音两种方式，输入通道可单独选择是否参与智能混音，可根据不同的场景应用需求，选择相应的混音模式。可有效解决话筒多开导致扩声系统不稳定容易啸叫等痛点。</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7.具有均衡器功能，提供参量均衡器和图示均衡器，每路输入/输出具有12段参量均衡器/10段图示均衡器/15段图示均衡器/31段图示均衡器可供选择。参量均衡器支持高架、低架、峰值滤波器三种类型，图示均衡器支持单点带宽调节。</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8.具有分频器功能，提供贝塞尔、林克威治-瑞利、巴特沃斯三种滤波器类型供选择，并且支持6/12/18/24/32/40/48db/oct斜率设置，滤波器全频段可调。</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9.具有扩展器功能，扩展信号的动态范围，用于消除设备的底噪。</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10.具有压缩器功能，压缩信号的动态范围，用于压缩输出信号的大小。</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11.具有限幅器功能，限制输出信号的大小，防止信号过大损坏扩声设备。</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12.具有延时器功能，提供最大2000ms延时调整，用于调整各路输出信号延时，使得各路音频信号在到达听众耳朵保持同步。</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13.具有回声消除功能，用于远程音视频会议，消除回声，增加语音清晰度。</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14.具有噪声消除功能，可以有效消除空调声、风扇声等环境噪声，提高语音清晰度。</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15.具有反馈抑制功能，陷波器+移频器两种处理方案，有效解决声反馈问题。</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16.极低的系统处理延时，延时低于3ms。</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17.面板具有2英寸IPS真彩显示屏，显示设备网络信息、实时电平、通道静音状态、矩阵混音等状态。</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18.面板具备USB接口，支持多媒体存储，可进行存储录音或播放。</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19.支持场景预设、导入、导出，支持8个场景。</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20.具有恢复出厂设置功能。</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21.具有RS-232接口，可用于对接外部中控系统，实现集中管控。</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22.具有RS-485接口，可对接中控系统、摄像跟踪系统，可实现自动摄像跟踪功能。</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23.具有8通道可编程GPIO控制接口（可自定义输入输出）。</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24.支持通道拷贝、粘贴、联控功能。</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25.Enternet多用途数据传输及控制端口，可以支持实时管理单台及多台设备。</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26.音频处理器具有跨平台软件，可运行的操作系统版本8种，包括Windows7/10/11、银河麒麟桌面操作系统（兆芯版）、银河麒麟桌面操作系统（飞腾版）、macOS系统、统信UOS、Ubuntu桌面版操作系统。</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27.产品具有PC客户端、手机移动端、安卓平板端不同控制方式，可以通同时登入APP软件、PC客户端同时连接设备，并实现多端数据的同步。</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28.支持通过安卓手机，平板APP软件进行操作控制，设备登录、场景切换、输入输出、矩阵路由和通道设置等功能。</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29.支持断电自动保护记忆功能。</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30.后面板具有8路线路音频凤凰端子平衡输入接口（具有48V幻象供电）、8路线路音频凤凰端子平衡输出接口、1个拨码开关、1个RJ45接口、1个RS232接口、1个RS485接口、8个可编程GPIO控制接口、1个接地柱；前面板具有2.0英寸IPS真彩显示屏、1个编码旋钮、1个USB存储设备接口。</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31.设备具有统一集中控制功能，支持65535台设备通过软件集中控制。</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32.具有矩阵增益调节功能，每个输入通道参与混音的增益可调，增益调节范围-72db到12db。</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33.设备具有编码旋钮和IPS屏幕，可用于控制和配置设备静音，增益，场景；IPS屏幕能够显示IP地址，输入和输出通道的实时电平。</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34.具有设备定位功能，客户端一键定位局域网内同类设备，被定位的设备会显示定位信息。</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35.音频处理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36.具有Web页面管理功能，可以通过Web页面下载控制软件，可以通过Web页面调节每个通道的增益。</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37.支持中控控制功能，可以实现增益加减，增益限制，每个通道电平条查询，增益加减步进值设置。</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38.支持双机热备份功能，采用先进的数据同步技术，两台机器使用过程中配置内容实时同步，一旦主机出现音频丢失，立即自动切换至备份主机保证全程流畅进行。</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技术参数：</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1.输入通道：</w:t>
            </w:r>
            <w:r>
              <w:rPr>
                <w:rFonts w:hint="eastAsia" w:ascii="宋体" w:hAnsi="宋体" w:cs="宋体"/>
                <w:color w:val="000000"/>
                <w:kern w:val="0"/>
                <w:sz w:val="18"/>
                <w:szCs w:val="18"/>
                <w:highlight w:val="none"/>
                <w:lang w:bidi="ar"/>
              </w:rPr>
              <w:t>≥</w:t>
            </w:r>
            <w:r>
              <w:rPr>
                <w:rFonts w:hint="eastAsia" w:ascii="宋体" w:hAnsi="宋体" w:cs="宋体"/>
                <w:color w:val="000000"/>
                <w:kern w:val="0"/>
                <w:sz w:val="18"/>
                <w:szCs w:val="18"/>
                <w:highlight w:val="none"/>
                <w:lang w:bidi="ar"/>
              </w:rPr>
              <w:t>8路平衡式话筒/线路，采用裸线接口端子，平衡接法；</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2.输出通道：</w:t>
            </w:r>
            <w:r>
              <w:rPr>
                <w:rFonts w:hint="eastAsia" w:ascii="宋体" w:hAnsi="宋体" w:cs="宋体"/>
                <w:color w:val="000000"/>
                <w:kern w:val="0"/>
                <w:sz w:val="18"/>
                <w:szCs w:val="18"/>
                <w:highlight w:val="none"/>
                <w:lang w:bidi="ar"/>
              </w:rPr>
              <w:t>≥</w:t>
            </w:r>
            <w:r>
              <w:rPr>
                <w:rFonts w:hint="eastAsia" w:ascii="宋体" w:hAnsi="宋体" w:cs="宋体"/>
                <w:color w:val="000000"/>
                <w:kern w:val="0"/>
                <w:sz w:val="18"/>
                <w:szCs w:val="18"/>
                <w:highlight w:val="none"/>
                <w:lang w:bidi="ar"/>
              </w:rPr>
              <w:t>8路平衡式线路输出，采用裸线接口端子，平衡接法；</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3.处理器：48kHz采样频率，64-bitDSP处理器；32-bitA/D及D/A转换</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4.幻象供电：DC48V</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5.频率响应：20Hz～20KHz</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6.总谐波失真+噪声：≤0.002%OUTPUT=24dBu/1kHz</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7.信噪比：≥110dB@1kHz24dBu（A计权）</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8.通道分离度：≥100dB@1kHz24dBu（A计权）</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9.输入阻抗(平衡式)：平衡：20K</w:t>
            </w:r>
            <w:r>
              <w:rPr>
                <w:rFonts w:ascii="Calibri" w:hAnsi="Calibri" w:cs="Calibri"/>
                <w:color w:val="000000"/>
                <w:kern w:val="0"/>
                <w:sz w:val="18"/>
                <w:szCs w:val="18"/>
                <w:highlight w:val="none"/>
                <w:lang w:bidi="ar"/>
              </w:rPr>
              <w:t>Ω</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10.最大输出阻抗(平衡式)：平衡：100</w:t>
            </w:r>
            <w:r>
              <w:rPr>
                <w:rFonts w:ascii="Calibri" w:hAnsi="Calibri" w:cs="Calibri"/>
                <w:color w:val="000000"/>
                <w:kern w:val="0"/>
                <w:sz w:val="18"/>
                <w:szCs w:val="18"/>
                <w:highlight w:val="none"/>
                <w:lang w:bidi="ar"/>
              </w:rPr>
              <w:t>Ω</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11.输入范围：≤+24dBu</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12.啸叫寻找与抑制方式：全自动式陷波</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13.陷波器：24个（静态点和动态点可配）</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14.Q值范围：10-50</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15.频率分辨率：1Hz</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16.啸叫寻找时间：0.1—0.5S</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17.FFT长度：1024</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18.传声增益：4—10dB</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19.系统增益：0dB</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20.分频器：具有巴特沃斯，贝塞尔，林克威治-瑞利三种高低通滤波器</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21.显示：2英寸IPS真彩显示屏，分辨率320*240</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22.供电范围：AC110V-240V50-60Hz</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23.电源功耗：≤40W</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24.工作温度：-10℃～+45℃</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25.相对湿度：20%～80%相对湿度，无结露</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26.冷却：风机强制散热</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2</w:t>
            </w:r>
            <w:r>
              <w:rPr>
                <w:rFonts w:hint="eastAsia" w:ascii="宋体" w:hAnsi="宋体" w:cs="宋体"/>
                <w:color w:val="000000"/>
                <w:kern w:val="0"/>
                <w:sz w:val="18"/>
                <w:szCs w:val="18"/>
                <w:highlight w:val="none"/>
                <w:lang w:bidi="ar"/>
              </w:rPr>
              <w:t>7</w:t>
            </w:r>
            <w:r>
              <w:rPr>
                <w:rFonts w:hint="eastAsia" w:ascii="宋体" w:hAnsi="宋体" w:cs="宋体"/>
                <w:color w:val="000000"/>
                <w:kern w:val="0"/>
                <w:sz w:val="18"/>
                <w:szCs w:val="18"/>
                <w:highlight w:val="none"/>
                <w:lang w:bidi="ar"/>
              </w:rPr>
              <w:t>.模/数动态范围116dB</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28</w:t>
            </w:r>
            <w:r>
              <w:rPr>
                <w:rFonts w:hint="eastAsia" w:ascii="宋体" w:hAnsi="宋体" w:cs="宋体"/>
                <w:color w:val="000000"/>
                <w:kern w:val="0"/>
                <w:sz w:val="18"/>
                <w:szCs w:val="18"/>
                <w:highlight w:val="none"/>
                <w:lang w:bidi="ar"/>
              </w:rPr>
              <w:t>.数/模动态范围120dB</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台</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66</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无线话筒</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产品介绍</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本产品是一款全新方案架构的数字无线麦克风系统，该系统采用独有数字U段传输技术，pi/4-DQPSK调制方式，误码率低，传输稳定，相对于行业内多数U段模拟调制产品，具有抗干扰能力强，ID码导频技术防同频串音、可扫频避开干扰等优点。</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功能特点</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1.基于数字U段的传输技术，pi/4-DQPSK调制方式，采用国产主控芯片，传输距离80米，接收机具有2路平衡输出、1路非平衡混音输出；具有混响、均衡、智能静音、音频加密、功率调节功能。</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2.具有1台接收主机、1只手持发射机、1只头戴腰包发射机；频率范围470MHz-510MHz、540MHz-590MHz、640MHz-690MHz、807MHz-830MHz四个频段使用。</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3.采用独有的加密方式进行音频传输，保障会议内容。</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4.具有多频段均衡调节功能，均衡调节2197种，麦克风均衡器调节功能，具有高、中、低音三种调节档位，每种效果支持13档调节。</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5.具有多档位混响调节功能，混响效果15625个，效果占比、回响延时、混响幅度调节，三种音效各具有25档调节方式。</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6.具有自动静音功能，麦克风跌落、抛掷时，毫秒级自动静音，避免冲击声；实时监测设备姿态，静置5秒静音，8分钟关机，无需手动干预。</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7.接收机前面板具有2个TFT-LCD显示屏、2个编码旋钮、2个频率扫描实体按键、2个红外对频实体按键、1个电源开关按键、1个二合一指示灯（红外发射管+对频指示灯）；后面板具有1个LINE-OUT接口、2个XLR-OUT接口、2个BNC接口、1个DC接口。腰包发射机具有1个显示屏、4个实体按键（包括1个静音键、1个音量减少键、1个音量增加键、1个电源开关键）、1个电源状态指示灯、1个静音指示灯。手持发射机具有1个OLED显示屏、1个开关机/静音按键、1个工作状态指示灯、1个红外对频指示灯。</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8.接收机具有2个2.2英寸的TFT-LCD显示屏。</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9.发射机具有0.96英寸OLED显示屏，能够显示频率信息、音频加密状态、功率挡位、静音状态、电量格数信息。</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10.接收机面板精湛工艺制作，大气美观。</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11.具有ID码防串扰功能，采用32位唯一ID码，用于接收和发射配对，收发ID码必须相同才能对码，能够有效防止相同频率的信号相互串台。</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12.可一键频率扫描，避开干扰；可一键红外对频，操作简单。</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13.具有长时间续航，发射机连续使用时长10小时。</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14.腰包机上有音量调节键可供用户调节。</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15.手持麦克风静置5秒自动静音、8分钟自动关机。</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16.手持麦、腰包机发射功率7档可调，按需调节发射功率。</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17.手持麦、腰包机可以实现一键静音，实用性强。</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18.手持麦克风采用符合人体工学设计，外形圆润贴合手部曲线，握感舒适。</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19.手持麦克风跌落、抛掷时，毫秒级响应自动静音，避免冲击声。</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技术参数</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系统指标</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1.频率范围：470MHz-510MHz、540MHz-590MHz、640MHz-690MHz、807-830MHz</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2.调制方式：pi/4-DQPSK</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3.频率响应：20Hz~20kHz（±3dB）</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4.信噪比：≥105dB（XLR）</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5.THD+N：＜0.1%</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6.工作距离：约80m</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接收机指标</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1.天线接口：BNC/50</w:t>
            </w:r>
            <w:r>
              <w:rPr>
                <w:rFonts w:ascii="Calibri" w:hAnsi="Calibri" w:cs="Calibri"/>
                <w:color w:val="000000"/>
                <w:kern w:val="0"/>
                <w:sz w:val="18"/>
                <w:szCs w:val="18"/>
                <w:highlight w:val="none"/>
                <w:lang w:bidi="ar"/>
              </w:rPr>
              <w:t>Ω</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2.接收灵敏度：-95dBm</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3.最大输出：平衡输出500mV，非平衡输出1000mV</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4.电源：DC12V/1A</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5.工作电流：≤320mA</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发射机指标</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1.音头：动圈式麦克风（手持话筒）</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2.音头：电容式麦克风（头戴话筒）</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3.输出功率：≥10dBm</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4.工作电流：≤200mA</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5.电池：2×1.5V(AA)</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6.电池使用时长：&gt;10H</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3</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套</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67</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话筒呼叫控制嵌入软件</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1.软件内嵌于无线话筒系统设备，话筒呼叫控制功能。</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2.采用UHF超高频段双真分集接收，并采用PLL锁相环多信道频率合成技术。</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3.支持自动选讯接收方式。</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4.支持信道选择、频率可调、可设置主机与话筒配对。</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3</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套</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68</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话筒天线</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产品特点</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1.此壁挂天线在有源的状态下，天线在其面向180度接收角度范围广，比指向性天线覆盖的范围广。</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2.天线接收频段广，可接收470-950MHZ的频率。</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3.此天线具有防腐蚀、抗紫外线、防震及轻型的特点，在不同环境下可长时间及稳定工作。</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4.此款天线安装方便，简易。</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技术参数</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1.频率范围：470～950MHz</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2.最大增益：8.0dBi</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3.电压驻波比：≤2.0</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4.极化方式：线极化</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5.输入阻抗：50Ω</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6.接头型号：BNC接头</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7.工作温度：-30～+60℃</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8.放大器OIP3：＞25dBm</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9.指向性：180°指向</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10.供电电压：DC8～12V</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3</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套</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69</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电源管理器</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1.支持≥8通道电源时序打开/关闭，每路动作延时时间：≤1秒，支持远程控制（上电+24V直流信号）8通道电源时序打开/关闭—当电源开关处于off位置时有效。支持配置CH1和CH2通道为受控或不受控状态。</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2.当远程控制有效时同时控制后板ALARM（报警）端口导通以起到级联控制ALARM（报警）功能。</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3.单个通道最大负载功率≥2200W，所有通道负载总功率≥6000W。输出连接器：多用途电源插座。</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4.具有一路及以上USB输出接口。</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台</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70</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音频连接线</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1.8米音频连接线：卡侬头（母）-卡侬头（公）</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6</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根</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71</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音频连接线</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1.8米音频连接线：卡农头（母）-空</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8</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根</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72</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音频连接线</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5米音频连接线：3.5（耳机插头）-双6.35话筒插头</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2</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根</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73</w:t>
            </w:r>
          </w:p>
        </w:tc>
        <w:tc>
          <w:tcPr>
            <w:tcW w:w="5432"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八、党建基地中央空调安装</w:t>
            </w:r>
          </w:p>
        </w:tc>
        <w:tc>
          <w:tcPr>
            <w:tcW w:w="690" w:type="dxa"/>
            <w:tcBorders>
              <w:top w:val="single" w:color="000000" w:sz="4" w:space="0"/>
              <w:left w:val="single" w:color="000000" w:sz="4" w:space="0"/>
              <w:bottom w:val="single" w:color="000000" w:sz="4" w:space="0"/>
              <w:right w:val="single" w:color="000000" w:sz="4" w:space="0"/>
            </w:tcBorders>
            <w:noWrap/>
          </w:tcPr>
          <w:p>
            <w:pPr>
              <w:jc w:val="center"/>
              <w:rPr>
                <w:rFonts w:hint="eastAsia" w:ascii="宋体" w:hAnsi="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noWrap/>
            <w:vAlign w:val="center"/>
          </w:tcPr>
          <w:p>
            <w:pPr>
              <w:jc w:val="left"/>
              <w:rPr>
                <w:rFonts w:hint="eastAsia" w:ascii="宋体" w:hAnsi="宋体" w:cs="宋体"/>
                <w:color w:val="000000"/>
                <w:sz w:val="18"/>
                <w:szCs w:val="18"/>
                <w:highlight w:val="none"/>
              </w:rPr>
            </w:pP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74</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1匹一拖一风管机</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制冷量：2600W；制冷功率：700w；制热量：3500W；制热功率：960W；电源：220v-50Hz</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台</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75</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2匹分体新风挂机</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制冷量：5020W；制冷功率：1240w；制热功率：1990W；循环风量：860m³/h；新风量：30m³/h；电源：220v-50Hz</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台</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76</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2匹一拖一风管机</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制冷量：5100W；制冷功率：1800w；制热量：6000W；制热功率：1800W；电源：220v-50Hz</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台</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77</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3匹一拖一新风风管机</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制冷量：7500W；制冷功率：2580w；制热量：9700W；制热功率：2900W；循环风量：1200m³/h；新风量：210m³/h；电源：220v-50Hz</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7</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台</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78</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新风多联外机</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制冷量：14.0kw；制冷功率：3.3kw；制热量：16.0kw；制热功率：3.6kw；APF:5.8；电源：220V-50hz</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台</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79</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多联机内机（带新风）</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制冷量：3600W；制冷功率：60W；制热量：4000W；制热功率：50W；电源：220v-50Hz</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4</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台</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80</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3匹一拖一新风风管机</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制冷量：7500W；制冷功率：2580w；制热量：9700W；制热功率：2900W；循环风量：1200m³/h；新风量：210m³/h；电源：220v-50Hz</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5</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台</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81</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新风多联外机</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制冷量：14.0kw；制冷功率：3.3kw；制热量：16.0kw；制热功率：3.6kw；APF:5.8；电源：220V-50hz</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2</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台</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82</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多联机内机（带新风）</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制冷量：3600W；制冷功率：60W；制热量：4000W；制热功率：50W；电源：220v-50Hz</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6</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台</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83</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多联机内机（带新风）</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制冷量：4500W；制冷功率：70W；制热量：5000W；制热功率：60W；电源：220v-50Hz</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2</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台</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84</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3匹一拖一新风风管机</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制冷量：7500W；制冷功率：2580w；制热量：9700W；制热功率：2900W；循环风量：1200m³/h；新风量：210m³/h；电源：220v-50Hz</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2</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台</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85</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多联外机</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制冷量：12.0kw；制冷功率：2.6kw；制热量：14.5kw；制热功率：3.0kw；APF:6.0；电源：220V-50hz</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台</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86</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多联机内机</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制冷量：5600W；制冷功率：70W；制热量：6300W；制热功率：70W；电源：220v-50Hz</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2</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台</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87</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新风多联外机</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制冷量：14.0kw；制冷功率：3.3kw；制热量：16.0kw；制热功率：3.6kw；APF:5.8；电源：220V-50hz</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2</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台</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88</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多联机内机（带新风）</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制冷量：14.0kw；制冷功率：3.3kw；制热量：16.0kw；制热功率：3.6kw；APF:5.8；电源：220V-50hz</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6</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台</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89</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多联机内机（带新风）</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制冷量：4500W；制冷功率：70W；制热量：5000W；制热功率：60W；电源：220v-50Hz</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2</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台</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90</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3匹一拖一新风风管机</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制冷量：7500W；制冷功率：2580w；制热量：9700W；制热功率：2900W；循环风量：1200m³/h；新风量：210m³/h；电源：220v-50Hz</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2</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台</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91</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1.5匹分体新风挂机</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制冷量：5020W；制冷功率：815w；制热功率：1205W；循环风量：800m³/h；新风量：40m³/h；电源：220v-50Hz</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5</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台</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92</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线控器</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1.名称:线控器</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40</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个</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93</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遥控器</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1.遥控器</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6</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个</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94</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冷媒管Φ15.9δ=1.0mm</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1.规格、压力等级:冷媒管Φ15.9δ=1.0mm</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65</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m</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95</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冷媒管Φ12.7δ=0.8mm</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1.规格、压力等级:冷媒管Φ12.7δ=0.8mm</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115</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m</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96</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冷媒管Φ9.5δ=0.8mm</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1.规格、压力等级:冷媒管Φ9.5δ=0.8mm</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65</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m</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97</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冷媒管Φ6.4δ=0.8mm</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1.规格、压力等级:冷媒管Φ6.4δ=0.8mm</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115</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m</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98</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冷媒保温管M-15δ=17.8mm</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1.规格、压力等级:冷媒保温管M-15δ=17.8mm</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65</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m</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99</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冷媒保温管H-12δ=14.0mm</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1.规格、压力等级:冷媒保温管H-12δ=14.0mm</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115</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m</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100</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冷媒保温管H-10δ=14.0mm</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1.规格、压力等级:冷媒保温管H-10δ=14.0mm</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65</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m</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101</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冷媒保温管H-7δ=14.0mm</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1.规格、压力等级:冷媒保温管H-7δ=14.0mm</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115</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m</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102</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分歧管</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1.规格:FQZHF-01C</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14</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套</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103</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分歧管</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1.规格:FQZHF-02C</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2</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套</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104</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信号线3芯</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1.规格:信号线3芯</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400</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m</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105</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线管DN20</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1.规格:线管DN20</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400</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m</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106</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出回风百叶</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1.名称:出回风百叶ABS</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46</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套</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107</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3匹铜管含保温电源线</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1.3匹铜管含保温电源线</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120</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m</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108</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2匹铜管含保温电源线</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1.2匹铜管含保温电源线</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17</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m</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109</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1-1.5匹铜管含保温电源线</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1.1-1.5匹铜管含保温电源线</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35</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m</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110</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PVC-U给水管DN25</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1.材质、规格:PVC-U给水管DN25</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280</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m</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111</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排水保温管DN25</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1.材质、规格:排水保温管DN25</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280</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m</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112</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镀锌钢板</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1.镀锌钢板0.75mm</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65</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m2</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113</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多联机支架</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1.管架形式:多联机支架</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6</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副</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114</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3匹铁支架</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1.管架形式:3匹铁支架</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16</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套</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115</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2匹铁支架</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1.管架形式:2匹铁支架</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2</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套</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116</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1-1.5匹铁支架</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1.管架形式:1-1.5匹铁支架</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5</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套</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117</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室内机吊杆</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1.室内机吊杆</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40</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台</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118</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室外机减震垫</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1.(橡塑)100*100mm</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24</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个</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119</w:t>
            </w:r>
          </w:p>
        </w:tc>
        <w:tc>
          <w:tcPr>
            <w:tcW w:w="5432"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九、党建基地语音通信系统</w:t>
            </w:r>
          </w:p>
        </w:tc>
        <w:tc>
          <w:tcPr>
            <w:tcW w:w="690" w:type="dxa"/>
            <w:tcBorders>
              <w:top w:val="single" w:color="000000" w:sz="4" w:space="0"/>
              <w:left w:val="single" w:color="000000" w:sz="4" w:space="0"/>
              <w:bottom w:val="single" w:color="000000" w:sz="4" w:space="0"/>
              <w:right w:val="single" w:color="000000" w:sz="4" w:space="0"/>
            </w:tcBorders>
            <w:noWrap/>
          </w:tcPr>
          <w:p>
            <w:pPr>
              <w:jc w:val="center"/>
              <w:rPr>
                <w:rFonts w:hint="eastAsia" w:ascii="宋体" w:hAnsi="宋体" w:cs="宋体"/>
                <w:color w:val="000000"/>
                <w:sz w:val="18"/>
                <w:szCs w:val="18"/>
                <w:highlight w:val="none"/>
              </w:rPr>
            </w:pPr>
          </w:p>
        </w:tc>
        <w:tc>
          <w:tcPr>
            <w:tcW w:w="540" w:type="dxa"/>
            <w:tcBorders>
              <w:top w:val="single" w:color="000000" w:sz="4" w:space="0"/>
              <w:left w:val="single" w:color="000000" w:sz="4" w:space="0"/>
              <w:bottom w:val="single" w:color="000000" w:sz="4" w:space="0"/>
              <w:right w:val="single" w:color="000000" w:sz="4" w:space="0"/>
            </w:tcBorders>
            <w:noWrap/>
            <w:vAlign w:val="center"/>
          </w:tcPr>
          <w:p>
            <w:pPr>
              <w:jc w:val="left"/>
              <w:rPr>
                <w:rFonts w:hint="eastAsia" w:ascii="宋体" w:hAnsi="宋体" w:cs="宋体"/>
                <w:color w:val="000000"/>
                <w:sz w:val="18"/>
                <w:szCs w:val="18"/>
                <w:highlight w:val="none"/>
              </w:rPr>
            </w:pP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120</w:t>
            </w:r>
          </w:p>
        </w:tc>
        <w:tc>
          <w:tcPr>
            <w:tcW w:w="12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通信控制终端</w:t>
            </w:r>
          </w:p>
        </w:tc>
        <w:tc>
          <w:tcPr>
            <w:tcW w:w="420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1：桌面式语音通信设备：默认配置4外线/16分机，最大支持6外线32分机、2个8路分机用户扩展槽位、1个2外线扩展槽位。</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2：支持FSK/DTMF来电显示、自录欢迎词语音导录。</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3：支持1个RS232电脑调试、管理系统管理端口、1个3.5mm音频导入端口。</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4：支持双主控芯片、四路发码器管理系统、PPTC过流过压自恢复保险丝保护装置。</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5：语音业务包含：FSK/DTMF来电显示、2路电脑话务员、二次来显、IVR语音导航、自录欢迎语导录、彩铃导录、人工/电脑值班、自动切换值班模式、HCI人机互换、、ACD排队、分机号弹性编码、分机密码、转接音乐、自报分机号码、分机一键呼叫总机、分机热线、遇忙/移位/无条件转移、秘书转移、代接/代拨电话、三方会议、通话限时管理、强插监听、免打扰、内外线分组、内线预约、内线状态重拨外线、群呼、缩位拨号、特许拨号、IP拨号、等级管理、自编出局码、经济路由、传真识别、个人分机锁等。</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6：交流电源：AC220V±10%、最大功耗：≤35W、输入音频电平：1Vrms、阻抗：10K、铃流65V/50HZ、馈电48V/25NA。</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7：音频传输衰减频率失真+0.5dB至-0.5dB、环路电流＞18mA环路阻抗＜1.8K欧姆。</w:t>
            </w:r>
            <w:r>
              <w:rPr>
                <w:rFonts w:hint="eastAsia" w:ascii="宋体" w:hAnsi="宋体" w:cs="宋体"/>
                <w:color w:val="000000"/>
                <w:kern w:val="0"/>
                <w:sz w:val="18"/>
                <w:szCs w:val="18"/>
                <w:highlight w:val="none"/>
                <w:lang w:bidi="ar"/>
              </w:rPr>
              <w:br w:type="textWrapping"/>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w:t>
            </w:r>
          </w:p>
        </w:tc>
        <w:tc>
          <w:tcPr>
            <w:tcW w:w="54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台</w:t>
            </w:r>
          </w:p>
        </w:tc>
        <w:tc>
          <w:tcPr>
            <w:tcW w:w="1155" w:type="dxa"/>
            <w:tcBorders>
              <w:top w:val="single" w:color="000000" w:sz="4" w:space="0"/>
              <w:left w:val="single" w:color="000000" w:sz="4" w:space="0"/>
              <w:bottom w:val="single" w:color="000000" w:sz="4"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4" w:space="0"/>
              <w:right w:val="single" w:color="000000" w:sz="8" w:space="0"/>
            </w:tcBorders>
            <w:noWrap/>
            <w:vAlign w:val="bottom"/>
          </w:tcPr>
          <w:p>
            <w:pPr>
              <w:rPr>
                <w:rFonts w:ascii="Calibri" w:hAnsi="Calibri" w:cs="Calibri"/>
                <w:color w:val="000000"/>
                <w:sz w:val="18"/>
                <w:szCs w:val="18"/>
                <w:highlight w:val="none"/>
              </w:rPr>
            </w:pPr>
          </w:p>
        </w:tc>
      </w:tr>
      <w:tr>
        <w:tblPrEx>
          <w:tblCellMar>
            <w:top w:w="0" w:type="dxa"/>
            <w:left w:w="108" w:type="dxa"/>
            <w:bottom w:w="0" w:type="dxa"/>
            <w:right w:w="108" w:type="dxa"/>
          </w:tblCellMar>
        </w:tblPrEx>
        <w:tc>
          <w:tcPr>
            <w:tcW w:w="549" w:type="dxa"/>
            <w:tcBorders>
              <w:top w:val="single" w:color="000000" w:sz="4" w:space="0"/>
              <w:left w:val="single" w:color="000000" w:sz="8" w:space="0"/>
              <w:bottom w:val="single" w:color="000000" w:sz="8"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121</w:t>
            </w:r>
          </w:p>
        </w:tc>
        <w:tc>
          <w:tcPr>
            <w:tcW w:w="1232" w:type="dxa"/>
            <w:tcBorders>
              <w:top w:val="single" w:color="000000" w:sz="4" w:space="0"/>
              <w:left w:val="single" w:color="000000" w:sz="4" w:space="0"/>
              <w:bottom w:val="single" w:color="000000" w:sz="8"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语音接入终端</w:t>
            </w:r>
          </w:p>
        </w:tc>
        <w:tc>
          <w:tcPr>
            <w:tcW w:w="4200" w:type="dxa"/>
            <w:tcBorders>
              <w:top w:val="single" w:color="000000" w:sz="4" w:space="0"/>
              <w:left w:val="single" w:color="000000" w:sz="4" w:space="0"/>
              <w:bottom w:val="single" w:color="000000" w:sz="8" w:space="0"/>
              <w:right w:val="single" w:color="000000" w:sz="4" w:space="0"/>
            </w:tcBorders>
            <w:vAlign w:val="center"/>
          </w:tcPr>
          <w:p>
            <w:pPr>
              <w:widowControl/>
              <w:jc w:val="left"/>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1：DTMF/FSK双制式来电显示，振铃频率和启动电压：18-75HZ，≤30V。</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2：2.8英寸LCD显示屏，即插即用、免提通话、免电池、可壁挂、10组快捷存储按键、来电指示灯、叫醒闹钟、免打扰、办公、酒店可使用。</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3：31个键盘按键及来电提醒指示灯，3组叫醒闹钟，16组铃声选择。</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4：双接口,最大可串联5个分机，被叫时可同时振铃、通话（会受电话线馈电影响而衰减）。</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5：38组来电信息记录、16组拨号信息记录，可查询。</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6：微电脑芯片记忆、控制、8位智能抢线出局。</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7：FLASH时间7档可选择、工作免打扰设置功能。</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8：屏幕亮度5档可随意调整，实时显示时间、星期日历功能、断电快捷存储号码自动保护功能。</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9：上翻、下翻、删除、追拨、重拨功能、话机支架45度角度调整。</w:t>
            </w:r>
            <w:r>
              <w:rPr>
                <w:rFonts w:hint="eastAsia" w:ascii="宋体" w:hAnsi="宋体" w:cs="宋体"/>
                <w:color w:val="000000"/>
                <w:kern w:val="0"/>
                <w:sz w:val="18"/>
                <w:szCs w:val="18"/>
                <w:highlight w:val="none"/>
                <w:lang w:bidi="ar"/>
              </w:rPr>
              <w:br w:type="textWrapping"/>
            </w:r>
            <w:r>
              <w:rPr>
                <w:rFonts w:hint="eastAsia" w:ascii="宋体" w:hAnsi="宋体" w:cs="宋体"/>
                <w:color w:val="000000"/>
                <w:kern w:val="0"/>
                <w:sz w:val="18"/>
                <w:szCs w:val="18"/>
                <w:highlight w:val="none"/>
                <w:lang w:bidi="ar"/>
              </w:rPr>
              <w:t>10：来电制式制动转换识别、铃声音量可自由调节功能。</w:t>
            </w:r>
          </w:p>
        </w:tc>
        <w:tc>
          <w:tcPr>
            <w:tcW w:w="690" w:type="dxa"/>
            <w:tcBorders>
              <w:top w:val="single" w:color="000000" w:sz="4" w:space="0"/>
              <w:left w:val="single" w:color="000000" w:sz="4" w:space="0"/>
              <w:bottom w:val="single" w:color="000000" w:sz="8" w:space="0"/>
              <w:right w:val="single" w:color="000000" w:sz="4" w:space="0"/>
            </w:tcBorders>
            <w:noWrap/>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10</w:t>
            </w:r>
          </w:p>
        </w:tc>
        <w:tc>
          <w:tcPr>
            <w:tcW w:w="540" w:type="dxa"/>
            <w:tcBorders>
              <w:top w:val="single" w:color="000000" w:sz="4" w:space="0"/>
              <w:left w:val="single" w:color="000000" w:sz="4" w:space="0"/>
              <w:bottom w:val="single" w:color="000000" w:sz="8" w:space="0"/>
              <w:right w:val="single" w:color="000000" w:sz="4" w:space="0"/>
            </w:tcBorders>
            <w:vAlign w:val="center"/>
          </w:tcPr>
          <w:p>
            <w:pPr>
              <w:widowControl/>
              <w:jc w:val="center"/>
              <w:textAlignment w:val="center"/>
              <w:rPr>
                <w:rFonts w:hint="eastAsia" w:ascii="宋体" w:hAnsi="宋体" w:cs="宋体"/>
                <w:color w:val="000000"/>
                <w:sz w:val="18"/>
                <w:szCs w:val="18"/>
                <w:highlight w:val="none"/>
              </w:rPr>
            </w:pPr>
            <w:r>
              <w:rPr>
                <w:rFonts w:hint="eastAsia" w:ascii="宋体" w:hAnsi="宋体" w:cs="宋体"/>
                <w:color w:val="000000"/>
                <w:kern w:val="0"/>
                <w:sz w:val="18"/>
                <w:szCs w:val="18"/>
                <w:highlight w:val="none"/>
                <w:lang w:bidi="ar"/>
              </w:rPr>
              <w:t>台</w:t>
            </w:r>
          </w:p>
        </w:tc>
        <w:tc>
          <w:tcPr>
            <w:tcW w:w="1155" w:type="dxa"/>
            <w:tcBorders>
              <w:top w:val="single" w:color="000000" w:sz="4" w:space="0"/>
              <w:left w:val="single" w:color="000000" w:sz="4" w:space="0"/>
              <w:bottom w:val="single" w:color="000000" w:sz="8" w:space="0"/>
              <w:right w:val="single" w:color="000000" w:sz="4" w:space="0"/>
            </w:tcBorders>
            <w:noWrap/>
            <w:vAlign w:val="bottom"/>
          </w:tcPr>
          <w:p>
            <w:pPr>
              <w:rPr>
                <w:rFonts w:ascii="Calibri" w:hAnsi="Calibri" w:cs="Calibri"/>
                <w:color w:val="000000"/>
                <w:sz w:val="18"/>
                <w:szCs w:val="18"/>
                <w:highlight w:val="none"/>
              </w:rPr>
            </w:pPr>
          </w:p>
        </w:tc>
        <w:tc>
          <w:tcPr>
            <w:tcW w:w="652" w:type="dxa"/>
            <w:tcBorders>
              <w:top w:val="single" w:color="000000" w:sz="4" w:space="0"/>
              <w:left w:val="single" w:color="000000" w:sz="4" w:space="0"/>
              <w:bottom w:val="single" w:color="000000" w:sz="8" w:space="0"/>
              <w:right w:val="single" w:color="000000" w:sz="8" w:space="0"/>
            </w:tcBorders>
            <w:noWrap/>
            <w:vAlign w:val="bottom"/>
          </w:tcPr>
          <w:p>
            <w:pPr>
              <w:rPr>
                <w:rFonts w:ascii="Calibri" w:hAnsi="Calibri" w:cs="Calibri"/>
                <w:color w:val="000000"/>
                <w:sz w:val="18"/>
                <w:szCs w:val="18"/>
                <w:highlight w:val="none"/>
              </w:rPr>
            </w:pPr>
          </w:p>
        </w:tc>
      </w:tr>
    </w:tbl>
    <w:p>
      <w:pPr>
        <w:pStyle w:val="97"/>
        <w:tabs>
          <w:tab w:val="left" w:pos="420"/>
          <w:tab w:val="left" w:pos="1560"/>
        </w:tabs>
        <w:snapToGrid w:val="0"/>
        <w:spacing w:line="360" w:lineRule="auto"/>
        <w:ind w:firstLine="0" w:firstLineChars="0"/>
        <w:outlineLvl w:val="2"/>
        <w:rPr>
          <w:rFonts w:ascii="宋体" w:hAnsi="Times New Roman"/>
          <w:bCs/>
          <w:vanish/>
          <w:szCs w:val="21"/>
          <w:highlight w:val="none"/>
        </w:rPr>
      </w:pPr>
    </w:p>
    <w:p>
      <w:pPr>
        <w:pStyle w:val="97"/>
        <w:tabs>
          <w:tab w:val="left" w:pos="420"/>
          <w:tab w:val="left" w:pos="1560"/>
        </w:tabs>
        <w:snapToGrid w:val="0"/>
        <w:spacing w:line="360" w:lineRule="auto"/>
        <w:ind w:firstLine="0" w:firstLineChars="0"/>
        <w:outlineLvl w:val="2"/>
        <w:rPr>
          <w:rFonts w:ascii="宋体" w:hAnsi="Times New Roman"/>
          <w:bCs/>
          <w:vanish/>
          <w:szCs w:val="21"/>
          <w:highlight w:val="none"/>
        </w:rPr>
      </w:pPr>
    </w:p>
    <w:p>
      <w:pPr>
        <w:rPr>
          <w:highlight w:val="none"/>
        </w:rPr>
      </w:pPr>
    </w:p>
    <w:p>
      <w:pPr>
        <w:tabs>
          <w:tab w:val="left" w:pos="420"/>
          <w:tab w:val="left" w:pos="1560"/>
        </w:tabs>
        <w:snapToGrid w:val="0"/>
        <w:spacing w:line="360" w:lineRule="auto"/>
        <w:outlineLvl w:val="2"/>
        <w:rPr>
          <w:rFonts w:ascii="宋体"/>
          <w:bCs/>
          <w:vanish/>
          <w:szCs w:val="21"/>
          <w:highlight w:val="none"/>
        </w:rPr>
      </w:pPr>
      <w:r>
        <w:rPr>
          <w:rFonts w:hint="eastAsia" w:ascii="宋体"/>
          <w:bCs/>
          <w:vanish/>
          <w:szCs w:val="21"/>
          <w:highlight w:val="none"/>
        </w:rPr>
        <w:t>网络边缘防护代理</w:t>
      </w:r>
    </w:p>
    <w:p>
      <w:pPr>
        <w:tabs>
          <w:tab w:val="left" w:pos="420"/>
          <w:tab w:val="left" w:pos="1560"/>
        </w:tabs>
        <w:snapToGrid w:val="0"/>
        <w:spacing w:line="360" w:lineRule="auto"/>
        <w:outlineLvl w:val="2"/>
        <w:rPr>
          <w:rFonts w:ascii="宋体"/>
          <w:bCs/>
          <w:vanish/>
          <w:szCs w:val="21"/>
          <w:highlight w:val="none"/>
        </w:rPr>
      </w:pPr>
    </w:p>
    <w:p>
      <w:pPr>
        <w:pStyle w:val="97"/>
        <w:tabs>
          <w:tab w:val="left" w:pos="420"/>
          <w:tab w:val="left" w:pos="1560"/>
        </w:tabs>
        <w:snapToGrid w:val="0"/>
        <w:spacing w:line="360" w:lineRule="auto"/>
        <w:ind w:firstLine="0" w:firstLineChars="0"/>
        <w:outlineLvl w:val="2"/>
        <w:rPr>
          <w:rFonts w:ascii="宋体" w:hAnsi="Times New Roman"/>
          <w:bCs/>
          <w:vanish/>
          <w:szCs w:val="21"/>
          <w:highlight w:val="none"/>
        </w:rPr>
      </w:pPr>
      <w:r>
        <w:rPr>
          <w:rFonts w:hint="eastAsia" w:ascii="宋体" w:hAnsi="Times New Roman"/>
          <w:bCs/>
          <w:vanish/>
          <w:szCs w:val="21"/>
          <w:highlight w:val="none"/>
        </w:rPr>
        <w:t>内部区域访问控制器</w:t>
      </w:r>
    </w:p>
    <w:p>
      <w:pPr>
        <w:pStyle w:val="97"/>
        <w:tabs>
          <w:tab w:val="left" w:pos="420"/>
          <w:tab w:val="left" w:pos="1560"/>
        </w:tabs>
        <w:snapToGrid w:val="0"/>
        <w:spacing w:line="360" w:lineRule="auto"/>
        <w:ind w:firstLine="0" w:firstLineChars="0"/>
        <w:outlineLvl w:val="2"/>
        <w:rPr>
          <w:rFonts w:ascii="宋体" w:hAnsi="Times New Roman"/>
          <w:bCs/>
          <w:vanish/>
          <w:szCs w:val="21"/>
          <w:highlight w:val="none"/>
        </w:rPr>
      </w:pPr>
    </w:p>
    <w:p>
      <w:pPr>
        <w:pStyle w:val="97"/>
        <w:tabs>
          <w:tab w:val="left" w:pos="420"/>
          <w:tab w:val="left" w:pos="1560"/>
        </w:tabs>
        <w:snapToGrid w:val="0"/>
        <w:spacing w:line="360" w:lineRule="auto"/>
        <w:ind w:firstLine="0" w:firstLineChars="0"/>
        <w:outlineLvl w:val="2"/>
        <w:rPr>
          <w:rFonts w:ascii="宋体" w:hAnsi="Times New Roman"/>
          <w:bCs/>
          <w:vanish/>
          <w:szCs w:val="21"/>
          <w:highlight w:val="none"/>
        </w:rPr>
      </w:pPr>
    </w:p>
    <w:p>
      <w:pPr>
        <w:pStyle w:val="97"/>
        <w:tabs>
          <w:tab w:val="left" w:pos="420"/>
          <w:tab w:val="left" w:pos="1560"/>
        </w:tabs>
        <w:snapToGrid w:val="0"/>
        <w:spacing w:line="360" w:lineRule="auto"/>
        <w:ind w:firstLine="0" w:firstLineChars="0"/>
        <w:outlineLvl w:val="2"/>
        <w:rPr>
          <w:rFonts w:ascii="宋体" w:hAnsi="Times New Roman"/>
          <w:bCs/>
          <w:vanish/>
          <w:szCs w:val="21"/>
          <w:highlight w:val="none"/>
        </w:rPr>
      </w:pPr>
    </w:p>
    <w:p>
      <w:pPr>
        <w:pStyle w:val="3"/>
        <w:numPr>
          <w:ilvl w:val="0"/>
          <w:numId w:val="0"/>
        </w:numPr>
        <w:ind w:firstLine="480" w:firstLineChars="200"/>
        <w:rPr>
          <w:rFonts w:hint="eastAsia" w:hAnsi="宋体"/>
          <w:sz w:val="24"/>
          <w:szCs w:val="24"/>
          <w:highlight w:val="none"/>
        </w:rPr>
      </w:pPr>
      <w:bookmarkStart w:id="25" w:name="_Toc277597176"/>
      <w:bookmarkStart w:id="26" w:name="_Toc283566853"/>
      <w:bookmarkStart w:id="27" w:name="_Toc223"/>
      <w:bookmarkStart w:id="28" w:name="_Toc387858486"/>
      <w:r>
        <w:rPr>
          <w:rFonts w:hint="eastAsia" w:hAnsi="宋体"/>
          <w:sz w:val="24"/>
          <w:szCs w:val="24"/>
          <w:highlight w:val="none"/>
        </w:rPr>
        <w:t>（二）</w:t>
      </w:r>
      <w:bookmarkEnd w:id="25"/>
      <w:bookmarkEnd w:id="26"/>
      <w:r>
        <w:rPr>
          <w:rFonts w:hint="eastAsia" w:hAnsi="宋体"/>
          <w:sz w:val="24"/>
          <w:szCs w:val="24"/>
          <w:highlight w:val="none"/>
        </w:rPr>
        <w:t>规格要求</w:t>
      </w:r>
      <w:bookmarkEnd w:id="27"/>
    </w:p>
    <w:p>
      <w:pPr>
        <w:pStyle w:val="64"/>
        <w:adjustRightInd w:val="0"/>
        <w:snapToGrid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技术条件书中所涉及的各产品参数不作为强制要求，同等类型设备能够满足使用需求即可。</w:t>
      </w:r>
    </w:p>
    <w:bookmarkEnd w:id="28"/>
    <w:p>
      <w:pPr>
        <w:pStyle w:val="3"/>
        <w:numPr>
          <w:ilvl w:val="0"/>
          <w:numId w:val="0"/>
        </w:numPr>
        <w:ind w:firstLine="480" w:firstLineChars="200"/>
        <w:rPr>
          <w:rFonts w:hint="eastAsia" w:hAnsi="宋体"/>
          <w:sz w:val="24"/>
          <w:szCs w:val="24"/>
          <w:highlight w:val="none"/>
        </w:rPr>
      </w:pPr>
      <w:bookmarkStart w:id="29" w:name="_Toc18055"/>
      <w:r>
        <w:rPr>
          <w:rFonts w:hint="eastAsia" w:hAnsi="宋体"/>
          <w:sz w:val="24"/>
          <w:szCs w:val="24"/>
          <w:highlight w:val="none"/>
        </w:rPr>
        <w:t>（三）技术及服务要求</w:t>
      </w:r>
      <w:bookmarkEnd w:id="29"/>
    </w:p>
    <w:p>
      <w:pPr>
        <w:pStyle w:val="3"/>
        <w:numPr>
          <w:ilvl w:val="0"/>
          <w:numId w:val="0"/>
        </w:numPr>
        <w:ind w:firstLine="480" w:firstLineChars="200"/>
        <w:rPr>
          <w:rFonts w:hint="eastAsia" w:hAnsi="宋体"/>
          <w:sz w:val="24"/>
          <w:szCs w:val="24"/>
          <w:highlight w:val="none"/>
        </w:rPr>
      </w:pPr>
      <w:r>
        <w:rPr>
          <w:rFonts w:hint="eastAsia" w:hAnsi="宋体"/>
          <w:sz w:val="24"/>
          <w:szCs w:val="24"/>
          <w:highlight w:val="none"/>
        </w:rPr>
        <w:t>1）投标方负责整个工程相关设备的采购运输、技术支持、安装调试和售后服务。投标方提供货物3年的整机免费质保。</w:t>
      </w:r>
    </w:p>
    <w:p>
      <w:pPr>
        <w:pStyle w:val="3"/>
        <w:numPr>
          <w:ilvl w:val="0"/>
          <w:numId w:val="0"/>
        </w:numPr>
        <w:ind w:firstLine="480" w:firstLineChars="200"/>
        <w:rPr>
          <w:rFonts w:hint="eastAsia" w:hAnsi="宋体"/>
          <w:sz w:val="24"/>
          <w:szCs w:val="24"/>
          <w:highlight w:val="none"/>
        </w:rPr>
      </w:pPr>
      <w:r>
        <w:rPr>
          <w:rFonts w:hint="eastAsia" w:hAnsi="宋体"/>
          <w:sz w:val="24"/>
          <w:szCs w:val="24"/>
          <w:highlight w:val="none"/>
        </w:rPr>
        <w:t>2）投标方的供货应包含所有规定的为运行所需的部件，并满足本技术条件书的要求。</w:t>
      </w:r>
    </w:p>
    <w:p>
      <w:pPr>
        <w:pStyle w:val="3"/>
        <w:numPr>
          <w:ilvl w:val="0"/>
          <w:numId w:val="0"/>
        </w:numPr>
        <w:ind w:firstLine="480" w:firstLineChars="200"/>
        <w:rPr>
          <w:rFonts w:hint="eastAsia" w:hAnsi="宋体"/>
          <w:sz w:val="24"/>
          <w:szCs w:val="24"/>
          <w:highlight w:val="none"/>
        </w:rPr>
      </w:pPr>
      <w:r>
        <w:rPr>
          <w:rFonts w:hint="eastAsia" w:hAnsi="宋体"/>
          <w:sz w:val="24"/>
          <w:szCs w:val="24"/>
          <w:highlight w:val="none"/>
        </w:rPr>
        <w:t>3）在本技术条件书的框架下，没有明确说明需提供但是在供货规定范围内，为全套装置运行所必要的那些供货和服务，都应该提供。</w:t>
      </w:r>
    </w:p>
    <w:p>
      <w:pPr>
        <w:pStyle w:val="3"/>
        <w:numPr>
          <w:ilvl w:val="0"/>
          <w:numId w:val="0"/>
        </w:numPr>
        <w:ind w:firstLine="480" w:firstLineChars="200"/>
        <w:rPr>
          <w:rFonts w:hint="eastAsia" w:hAnsi="宋体"/>
          <w:sz w:val="24"/>
          <w:szCs w:val="24"/>
          <w:highlight w:val="none"/>
        </w:rPr>
      </w:pPr>
      <w:r>
        <w:rPr>
          <w:rFonts w:hint="eastAsia" w:hAnsi="宋体"/>
          <w:sz w:val="24"/>
          <w:szCs w:val="24"/>
          <w:highlight w:val="none"/>
        </w:rPr>
        <w:t>4）对于投标文件没有列出的而对设备的正常运行和维护必不可少的部件、配件等，投标方有责任给予补充，并列出单价。</w:t>
      </w:r>
    </w:p>
    <w:p>
      <w:pPr>
        <w:pStyle w:val="3"/>
        <w:numPr>
          <w:ilvl w:val="0"/>
          <w:numId w:val="0"/>
        </w:numPr>
        <w:ind w:firstLine="480" w:firstLineChars="200"/>
        <w:rPr>
          <w:rFonts w:hint="eastAsia" w:hAnsi="宋体"/>
          <w:sz w:val="24"/>
          <w:szCs w:val="24"/>
          <w:highlight w:val="none"/>
        </w:rPr>
      </w:pPr>
      <w:r>
        <w:rPr>
          <w:rFonts w:hint="eastAsia" w:hAnsi="宋体"/>
          <w:sz w:val="24"/>
          <w:szCs w:val="24"/>
          <w:highlight w:val="none"/>
        </w:rPr>
        <w:t>5）投标方的设备如必需接到其他设备才能正常使用，所需的一切费用由投标方负责。</w:t>
      </w:r>
    </w:p>
    <w:bookmarkEnd w:id="0"/>
    <w:bookmarkEnd w:id="24"/>
    <w:p>
      <w:pPr>
        <w:pStyle w:val="2"/>
        <w:numPr>
          <w:ilvl w:val="0"/>
          <w:numId w:val="0"/>
        </w:numPr>
        <w:snapToGrid/>
        <w:spacing w:before="0" w:beforeLines="0" w:line="480" w:lineRule="auto"/>
        <w:rPr>
          <w:rFonts w:hint="eastAsia" w:hAnsi="宋体"/>
          <w:sz w:val="24"/>
          <w:szCs w:val="24"/>
          <w:highlight w:val="none"/>
        </w:rPr>
      </w:pPr>
      <w:bookmarkStart w:id="30" w:name="_Toc9283"/>
      <w:r>
        <w:rPr>
          <w:rFonts w:hint="eastAsia" w:hAnsi="宋体"/>
          <w:sz w:val="24"/>
          <w:szCs w:val="24"/>
          <w:highlight w:val="none"/>
        </w:rPr>
        <w:t>六、</w:t>
      </w:r>
      <w:bookmarkStart w:id="31" w:name="_Toc276492417"/>
      <w:bookmarkStart w:id="32" w:name="_Toc387858465"/>
      <w:bookmarkStart w:id="33" w:name="_Toc271281212"/>
      <w:bookmarkStart w:id="34" w:name="_Toc276490905"/>
      <w:r>
        <w:rPr>
          <w:rFonts w:hint="eastAsia" w:hAnsi="宋体"/>
          <w:sz w:val="24"/>
          <w:szCs w:val="24"/>
          <w:highlight w:val="none"/>
        </w:rPr>
        <w:t>试验</w:t>
      </w:r>
      <w:bookmarkEnd w:id="30"/>
      <w:bookmarkEnd w:id="31"/>
      <w:bookmarkEnd w:id="32"/>
      <w:bookmarkEnd w:id="33"/>
      <w:bookmarkEnd w:id="34"/>
    </w:p>
    <w:p>
      <w:pPr>
        <w:pStyle w:val="3"/>
        <w:numPr>
          <w:ilvl w:val="0"/>
          <w:numId w:val="0"/>
        </w:numPr>
        <w:ind w:firstLine="480" w:firstLineChars="200"/>
        <w:rPr>
          <w:rFonts w:hint="eastAsia" w:hAnsi="宋体"/>
          <w:sz w:val="24"/>
          <w:szCs w:val="24"/>
          <w:highlight w:val="none"/>
        </w:rPr>
      </w:pPr>
      <w:r>
        <w:rPr>
          <w:rFonts w:hint="eastAsia" w:hAnsi="宋体"/>
          <w:sz w:val="24"/>
          <w:szCs w:val="24"/>
          <w:highlight w:val="none"/>
        </w:rPr>
        <w:t>根据相关国标和行标等有关标准及其补充说明进行各项试验，有关条款的特殊要求和补充应在试验期间遵守并执行。</w:t>
      </w:r>
    </w:p>
    <w:p>
      <w:pPr>
        <w:pStyle w:val="3"/>
        <w:numPr>
          <w:ilvl w:val="0"/>
          <w:numId w:val="0"/>
        </w:numPr>
        <w:ind w:firstLine="480" w:firstLineChars="200"/>
        <w:rPr>
          <w:rFonts w:hint="eastAsia" w:hAnsi="宋体"/>
          <w:sz w:val="24"/>
          <w:szCs w:val="24"/>
          <w:highlight w:val="none"/>
        </w:rPr>
      </w:pPr>
      <w:bookmarkStart w:id="35" w:name="_Toc6178"/>
      <w:bookmarkStart w:id="36" w:name="_Toc283566856"/>
      <w:r>
        <w:rPr>
          <w:rFonts w:hint="eastAsia" w:hAnsi="宋体"/>
          <w:sz w:val="24"/>
          <w:szCs w:val="24"/>
          <w:highlight w:val="none"/>
        </w:rPr>
        <w:t>（一）型式试验</w:t>
      </w:r>
      <w:bookmarkEnd w:id="35"/>
      <w:bookmarkEnd w:id="36"/>
    </w:p>
    <w:p>
      <w:pPr>
        <w:pStyle w:val="3"/>
        <w:numPr>
          <w:ilvl w:val="0"/>
          <w:numId w:val="0"/>
        </w:numPr>
        <w:ind w:firstLine="480" w:firstLineChars="200"/>
        <w:rPr>
          <w:rFonts w:hint="eastAsia" w:hAnsi="宋体"/>
          <w:sz w:val="24"/>
          <w:szCs w:val="24"/>
          <w:highlight w:val="none"/>
        </w:rPr>
      </w:pPr>
      <w:r>
        <w:rPr>
          <w:rFonts w:hint="eastAsia" w:hAnsi="宋体"/>
          <w:sz w:val="24"/>
          <w:szCs w:val="24"/>
          <w:highlight w:val="none"/>
        </w:rPr>
        <w:t>型式试验是为了验证所设计和制造的设备的性能是否能够达到相应产品标准的要求，投标方应提供有相应资质的第三方检测机构出具的产品型式试验报告，型式试验的项目内容如下：</w:t>
      </w:r>
    </w:p>
    <w:p>
      <w:pPr>
        <w:pStyle w:val="3"/>
        <w:numPr>
          <w:ilvl w:val="0"/>
          <w:numId w:val="0"/>
        </w:numPr>
        <w:ind w:firstLine="480" w:firstLineChars="200"/>
        <w:rPr>
          <w:rFonts w:hint="eastAsia" w:hAnsi="宋体"/>
          <w:sz w:val="24"/>
          <w:szCs w:val="24"/>
          <w:highlight w:val="none"/>
        </w:rPr>
      </w:pPr>
      <w:r>
        <w:rPr>
          <w:rFonts w:hint="eastAsia" w:hAnsi="宋体"/>
          <w:sz w:val="24"/>
          <w:szCs w:val="24"/>
          <w:highlight w:val="none"/>
        </w:rPr>
        <w:t>无</w:t>
      </w:r>
    </w:p>
    <w:p>
      <w:pPr>
        <w:pStyle w:val="3"/>
        <w:numPr>
          <w:ilvl w:val="0"/>
          <w:numId w:val="0"/>
        </w:numPr>
        <w:ind w:firstLine="480" w:firstLineChars="200"/>
        <w:rPr>
          <w:rFonts w:hint="eastAsia" w:hAnsi="宋体"/>
          <w:sz w:val="24"/>
          <w:szCs w:val="24"/>
          <w:highlight w:val="none"/>
        </w:rPr>
      </w:pPr>
      <w:bookmarkStart w:id="37" w:name="_Toc2496"/>
      <w:bookmarkStart w:id="38" w:name="_Toc283566857"/>
      <w:r>
        <w:rPr>
          <w:rFonts w:hint="eastAsia" w:hAnsi="宋体"/>
          <w:sz w:val="24"/>
          <w:szCs w:val="24"/>
          <w:highlight w:val="none"/>
        </w:rPr>
        <w:t>（二）出厂试验</w:t>
      </w:r>
      <w:bookmarkEnd w:id="37"/>
      <w:bookmarkEnd w:id="38"/>
    </w:p>
    <w:p>
      <w:pPr>
        <w:pStyle w:val="3"/>
        <w:numPr>
          <w:ilvl w:val="0"/>
          <w:numId w:val="0"/>
        </w:numPr>
        <w:ind w:firstLine="480" w:firstLineChars="200"/>
        <w:rPr>
          <w:rFonts w:hint="eastAsia" w:hAnsi="宋体"/>
          <w:sz w:val="24"/>
          <w:szCs w:val="24"/>
          <w:highlight w:val="none"/>
        </w:rPr>
      </w:pPr>
      <w:r>
        <w:rPr>
          <w:rFonts w:hint="eastAsia" w:hAnsi="宋体"/>
          <w:sz w:val="24"/>
          <w:szCs w:val="24"/>
          <w:highlight w:val="none"/>
        </w:rPr>
        <w:t>出厂试验是为了发现产品所用材料和制造中的缺陷，它不应损伤产品的性能和可靠性。出厂试验应在整体组装后进行，应该对每台成品进行检验，以确保每台产品与已经通过型式试验的产品相一致。出厂试验的项目内容如下:</w:t>
      </w:r>
    </w:p>
    <w:p>
      <w:pPr>
        <w:pStyle w:val="3"/>
        <w:numPr>
          <w:ilvl w:val="0"/>
          <w:numId w:val="0"/>
        </w:numPr>
        <w:ind w:firstLine="480" w:firstLineChars="200"/>
        <w:rPr>
          <w:rFonts w:hint="eastAsia" w:hAnsi="宋体"/>
          <w:sz w:val="24"/>
          <w:szCs w:val="24"/>
          <w:highlight w:val="none"/>
        </w:rPr>
      </w:pPr>
      <w:bookmarkStart w:id="39" w:name="_Toc283566858"/>
      <w:r>
        <w:rPr>
          <w:rFonts w:hint="eastAsia" w:hAnsi="宋体"/>
          <w:sz w:val="24"/>
          <w:szCs w:val="24"/>
          <w:highlight w:val="none"/>
        </w:rPr>
        <w:t>在设备到货时，提供出厂试验报告及其他技术文件。</w:t>
      </w:r>
    </w:p>
    <w:p>
      <w:pPr>
        <w:pStyle w:val="3"/>
        <w:numPr>
          <w:ilvl w:val="0"/>
          <w:numId w:val="0"/>
        </w:numPr>
        <w:ind w:firstLine="480" w:firstLineChars="200"/>
        <w:rPr>
          <w:rFonts w:hint="eastAsia" w:hAnsi="宋体"/>
          <w:sz w:val="24"/>
          <w:szCs w:val="24"/>
          <w:highlight w:val="none"/>
        </w:rPr>
      </w:pPr>
      <w:bookmarkStart w:id="40" w:name="_Toc12267"/>
      <w:r>
        <w:rPr>
          <w:rFonts w:hint="eastAsia" w:hAnsi="宋体"/>
          <w:sz w:val="24"/>
          <w:szCs w:val="24"/>
          <w:highlight w:val="none"/>
        </w:rPr>
        <w:t>（三）现场交接试验</w:t>
      </w:r>
      <w:bookmarkEnd w:id="39"/>
      <w:r>
        <w:rPr>
          <w:rFonts w:hint="eastAsia" w:hAnsi="宋体"/>
          <w:sz w:val="24"/>
          <w:szCs w:val="24"/>
          <w:highlight w:val="none"/>
        </w:rPr>
        <w:t>和功能验收</w:t>
      </w:r>
      <w:bookmarkEnd w:id="40"/>
    </w:p>
    <w:p>
      <w:pPr>
        <w:pStyle w:val="3"/>
        <w:numPr>
          <w:ilvl w:val="0"/>
          <w:numId w:val="0"/>
        </w:numPr>
        <w:ind w:firstLine="480" w:firstLineChars="200"/>
        <w:rPr>
          <w:rFonts w:hint="eastAsia" w:hAnsi="宋体"/>
          <w:sz w:val="24"/>
          <w:szCs w:val="24"/>
          <w:highlight w:val="none"/>
        </w:rPr>
      </w:pPr>
      <w:r>
        <w:rPr>
          <w:rFonts w:hint="eastAsia" w:hAnsi="宋体"/>
          <w:sz w:val="24"/>
          <w:szCs w:val="24"/>
          <w:highlight w:val="none"/>
        </w:rPr>
        <w:t>本标书采购设备应进行现场交接试验和功能验收。交接试验和功能验收是为了确认设备经过运输、储存和/或调整等过程后是否存在损坏、各个单元的兼容性、装配是否正确。本标书采购现场交接试验和设备功能验收应按表5.1要求执行。</w:t>
      </w:r>
    </w:p>
    <w:p>
      <w:pPr>
        <w:pStyle w:val="2"/>
        <w:numPr>
          <w:ilvl w:val="0"/>
          <w:numId w:val="0"/>
        </w:numPr>
        <w:snapToGrid/>
        <w:spacing w:before="0" w:beforeLines="0" w:line="480" w:lineRule="auto"/>
        <w:rPr>
          <w:rFonts w:hint="eastAsia" w:hAnsi="宋体"/>
          <w:sz w:val="24"/>
          <w:szCs w:val="24"/>
          <w:highlight w:val="none"/>
        </w:rPr>
      </w:pPr>
      <w:bookmarkStart w:id="41" w:name="_Toc276490910"/>
      <w:bookmarkStart w:id="42" w:name="_Toc276492422"/>
      <w:bookmarkStart w:id="43" w:name="_Toc25675"/>
      <w:r>
        <w:rPr>
          <w:rFonts w:hint="eastAsia" w:hAnsi="宋体"/>
          <w:sz w:val="24"/>
          <w:szCs w:val="24"/>
          <w:highlight w:val="none"/>
        </w:rPr>
        <w:t>七、产品对环境的影响</w:t>
      </w:r>
      <w:bookmarkEnd w:id="41"/>
      <w:bookmarkEnd w:id="42"/>
      <w:bookmarkEnd w:id="43"/>
    </w:p>
    <w:p>
      <w:pPr>
        <w:pStyle w:val="64"/>
        <w:adjustRightInd w:val="0"/>
        <w:snapToGrid w:val="0"/>
        <w:spacing w:line="360" w:lineRule="auto"/>
        <w:ind w:firstLine="480"/>
        <w:rPr>
          <w:rFonts w:hint="eastAsia" w:ascii="宋体" w:hAnsi="宋体" w:eastAsia="宋体" w:cs="Times New Roman"/>
          <w:sz w:val="24"/>
          <w:szCs w:val="24"/>
          <w:highlight w:val="none"/>
        </w:rPr>
      </w:pPr>
      <w:bookmarkStart w:id="44" w:name="_Toc276492433"/>
      <w:bookmarkStart w:id="45" w:name="_Toc276490915"/>
      <w:r>
        <w:rPr>
          <w:rFonts w:ascii="宋体" w:hAnsi="宋体" w:eastAsia="宋体" w:cs="Times New Roman"/>
          <w:sz w:val="24"/>
          <w:szCs w:val="24"/>
          <w:highlight w:val="none"/>
        </w:rPr>
        <w:t>制造厂应该提供有关设备对环境影响所需要的材料。任何已知的化学危险和环境危害应在手册或使用说明中明确。</w:t>
      </w:r>
    </w:p>
    <w:p>
      <w:pPr>
        <w:pStyle w:val="64"/>
        <w:adjustRightInd w:val="0"/>
        <w:snapToGrid w:val="0"/>
        <w:spacing w:line="360" w:lineRule="auto"/>
        <w:ind w:firstLine="480"/>
        <w:rPr>
          <w:rFonts w:hint="eastAsia" w:ascii="宋体" w:hAnsi="宋体" w:eastAsia="宋体" w:cs="Times New Roman"/>
          <w:sz w:val="24"/>
          <w:szCs w:val="24"/>
          <w:highlight w:val="none"/>
        </w:rPr>
      </w:pPr>
      <w:r>
        <w:rPr>
          <w:rFonts w:ascii="宋体" w:hAnsi="宋体" w:eastAsia="宋体" w:cs="Times New Roman"/>
          <w:sz w:val="24"/>
          <w:szCs w:val="24"/>
          <w:highlight w:val="none"/>
        </w:rPr>
        <w:t>制造厂应该对有关设备的不同材料的使用寿命和拆除的程序给予必要的指导，对再循环使用的可能性给予简要说明。</w:t>
      </w:r>
    </w:p>
    <w:p>
      <w:pPr>
        <w:pStyle w:val="2"/>
        <w:numPr>
          <w:ilvl w:val="0"/>
          <w:numId w:val="0"/>
        </w:numPr>
        <w:snapToGrid/>
        <w:spacing w:before="0" w:beforeLines="0" w:line="480" w:lineRule="auto"/>
        <w:rPr>
          <w:rFonts w:hint="eastAsia" w:hAnsi="宋体"/>
          <w:sz w:val="24"/>
          <w:szCs w:val="24"/>
          <w:highlight w:val="none"/>
        </w:rPr>
      </w:pPr>
      <w:bookmarkStart w:id="46" w:name="_Toc399493399"/>
      <w:bookmarkStart w:id="47" w:name="_Toc19130"/>
      <w:r>
        <w:rPr>
          <w:rFonts w:hint="eastAsia" w:hAnsi="宋体"/>
          <w:sz w:val="24"/>
          <w:szCs w:val="24"/>
          <w:highlight w:val="none"/>
        </w:rPr>
        <w:t>八、技术文件要求</w:t>
      </w:r>
      <w:bookmarkEnd w:id="46"/>
      <w:bookmarkEnd w:id="47"/>
    </w:p>
    <w:p>
      <w:pPr>
        <w:pStyle w:val="64"/>
        <w:adjustRightInd w:val="0"/>
        <w:snapToGrid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在设备到货时，投标方应按招标方要求提供满足本次采购设备、调试、使用、维护所需要的相关技术文件纸质版至少2套，电子版资料1套。投标方提供的所有资料均应为中文版或中英文对照版。投标方提供本次采购设备所需的软件应为原装正版软件。具体要求提供资料如下：</w:t>
      </w:r>
    </w:p>
    <w:p>
      <w:pPr>
        <w:pStyle w:val="64"/>
        <w:adjustRightInd w:val="0"/>
        <w:snapToGrid w:val="0"/>
        <w:spacing w:line="360" w:lineRule="auto"/>
        <w:ind w:firstLine="480"/>
        <w:rPr>
          <w:rFonts w:hint="eastAsia" w:ascii="宋体" w:hAnsi="宋体" w:eastAsia="宋体" w:cs="Times New Roman"/>
          <w:sz w:val="24"/>
          <w:szCs w:val="24"/>
          <w:highlight w:val="none"/>
        </w:rPr>
      </w:pPr>
      <w:r>
        <w:rPr>
          <w:rFonts w:ascii="宋体" w:hAnsi="宋体" w:eastAsia="宋体" w:cs="Times New Roman"/>
          <w:sz w:val="24"/>
          <w:szCs w:val="24"/>
          <w:highlight w:val="none"/>
        </w:rPr>
        <w:t>a</w:t>
      </w:r>
      <w:r>
        <w:rPr>
          <w:rFonts w:hint="eastAsia" w:ascii="宋体" w:hAnsi="宋体" w:eastAsia="宋体" w:cs="Times New Roman"/>
          <w:sz w:val="24"/>
          <w:szCs w:val="24"/>
          <w:highlight w:val="none"/>
        </w:rPr>
        <w:t>.产品合格证；</w:t>
      </w:r>
    </w:p>
    <w:p>
      <w:pPr>
        <w:pStyle w:val="64"/>
        <w:adjustRightInd w:val="0"/>
        <w:snapToGrid w:val="0"/>
        <w:spacing w:line="360" w:lineRule="auto"/>
        <w:ind w:firstLine="480"/>
        <w:rPr>
          <w:rFonts w:hint="eastAsia" w:ascii="宋体" w:hAnsi="宋体" w:eastAsia="宋体" w:cs="Times New Roman"/>
          <w:sz w:val="24"/>
          <w:szCs w:val="24"/>
          <w:highlight w:val="none"/>
        </w:rPr>
      </w:pPr>
      <w:r>
        <w:rPr>
          <w:rFonts w:ascii="宋体" w:hAnsi="宋体" w:eastAsia="宋体" w:cs="Times New Roman"/>
          <w:sz w:val="24"/>
          <w:szCs w:val="24"/>
          <w:highlight w:val="none"/>
        </w:rPr>
        <w:t>b.</w:t>
      </w:r>
      <w:r>
        <w:rPr>
          <w:rFonts w:hint="eastAsia" w:ascii="宋体" w:hAnsi="宋体" w:eastAsia="宋体" w:cs="Times New Roman"/>
          <w:sz w:val="24"/>
          <w:szCs w:val="24"/>
          <w:highlight w:val="none"/>
        </w:rPr>
        <w:t>产品安装说明书和产品使用手册（包括：软件和硬件安装使用说明、系统功能说明、调试方法、维护项目、培训教程等等）；</w:t>
      </w:r>
    </w:p>
    <w:bookmarkEnd w:id="44"/>
    <w:bookmarkEnd w:id="45"/>
    <w:p>
      <w:pPr>
        <w:pStyle w:val="2"/>
        <w:numPr>
          <w:ilvl w:val="0"/>
          <w:numId w:val="0"/>
        </w:numPr>
        <w:snapToGrid/>
        <w:spacing w:before="0" w:beforeLines="0" w:line="480" w:lineRule="auto"/>
        <w:rPr>
          <w:rFonts w:hint="eastAsia" w:hAnsi="宋体"/>
          <w:sz w:val="24"/>
          <w:szCs w:val="24"/>
          <w:highlight w:val="none"/>
        </w:rPr>
      </w:pPr>
      <w:bookmarkStart w:id="48" w:name="_Toc279695207"/>
      <w:bookmarkStart w:id="49" w:name="_Toc276490917"/>
      <w:bookmarkStart w:id="50" w:name="_Toc276492435"/>
      <w:bookmarkStart w:id="51" w:name="_Toc25647"/>
      <w:r>
        <w:rPr>
          <w:rFonts w:hint="eastAsia" w:hAnsi="宋体"/>
          <w:sz w:val="24"/>
          <w:szCs w:val="24"/>
          <w:highlight w:val="none"/>
        </w:rPr>
        <w:t>九、包装、运输、安装</w:t>
      </w:r>
      <w:bookmarkEnd w:id="48"/>
      <w:bookmarkEnd w:id="49"/>
      <w:bookmarkEnd w:id="50"/>
      <w:r>
        <w:rPr>
          <w:rFonts w:hint="eastAsia" w:hAnsi="宋体"/>
          <w:sz w:val="24"/>
          <w:szCs w:val="24"/>
          <w:highlight w:val="none"/>
        </w:rPr>
        <w:t>及质量保证</w:t>
      </w:r>
      <w:bookmarkEnd w:id="51"/>
    </w:p>
    <w:p>
      <w:pPr>
        <w:pStyle w:val="3"/>
        <w:numPr>
          <w:ilvl w:val="0"/>
          <w:numId w:val="0"/>
        </w:numPr>
        <w:rPr>
          <w:rFonts w:hint="eastAsia" w:hAnsi="宋体"/>
          <w:sz w:val="24"/>
          <w:szCs w:val="24"/>
          <w:highlight w:val="none"/>
        </w:rPr>
      </w:pPr>
      <w:bookmarkStart w:id="52" w:name="_Toc27447"/>
      <w:r>
        <w:rPr>
          <w:rFonts w:hint="eastAsia" w:hAnsi="宋体"/>
          <w:sz w:val="24"/>
          <w:szCs w:val="24"/>
          <w:highlight w:val="none"/>
        </w:rPr>
        <w:t>（一）监造</w:t>
      </w:r>
      <w:bookmarkEnd w:id="52"/>
    </w:p>
    <w:p>
      <w:pPr>
        <w:spacing w:line="360" w:lineRule="auto"/>
        <w:ind w:firstLine="480" w:firstLineChars="200"/>
        <w:rPr>
          <w:rFonts w:hint="eastAsia" w:ascii="宋体" w:hAnsi="宋体"/>
          <w:sz w:val="24"/>
          <w:highlight w:val="none"/>
        </w:rPr>
      </w:pPr>
      <w:r>
        <w:rPr>
          <w:rFonts w:hint="eastAsia" w:ascii="宋体" w:hAnsi="宋体"/>
          <w:sz w:val="24"/>
          <w:highlight w:val="none"/>
        </w:rPr>
        <w:t>本标书采购设备无监造要求。</w:t>
      </w:r>
    </w:p>
    <w:p>
      <w:pPr>
        <w:pStyle w:val="3"/>
        <w:numPr>
          <w:ilvl w:val="0"/>
          <w:numId w:val="0"/>
        </w:numPr>
        <w:rPr>
          <w:rFonts w:hint="eastAsia" w:hAnsi="宋体"/>
          <w:sz w:val="24"/>
          <w:szCs w:val="24"/>
          <w:highlight w:val="none"/>
        </w:rPr>
      </w:pPr>
      <w:bookmarkStart w:id="53" w:name="_Toc28375"/>
      <w:bookmarkStart w:id="54" w:name="_Toc276492436"/>
      <w:bookmarkStart w:id="55" w:name="_Toc279695209"/>
      <w:bookmarkStart w:id="56" w:name="_Toc276301528"/>
      <w:bookmarkStart w:id="57" w:name="_Toc276490918"/>
      <w:bookmarkStart w:id="58" w:name="_Toc7200"/>
      <w:bookmarkStart w:id="59" w:name="_Toc14469"/>
      <w:r>
        <w:rPr>
          <w:rFonts w:hint="eastAsia" w:hAnsi="宋体"/>
          <w:sz w:val="24"/>
          <w:szCs w:val="24"/>
          <w:highlight w:val="none"/>
        </w:rPr>
        <w:t>（二）包装</w:t>
      </w:r>
      <w:bookmarkEnd w:id="53"/>
      <w:bookmarkEnd w:id="54"/>
      <w:bookmarkEnd w:id="55"/>
      <w:bookmarkEnd w:id="56"/>
      <w:bookmarkEnd w:id="57"/>
      <w:bookmarkEnd w:id="58"/>
      <w:bookmarkEnd w:id="59"/>
    </w:p>
    <w:p>
      <w:pPr>
        <w:spacing w:line="360" w:lineRule="auto"/>
        <w:ind w:firstLine="480" w:firstLineChars="200"/>
        <w:rPr>
          <w:sz w:val="24"/>
          <w:highlight w:val="none"/>
        </w:rPr>
      </w:pPr>
      <w:bookmarkStart w:id="60" w:name="_Toc276301529"/>
      <w:bookmarkStart w:id="61" w:name="_Toc276492437"/>
      <w:bookmarkStart w:id="62" w:name="_Toc276490919"/>
      <w:r>
        <w:rPr>
          <w:rFonts w:hint="eastAsia"/>
          <w:sz w:val="24"/>
          <w:highlight w:val="none"/>
        </w:rPr>
        <w:t>1、</w:t>
      </w:r>
      <w:r>
        <w:rPr>
          <w:sz w:val="24"/>
          <w:highlight w:val="none"/>
        </w:rPr>
        <w:t>要严格按照制造厂给出的说明书对设备进行包装、运输和储存。制造厂应在交货前的适当时间提供设备的运输和储存说明书。</w:t>
      </w:r>
    </w:p>
    <w:p>
      <w:pPr>
        <w:spacing w:line="360" w:lineRule="auto"/>
        <w:ind w:firstLine="480" w:firstLineChars="200"/>
        <w:rPr>
          <w:sz w:val="24"/>
          <w:highlight w:val="none"/>
        </w:rPr>
      </w:pPr>
      <w:r>
        <w:rPr>
          <w:rFonts w:hint="eastAsia"/>
          <w:sz w:val="24"/>
          <w:highlight w:val="none"/>
        </w:rPr>
        <w:t>2、设备</w:t>
      </w:r>
      <w:r>
        <w:rPr>
          <w:sz w:val="24"/>
          <w:highlight w:val="none"/>
        </w:rPr>
        <w:t>制造完成并通过试验后应及时包装，否则应得到切实的保护。其包装也应符合铁路、公路和海运部门的有关规定。</w:t>
      </w:r>
    </w:p>
    <w:p>
      <w:pPr>
        <w:spacing w:line="360" w:lineRule="auto"/>
        <w:ind w:firstLine="480" w:firstLineChars="200"/>
        <w:rPr>
          <w:sz w:val="24"/>
          <w:highlight w:val="none"/>
        </w:rPr>
      </w:pPr>
      <w:r>
        <w:rPr>
          <w:rFonts w:hint="eastAsia"/>
          <w:sz w:val="24"/>
          <w:highlight w:val="none"/>
        </w:rPr>
        <w:t>3、</w:t>
      </w:r>
      <w:r>
        <w:rPr>
          <w:sz w:val="24"/>
          <w:highlight w:val="none"/>
        </w:rPr>
        <w:t>包装箱上应有明显的包装储运图示标志，并应标明招标方的订货号和发货号。</w:t>
      </w:r>
    </w:p>
    <w:p>
      <w:pPr>
        <w:spacing w:line="360" w:lineRule="auto"/>
        <w:ind w:firstLine="480" w:firstLineChars="200"/>
        <w:rPr>
          <w:sz w:val="24"/>
          <w:highlight w:val="none"/>
        </w:rPr>
      </w:pPr>
      <w:r>
        <w:rPr>
          <w:rFonts w:hint="eastAsia"/>
          <w:sz w:val="24"/>
          <w:highlight w:val="none"/>
        </w:rPr>
        <w:t>4、设备</w:t>
      </w:r>
      <w:r>
        <w:rPr>
          <w:sz w:val="24"/>
          <w:highlight w:val="none"/>
        </w:rPr>
        <w:t>的包装应能保证</w:t>
      </w:r>
      <w:r>
        <w:rPr>
          <w:rFonts w:hint="eastAsia"/>
          <w:sz w:val="24"/>
          <w:highlight w:val="none"/>
        </w:rPr>
        <w:t>设备</w:t>
      </w:r>
      <w:r>
        <w:rPr>
          <w:sz w:val="24"/>
          <w:highlight w:val="none"/>
        </w:rPr>
        <w:t>各零部件在运输过程中不致遭到脏污、损坏、变形、丢失及受潮。对于其中的绝缘部件及由有机绝缘材料制成的绝缘件应特别加以保护，以免损坏和受潮。对于外露的接触表面，应有预防腐蚀的措施。所有运输措施均应经过验证。凡有运输损坏，应由制造厂负责赔偿。</w:t>
      </w:r>
    </w:p>
    <w:p>
      <w:pPr>
        <w:pStyle w:val="3"/>
        <w:numPr>
          <w:ilvl w:val="0"/>
          <w:numId w:val="0"/>
        </w:numPr>
        <w:rPr>
          <w:rFonts w:hint="eastAsia" w:hAnsi="宋体"/>
          <w:sz w:val="24"/>
          <w:szCs w:val="24"/>
          <w:highlight w:val="none"/>
        </w:rPr>
      </w:pPr>
      <w:bookmarkStart w:id="63" w:name="_Toc6895"/>
      <w:bookmarkStart w:id="64" w:name="_Toc279695210"/>
      <w:bookmarkStart w:id="65" w:name="_Toc8446"/>
      <w:bookmarkStart w:id="66" w:name="_Toc28580"/>
      <w:r>
        <w:rPr>
          <w:rFonts w:hint="eastAsia" w:hAnsi="宋体"/>
          <w:sz w:val="24"/>
          <w:szCs w:val="24"/>
          <w:highlight w:val="none"/>
        </w:rPr>
        <w:t>（三）运输</w:t>
      </w:r>
      <w:bookmarkEnd w:id="60"/>
      <w:bookmarkEnd w:id="61"/>
      <w:bookmarkEnd w:id="62"/>
      <w:bookmarkEnd w:id="63"/>
      <w:bookmarkEnd w:id="64"/>
      <w:bookmarkEnd w:id="65"/>
      <w:bookmarkEnd w:id="66"/>
    </w:p>
    <w:p>
      <w:pPr>
        <w:pStyle w:val="64"/>
        <w:adjustRightInd w:val="0"/>
        <w:snapToGrid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1、设备</w:t>
      </w:r>
      <w:r>
        <w:rPr>
          <w:rFonts w:ascii="宋体" w:hAnsi="宋体" w:eastAsia="宋体" w:cs="Times New Roman"/>
          <w:sz w:val="24"/>
          <w:szCs w:val="24"/>
          <w:highlight w:val="none"/>
        </w:rPr>
        <w:t>单独运输的零部件应有标志，便于用户安装装配。</w:t>
      </w:r>
    </w:p>
    <w:p>
      <w:pPr>
        <w:pStyle w:val="64"/>
        <w:adjustRightInd w:val="0"/>
        <w:snapToGrid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2、</w:t>
      </w:r>
      <w:r>
        <w:rPr>
          <w:rFonts w:ascii="宋体" w:hAnsi="宋体" w:eastAsia="宋体" w:cs="Times New Roman"/>
          <w:sz w:val="24"/>
          <w:szCs w:val="24"/>
          <w:highlight w:val="none"/>
        </w:rPr>
        <w:t>整体产品或分别运输的部件，都要适合于运输及装卸的要求。</w:t>
      </w:r>
    </w:p>
    <w:p>
      <w:pPr>
        <w:pStyle w:val="64"/>
        <w:adjustRightInd w:val="0"/>
        <w:snapToGrid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3、</w:t>
      </w:r>
      <w:r>
        <w:rPr>
          <w:rFonts w:ascii="宋体" w:hAnsi="宋体" w:eastAsia="宋体" w:cs="Times New Roman"/>
          <w:sz w:val="24"/>
          <w:szCs w:val="24"/>
          <w:highlight w:val="none"/>
        </w:rPr>
        <w:t>制造厂应提供按全部解体检修用的备品备件和装用机具，随同产品发运。</w:t>
      </w:r>
    </w:p>
    <w:p>
      <w:pPr>
        <w:pStyle w:val="64"/>
        <w:adjustRightInd w:val="0"/>
        <w:snapToGrid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4、</w:t>
      </w:r>
      <w:r>
        <w:rPr>
          <w:rFonts w:ascii="宋体" w:hAnsi="宋体" w:eastAsia="宋体" w:cs="Times New Roman"/>
          <w:sz w:val="24"/>
          <w:szCs w:val="24"/>
          <w:highlight w:val="none"/>
        </w:rPr>
        <w:t>随同运输的产品应附有装箱清单，产品所需提供的技术资料应完整无缺。</w:t>
      </w:r>
    </w:p>
    <w:p>
      <w:pPr>
        <w:pStyle w:val="3"/>
        <w:numPr>
          <w:ilvl w:val="0"/>
          <w:numId w:val="0"/>
        </w:numPr>
        <w:rPr>
          <w:rFonts w:hint="eastAsia" w:hAnsi="宋体"/>
          <w:sz w:val="24"/>
          <w:szCs w:val="24"/>
          <w:highlight w:val="none"/>
        </w:rPr>
      </w:pPr>
      <w:bookmarkStart w:id="67" w:name="_Toc276490920"/>
      <w:bookmarkStart w:id="68" w:name="_Toc276301530"/>
      <w:bookmarkStart w:id="69" w:name="_Toc276492438"/>
      <w:bookmarkStart w:id="70" w:name="_Toc32227"/>
      <w:bookmarkStart w:id="71" w:name="_Toc279695211"/>
      <w:bookmarkStart w:id="72" w:name="_Toc23722"/>
      <w:bookmarkStart w:id="73" w:name="_Toc26840"/>
      <w:r>
        <w:rPr>
          <w:rFonts w:hint="eastAsia" w:hAnsi="宋体"/>
          <w:sz w:val="24"/>
          <w:szCs w:val="24"/>
          <w:highlight w:val="none"/>
        </w:rPr>
        <w:t>（四）安装</w:t>
      </w:r>
      <w:bookmarkEnd w:id="67"/>
      <w:bookmarkEnd w:id="68"/>
      <w:bookmarkEnd w:id="69"/>
      <w:r>
        <w:rPr>
          <w:rFonts w:hint="eastAsia" w:hAnsi="宋体"/>
          <w:sz w:val="24"/>
          <w:szCs w:val="24"/>
          <w:highlight w:val="none"/>
        </w:rPr>
        <w:t>使用指导</w:t>
      </w:r>
      <w:bookmarkEnd w:id="70"/>
      <w:bookmarkEnd w:id="71"/>
      <w:bookmarkEnd w:id="72"/>
      <w:bookmarkEnd w:id="73"/>
    </w:p>
    <w:p>
      <w:pPr>
        <w:pStyle w:val="64"/>
        <w:adjustRightInd w:val="0"/>
        <w:snapToGrid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投标方应在本标书采购设备首次使用时，安排技术人员提供现场安装和技术指导服务，并确保招标方现场技术人员熟练掌握设备功能和使用。设备在现场搬运、吊装就位和安装、测试、试验时，应按照GB26164、1《电业安全工作规程第1部分：热力和机械》的要求进行。</w:t>
      </w:r>
    </w:p>
    <w:p>
      <w:pPr>
        <w:pStyle w:val="3"/>
        <w:numPr>
          <w:ilvl w:val="0"/>
          <w:numId w:val="0"/>
        </w:numPr>
        <w:rPr>
          <w:rFonts w:hint="eastAsia" w:hAnsi="宋体"/>
          <w:sz w:val="24"/>
          <w:szCs w:val="24"/>
          <w:highlight w:val="none"/>
        </w:rPr>
      </w:pPr>
      <w:bookmarkStart w:id="74" w:name="_Toc21943"/>
      <w:bookmarkStart w:id="75" w:name="_Toc14967"/>
      <w:bookmarkStart w:id="76" w:name="_Toc19929"/>
      <w:r>
        <w:rPr>
          <w:rFonts w:hint="eastAsia" w:hAnsi="宋体"/>
          <w:sz w:val="24"/>
          <w:szCs w:val="24"/>
          <w:highlight w:val="none"/>
        </w:rPr>
        <w:t>（五）质量保证</w:t>
      </w:r>
      <w:bookmarkEnd w:id="74"/>
      <w:bookmarkEnd w:id="75"/>
      <w:bookmarkEnd w:id="76"/>
    </w:p>
    <w:p>
      <w:pPr>
        <w:pStyle w:val="64"/>
        <w:adjustRightInd w:val="0"/>
        <w:snapToGrid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1）全部设备必须是全新的，持久耐用的，应满足作为一个完整产品所能满足的全部要求。</w:t>
      </w:r>
    </w:p>
    <w:p>
      <w:pPr>
        <w:pStyle w:val="64"/>
        <w:adjustRightInd w:val="0"/>
        <w:snapToGrid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2）投标方应保证备品备件长期稳定的供货，备品备件应是新品，与设备同型号、同工艺。当投标方决定中断生产某些组件或设备时，应预先告知招标方，以便招标方增加这些设备的备品备件。投标方应在该期限内向招标方提供最优惠的价格，满足招标方购买时的要求。</w:t>
      </w:r>
    </w:p>
    <w:p>
      <w:pPr>
        <w:pStyle w:val="64"/>
        <w:adjustRightInd w:val="0"/>
        <w:snapToGrid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3）投标方应保证制造过程中的所有工艺、材料试验等</w:t>
      </w:r>
      <w:r>
        <w:rPr>
          <w:rFonts w:ascii="宋体" w:hAnsi="宋体" w:eastAsia="宋体" w:cs="Times New Roman"/>
          <w:sz w:val="24"/>
          <w:szCs w:val="24"/>
          <w:highlight w:val="none"/>
        </w:rPr>
        <w:t>（</w:t>
      </w:r>
      <w:r>
        <w:rPr>
          <w:rFonts w:hint="eastAsia" w:ascii="宋体" w:hAnsi="宋体" w:eastAsia="宋体" w:cs="Times New Roman"/>
          <w:sz w:val="24"/>
          <w:szCs w:val="24"/>
          <w:highlight w:val="none"/>
        </w:rPr>
        <w:t>包括投标方的外购件在内</w:t>
      </w:r>
      <w:r>
        <w:rPr>
          <w:rFonts w:ascii="宋体" w:hAnsi="宋体" w:eastAsia="宋体" w:cs="Times New Roman"/>
          <w:sz w:val="24"/>
          <w:szCs w:val="24"/>
          <w:highlight w:val="none"/>
        </w:rPr>
        <w:t>）</w:t>
      </w:r>
      <w:r>
        <w:rPr>
          <w:rFonts w:hint="eastAsia" w:ascii="宋体" w:hAnsi="宋体" w:eastAsia="宋体" w:cs="Times New Roman"/>
          <w:sz w:val="24"/>
          <w:szCs w:val="24"/>
          <w:highlight w:val="none"/>
        </w:rPr>
        <w:t>均应符合本标准的规定。若招标方根据运行经验指定投标方提供某种外购零部件</w:t>
      </w:r>
      <w:r>
        <w:rPr>
          <w:rFonts w:ascii="宋体" w:hAnsi="宋体" w:eastAsia="宋体" w:cs="Times New Roman"/>
          <w:sz w:val="24"/>
          <w:szCs w:val="24"/>
          <w:highlight w:val="none"/>
        </w:rPr>
        <w:t>，</w:t>
      </w:r>
      <w:r>
        <w:rPr>
          <w:rFonts w:hint="eastAsia" w:ascii="宋体" w:hAnsi="宋体" w:eastAsia="宋体" w:cs="Times New Roman"/>
          <w:sz w:val="24"/>
          <w:szCs w:val="24"/>
          <w:highlight w:val="none"/>
        </w:rPr>
        <w:t>投标方应积极配合。</w:t>
      </w:r>
    </w:p>
    <w:p>
      <w:pPr>
        <w:pStyle w:val="64"/>
        <w:adjustRightInd w:val="0"/>
        <w:snapToGrid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4）附属及配套设备必须满足有关行业标准的要求。</w:t>
      </w:r>
    </w:p>
    <w:p>
      <w:pPr>
        <w:pStyle w:val="64"/>
        <w:adjustRightInd w:val="0"/>
        <w:snapToGrid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5）投标方应有遵守本标准中各条款和工作项目的</w:t>
      </w:r>
      <w:r>
        <w:rPr>
          <w:rFonts w:ascii="宋体" w:hAnsi="宋体" w:eastAsia="宋体" w:cs="Times New Roman"/>
          <w:sz w:val="24"/>
          <w:szCs w:val="24"/>
          <w:highlight w:val="none"/>
        </w:rPr>
        <w:t>ISO900</w:t>
      </w:r>
      <w:r>
        <w:rPr>
          <w:rFonts w:hint="eastAsia" w:ascii="宋体" w:hAnsi="宋体" w:eastAsia="宋体" w:cs="Times New Roman"/>
          <w:sz w:val="24"/>
          <w:szCs w:val="24"/>
          <w:highlight w:val="none"/>
        </w:rPr>
        <w:t>0-</w:t>
      </w:r>
      <w:r>
        <w:rPr>
          <w:rFonts w:ascii="宋体" w:hAnsi="宋体" w:eastAsia="宋体" w:cs="Times New Roman"/>
          <w:sz w:val="24"/>
          <w:szCs w:val="24"/>
          <w:highlight w:val="none"/>
        </w:rPr>
        <w:t>GB/T1900</w:t>
      </w:r>
      <w:r>
        <w:rPr>
          <w:rFonts w:hint="eastAsia" w:ascii="宋体" w:hAnsi="宋体" w:eastAsia="宋体" w:cs="Times New Roman"/>
          <w:sz w:val="24"/>
          <w:szCs w:val="24"/>
          <w:highlight w:val="none"/>
        </w:rPr>
        <w:t>0质量保证体系</w:t>
      </w:r>
      <w:r>
        <w:rPr>
          <w:rFonts w:ascii="宋体" w:hAnsi="宋体" w:eastAsia="宋体" w:cs="Times New Roman"/>
          <w:sz w:val="24"/>
          <w:szCs w:val="24"/>
          <w:highlight w:val="none"/>
        </w:rPr>
        <w:t>，</w:t>
      </w:r>
      <w:r>
        <w:rPr>
          <w:rFonts w:hint="eastAsia" w:ascii="宋体" w:hAnsi="宋体" w:eastAsia="宋体" w:cs="Times New Roman"/>
          <w:sz w:val="24"/>
          <w:szCs w:val="24"/>
          <w:highlight w:val="none"/>
        </w:rPr>
        <w:t>该质量保证体系已经通过国家认证并在正常运转。</w:t>
      </w:r>
    </w:p>
    <w:p>
      <w:pPr>
        <w:pStyle w:val="64"/>
        <w:adjustRightInd w:val="0"/>
        <w:snapToGrid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6）对仪器设备在质保期内出现的故障,投标方人员在接到通知后应在2工作日内派技术人员到现场检查处理,并立刻提出处理意见,免费进行维修。</w:t>
      </w:r>
    </w:p>
    <w:p>
      <w:pPr>
        <w:pStyle w:val="64"/>
        <w:adjustRightInd w:val="0"/>
        <w:snapToGrid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7）对于一般的故障,处理时间15工作日内。对于严重的故障，将根据情况安排维修时间的长短。</w:t>
      </w:r>
    </w:p>
    <w:p>
      <w:pPr>
        <w:pStyle w:val="2"/>
        <w:numPr>
          <w:ilvl w:val="0"/>
          <w:numId w:val="0"/>
        </w:numPr>
        <w:rPr>
          <w:highlight w:val="none"/>
        </w:rPr>
      </w:pPr>
      <w:bookmarkStart w:id="77" w:name="_Toc10227"/>
      <w:bookmarkStart w:id="78" w:name="_Toc287602849"/>
      <w:r>
        <w:rPr>
          <w:rFonts w:hint="eastAsia"/>
          <w:highlight w:val="none"/>
        </w:rPr>
        <w:t>十、主要元器件来源</w:t>
      </w:r>
      <w:bookmarkEnd w:id="77"/>
    </w:p>
    <w:p>
      <w:pPr>
        <w:pStyle w:val="64"/>
        <w:adjustRightInd w:val="0"/>
        <w:snapToGrid w:val="0"/>
        <w:spacing w:line="360" w:lineRule="auto"/>
        <w:ind w:firstLine="480"/>
        <w:rPr>
          <w:rFonts w:eastAsia="宋体" w:cs="Times New Roman"/>
          <w:sz w:val="24"/>
          <w:szCs w:val="24"/>
          <w:highlight w:val="none"/>
        </w:rPr>
      </w:pPr>
      <w:r>
        <w:rPr>
          <w:rFonts w:hint="eastAsia" w:eastAsia="宋体" w:cs="Times New Roman"/>
          <w:sz w:val="24"/>
          <w:szCs w:val="24"/>
          <w:highlight w:val="none"/>
        </w:rPr>
        <w:t>投标方应按表</w:t>
      </w:r>
      <w:r>
        <w:rPr>
          <w:rFonts w:hint="eastAsia" w:ascii="宋体" w:hAnsi="宋体" w:eastAsia="宋体" w:cs="Times New Roman"/>
          <w:sz w:val="24"/>
          <w:szCs w:val="24"/>
          <w:highlight w:val="none"/>
        </w:rPr>
        <w:t>10.1</w:t>
      </w:r>
      <w:r>
        <w:rPr>
          <w:rFonts w:hint="eastAsia" w:eastAsia="宋体" w:cs="Times New Roman"/>
          <w:sz w:val="24"/>
          <w:szCs w:val="24"/>
          <w:highlight w:val="none"/>
        </w:rPr>
        <w:t>如实填写主要元器件来源。</w:t>
      </w:r>
    </w:p>
    <w:p>
      <w:pPr>
        <w:adjustRightInd w:val="0"/>
        <w:snapToGrid w:val="0"/>
        <w:spacing w:line="360" w:lineRule="auto"/>
        <w:ind w:firstLine="2205"/>
        <w:jc w:val="left"/>
        <w:rPr>
          <w:rFonts w:hint="eastAsia" w:ascii="宋体" w:hAnsi="宋体"/>
          <w:sz w:val="24"/>
          <w:highlight w:val="none"/>
        </w:rPr>
      </w:pPr>
      <w:r>
        <w:rPr>
          <w:rFonts w:hint="eastAsia" w:ascii="宋体" w:hAnsi="宋体"/>
          <w:sz w:val="24"/>
          <w:highlight w:val="none"/>
        </w:rPr>
        <w:t>表10.1主要元器件来源一览表（投标方填写）</w:t>
      </w:r>
    </w:p>
    <w:tbl>
      <w:tblPr>
        <w:tblStyle w:val="3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40"/>
        <w:gridCol w:w="1232"/>
        <w:gridCol w:w="891"/>
        <w:gridCol w:w="2119"/>
        <w:gridCol w:w="2119"/>
        <w:gridCol w:w="1933"/>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740" w:type="dxa"/>
            <w:vAlign w:val="center"/>
          </w:tcPr>
          <w:p>
            <w:pPr>
              <w:widowControl/>
              <w:autoSpaceDE w:val="0"/>
              <w:autoSpaceDN w:val="0"/>
              <w:spacing w:before="40"/>
              <w:jc w:val="center"/>
              <w:textAlignment w:val="bottom"/>
              <w:rPr>
                <w:rFonts w:hint="eastAsia" w:ascii="宋体" w:hAnsi="宋体"/>
                <w:sz w:val="24"/>
                <w:highlight w:val="none"/>
              </w:rPr>
            </w:pPr>
            <w:r>
              <w:rPr>
                <w:rFonts w:hint="eastAsia" w:ascii="宋体" w:hAnsi="宋体"/>
                <w:sz w:val="24"/>
                <w:highlight w:val="none"/>
              </w:rPr>
              <w:t>序号</w:t>
            </w:r>
          </w:p>
        </w:tc>
        <w:tc>
          <w:tcPr>
            <w:tcW w:w="1232" w:type="dxa"/>
            <w:tcBorders>
              <w:right w:val="single" w:color="auto" w:sz="4" w:space="0"/>
            </w:tcBorders>
            <w:vAlign w:val="center"/>
          </w:tcPr>
          <w:p>
            <w:pPr>
              <w:widowControl/>
              <w:autoSpaceDE w:val="0"/>
              <w:autoSpaceDN w:val="0"/>
              <w:spacing w:before="40"/>
              <w:jc w:val="center"/>
              <w:textAlignment w:val="bottom"/>
              <w:rPr>
                <w:rFonts w:hint="eastAsia" w:ascii="宋体" w:hAnsi="宋体"/>
                <w:sz w:val="24"/>
                <w:highlight w:val="none"/>
              </w:rPr>
            </w:pPr>
            <w:r>
              <w:rPr>
                <w:rFonts w:hint="eastAsia" w:ascii="宋体" w:hAnsi="宋体"/>
                <w:sz w:val="24"/>
                <w:highlight w:val="none"/>
              </w:rPr>
              <w:t>元器件名称</w:t>
            </w:r>
          </w:p>
        </w:tc>
        <w:tc>
          <w:tcPr>
            <w:tcW w:w="891" w:type="dxa"/>
            <w:tcBorders>
              <w:left w:val="single" w:color="auto" w:sz="4" w:space="0"/>
            </w:tcBorders>
            <w:vAlign w:val="center"/>
          </w:tcPr>
          <w:p>
            <w:pPr>
              <w:widowControl/>
              <w:autoSpaceDE w:val="0"/>
              <w:autoSpaceDN w:val="0"/>
              <w:spacing w:before="40"/>
              <w:jc w:val="center"/>
              <w:textAlignment w:val="bottom"/>
              <w:rPr>
                <w:rFonts w:hint="eastAsia" w:ascii="宋体" w:hAnsi="宋体"/>
                <w:sz w:val="24"/>
                <w:highlight w:val="none"/>
              </w:rPr>
            </w:pPr>
            <w:r>
              <w:rPr>
                <w:rFonts w:hint="eastAsia" w:ascii="宋体" w:hAnsi="宋体"/>
                <w:sz w:val="24"/>
                <w:highlight w:val="none"/>
              </w:rPr>
              <w:t>型号</w:t>
            </w:r>
          </w:p>
        </w:tc>
        <w:tc>
          <w:tcPr>
            <w:tcW w:w="2119" w:type="dxa"/>
            <w:vAlign w:val="center"/>
          </w:tcPr>
          <w:p>
            <w:pPr>
              <w:widowControl/>
              <w:autoSpaceDE w:val="0"/>
              <w:autoSpaceDN w:val="0"/>
              <w:spacing w:before="40"/>
              <w:jc w:val="center"/>
              <w:textAlignment w:val="bottom"/>
              <w:rPr>
                <w:rFonts w:hint="eastAsia" w:ascii="宋体" w:hAnsi="宋体"/>
                <w:sz w:val="24"/>
                <w:highlight w:val="none"/>
              </w:rPr>
            </w:pPr>
            <w:r>
              <w:rPr>
                <w:rFonts w:hint="eastAsia" w:ascii="宋体" w:hAnsi="宋体"/>
                <w:sz w:val="24"/>
                <w:highlight w:val="none"/>
              </w:rPr>
              <w:t>生产厂家名称</w:t>
            </w:r>
          </w:p>
        </w:tc>
        <w:tc>
          <w:tcPr>
            <w:tcW w:w="2119" w:type="dxa"/>
            <w:vAlign w:val="center"/>
          </w:tcPr>
          <w:p>
            <w:pPr>
              <w:widowControl/>
              <w:autoSpaceDE w:val="0"/>
              <w:autoSpaceDN w:val="0"/>
              <w:spacing w:before="40"/>
              <w:jc w:val="center"/>
              <w:textAlignment w:val="bottom"/>
              <w:rPr>
                <w:rFonts w:hint="eastAsia" w:ascii="宋体" w:hAnsi="宋体"/>
                <w:sz w:val="24"/>
                <w:highlight w:val="none"/>
              </w:rPr>
            </w:pPr>
            <w:r>
              <w:rPr>
                <w:rFonts w:hint="eastAsia" w:ascii="宋体" w:hAnsi="宋体"/>
                <w:sz w:val="24"/>
                <w:highlight w:val="none"/>
              </w:rPr>
              <w:t>生产厂家地址</w:t>
            </w:r>
          </w:p>
        </w:tc>
        <w:tc>
          <w:tcPr>
            <w:tcW w:w="1933" w:type="dxa"/>
            <w:vAlign w:val="center"/>
          </w:tcPr>
          <w:p>
            <w:pPr>
              <w:widowControl/>
              <w:autoSpaceDE w:val="0"/>
              <w:autoSpaceDN w:val="0"/>
              <w:spacing w:before="40"/>
              <w:jc w:val="center"/>
              <w:textAlignment w:val="bottom"/>
              <w:rPr>
                <w:rFonts w:hint="eastAsia" w:ascii="宋体" w:hAnsi="宋体"/>
                <w:sz w:val="24"/>
                <w:highlight w:val="none"/>
              </w:rPr>
            </w:pPr>
            <w:r>
              <w:rPr>
                <w:rFonts w:hint="eastAsia" w:ascii="宋体" w:hAnsi="宋体"/>
                <w:sz w:val="24"/>
                <w:highlight w:val="none"/>
              </w:rPr>
              <w:t>生产厂家联系方式</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0" w:hRule="atLeast"/>
          <w:jc w:val="center"/>
        </w:trPr>
        <w:tc>
          <w:tcPr>
            <w:tcW w:w="740" w:type="dxa"/>
            <w:vAlign w:val="center"/>
          </w:tcPr>
          <w:p>
            <w:pPr>
              <w:widowControl/>
              <w:autoSpaceDE w:val="0"/>
              <w:autoSpaceDN w:val="0"/>
              <w:jc w:val="center"/>
              <w:textAlignment w:val="bottom"/>
              <w:rPr>
                <w:rFonts w:hint="eastAsia" w:ascii="宋体" w:hAnsi="宋体"/>
                <w:color w:val="0000FF"/>
                <w:sz w:val="24"/>
                <w:highlight w:val="none"/>
              </w:rPr>
            </w:pPr>
          </w:p>
        </w:tc>
        <w:tc>
          <w:tcPr>
            <w:tcW w:w="1232" w:type="dxa"/>
            <w:tcBorders>
              <w:right w:val="single" w:color="auto" w:sz="4" w:space="0"/>
            </w:tcBorders>
            <w:vAlign w:val="center"/>
          </w:tcPr>
          <w:p>
            <w:pPr>
              <w:widowControl/>
              <w:autoSpaceDE w:val="0"/>
              <w:autoSpaceDN w:val="0"/>
              <w:jc w:val="center"/>
              <w:textAlignment w:val="bottom"/>
              <w:rPr>
                <w:rFonts w:hint="eastAsia" w:ascii="宋体" w:hAnsi="宋体"/>
                <w:color w:val="0000FF"/>
                <w:sz w:val="24"/>
                <w:highlight w:val="none"/>
              </w:rPr>
            </w:pPr>
          </w:p>
        </w:tc>
        <w:tc>
          <w:tcPr>
            <w:tcW w:w="891" w:type="dxa"/>
            <w:tcBorders>
              <w:left w:val="single" w:color="auto" w:sz="4" w:space="0"/>
            </w:tcBorders>
            <w:vAlign w:val="center"/>
          </w:tcPr>
          <w:p>
            <w:pPr>
              <w:widowControl/>
              <w:autoSpaceDE w:val="0"/>
              <w:autoSpaceDN w:val="0"/>
              <w:jc w:val="center"/>
              <w:textAlignment w:val="bottom"/>
              <w:rPr>
                <w:rFonts w:hint="eastAsia" w:ascii="宋体" w:hAnsi="宋体"/>
                <w:color w:val="FF0000"/>
                <w:sz w:val="24"/>
                <w:highlight w:val="none"/>
              </w:rPr>
            </w:pPr>
          </w:p>
        </w:tc>
        <w:tc>
          <w:tcPr>
            <w:tcW w:w="2119" w:type="dxa"/>
            <w:vAlign w:val="center"/>
          </w:tcPr>
          <w:p>
            <w:pPr>
              <w:widowControl/>
              <w:autoSpaceDE w:val="0"/>
              <w:autoSpaceDN w:val="0"/>
              <w:jc w:val="center"/>
              <w:textAlignment w:val="bottom"/>
              <w:rPr>
                <w:rFonts w:hint="eastAsia" w:ascii="宋体" w:hAnsi="宋体"/>
                <w:color w:val="FF0000"/>
                <w:sz w:val="24"/>
                <w:highlight w:val="none"/>
              </w:rPr>
            </w:pPr>
          </w:p>
        </w:tc>
        <w:tc>
          <w:tcPr>
            <w:tcW w:w="2119" w:type="dxa"/>
            <w:vAlign w:val="center"/>
          </w:tcPr>
          <w:p>
            <w:pPr>
              <w:widowControl/>
              <w:autoSpaceDE w:val="0"/>
              <w:autoSpaceDN w:val="0"/>
              <w:jc w:val="center"/>
              <w:textAlignment w:val="bottom"/>
              <w:rPr>
                <w:rFonts w:hint="eastAsia" w:ascii="宋体" w:hAnsi="宋体"/>
                <w:color w:val="FF0000"/>
                <w:sz w:val="24"/>
                <w:highlight w:val="none"/>
              </w:rPr>
            </w:pPr>
          </w:p>
        </w:tc>
        <w:tc>
          <w:tcPr>
            <w:tcW w:w="1933" w:type="dxa"/>
            <w:vAlign w:val="center"/>
          </w:tcPr>
          <w:p>
            <w:pPr>
              <w:widowControl/>
              <w:autoSpaceDE w:val="0"/>
              <w:autoSpaceDN w:val="0"/>
              <w:jc w:val="center"/>
              <w:textAlignment w:val="bottom"/>
              <w:rPr>
                <w:rFonts w:hint="eastAsia" w:ascii="宋体" w:hAnsi="宋体"/>
                <w:color w:val="FF0000"/>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7" w:hRule="atLeast"/>
          <w:jc w:val="center"/>
        </w:trPr>
        <w:tc>
          <w:tcPr>
            <w:tcW w:w="740" w:type="dxa"/>
            <w:vAlign w:val="center"/>
          </w:tcPr>
          <w:p>
            <w:pPr>
              <w:widowControl/>
              <w:autoSpaceDE w:val="0"/>
              <w:autoSpaceDN w:val="0"/>
              <w:jc w:val="center"/>
              <w:textAlignment w:val="bottom"/>
              <w:rPr>
                <w:rFonts w:hint="eastAsia" w:ascii="宋体" w:hAnsi="宋体"/>
                <w:color w:val="FF0000"/>
                <w:sz w:val="24"/>
                <w:highlight w:val="none"/>
              </w:rPr>
            </w:pPr>
          </w:p>
        </w:tc>
        <w:tc>
          <w:tcPr>
            <w:tcW w:w="1232" w:type="dxa"/>
            <w:tcBorders>
              <w:right w:val="single" w:color="auto" w:sz="4" w:space="0"/>
            </w:tcBorders>
            <w:vAlign w:val="center"/>
          </w:tcPr>
          <w:p>
            <w:pPr>
              <w:widowControl/>
              <w:autoSpaceDE w:val="0"/>
              <w:autoSpaceDN w:val="0"/>
              <w:jc w:val="center"/>
              <w:textAlignment w:val="bottom"/>
              <w:rPr>
                <w:rFonts w:hint="eastAsia" w:ascii="宋体" w:hAnsi="宋体"/>
                <w:color w:val="FF0000"/>
                <w:sz w:val="24"/>
                <w:highlight w:val="none"/>
              </w:rPr>
            </w:pPr>
          </w:p>
        </w:tc>
        <w:tc>
          <w:tcPr>
            <w:tcW w:w="891" w:type="dxa"/>
            <w:tcBorders>
              <w:left w:val="single" w:color="auto" w:sz="4" w:space="0"/>
            </w:tcBorders>
            <w:vAlign w:val="center"/>
          </w:tcPr>
          <w:p>
            <w:pPr>
              <w:widowControl/>
              <w:autoSpaceDE w:val="0"/>
              <w:autoSpaceDN w:val="0"/>
              <w:jc w:val="center"/>
              <w:textAlignment w:val="bottom"/>
              <w:rPr>
                <w:rFonts w:hint="eastAsia" w:ascii="宋体" w:hAnsi="宋体"/>
                <w:color w:val="FF0000"/>
                <w:sz w:val="24"/>
                <w:highlight w:val="none"/>
              </w:rPr>
            </w:pPr>
          </w:p>
        </w:tc>
        <w:tc>
          <w:tcPr>
            <w:tcW w:w="2119" w:type="dxa"/>
            <w:vAlign w:val="center"/>
          </w:tcPr>
          <w:p>
            <w:pPr>
              <w:widowControl/>
              <w:autoSpaceDE w:val="0"/>
              <w:autoSpaceDN w:val="0"/>
              <w:jc w:val="center"/>
              <w:textAlignment w:val="bottom"/>
              <w:rPr>
                <w:rFonts w:hint="eastAsia" w:ascii="宋体" w:hAnsi="宋体"/>
                <w:color w:val="FF0000"/>
                <w:sz w:val="24"/>
                <w:highlight w:val="none"/>
              </w:rPr>
            </w:pPr>
          </w:p>
        </w:tc>
        <w:tc>
          <w:tcPr>
            <w:tcW w:w="2119" w:type="dxa"/>
            <w:vAlign w:val="center"/>
          </w:tcPr>
          <w:p>
            <w:pPr>
              <w:widowControl/>
              <w:autoSpaceDE w:val="0"/>
              <w:autoSpaceDN w:val="0"/>
              <w:jc w:val="center"/>
              <w:textAlignment w:val="bottom"/>
              <w:rPr>
                <w:rFonts w:hint="eastAsia" w:ascii="宋体" w:hAnsi="宋体"/>
                <w:color w:val="FF0000"/>
                <w:sz w:val="24"/>
                <w:highlight w:val="none"/>
              </w:rPr>
            </w:pPr>
          </w:p>
        </w:tc>
        <w:tc>
          <w:tcPr>
            <w:tcW w:w="1933" w:type="dxa"/>
            <w:vAlign w:val="center"/>
          </w:tcPr>
          <w:p>
            <w:pPr>
              <w:widowControl/>
              <w:autoSpaceDE w:val="0"/>
              <w:autoSpaceDN w:val="0"/>
              <w:jc w:val="center"/>
              <w:textAlignment w:val="bottom"/>
              <w:rPr>
                <w:rFonts w:hint="eastAsia" w:ascii="宋体" w:hAnsi="宋体"/>
                <w:color w:val="FF0000"/>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3" w:hRule="atLeast"/>
          <w:jc w:val="center"/>
        </w:trPr>
        <w:tc>
          <w:tcPr>
            <w:tcW w:w="740" w:type="dxa"/>
            <w:vAlign w:val="center"/>
          </w:tcPr>
          <w:p>
            <w:pPr>
              <w:widowControl/>
              <w:autoSpaceDE w:val="0"/>
              <w:autoSpaceDN w:val="0"/>
              <w:jc w:val="center"/>
              <w:textAlignment w:val="bottom"/>
              <w:rPr>
                <w:rFonts w:hint="eastAsia" w:ascii="宋体" w:hAnsi="宋体"/>
                <w:color w:val="FF0000"/>
                <w:sz w:val="24"/>
                <w:highlight w:val="none"/>
              </w:rPr>
            </w:pPr>
          </w:p>
        </w:tc>
        <w:tc>
          <w:tcPr>
            <w:tcW w:w="1232" w:type="dxa"/>
            <w:tcBorders>
              <w:right w:val="single" w:color="auto" w:sz="4" w:space="0"/>
            </w:tcBorders>
            <w:vAlign w:val="center"/>
          </w:tcPr>
          <w:p>
            <w:pPr>
              <w:widowControl/>
              <w:autoSpaceDE w:val="0"/>
              <w:autoSpaceDN w:val="0"/>
              <w:jc w:val="center"/>
              <w:textAlignment w:val="bottom"/>
              <w:rPr>
                <w:rFonts w:hint="eastAsia" w:ascii="宋体" w:hAnsi="宋体"/>
                <w:color w:val="FF0000"/>
                <w:sz w:val="24"/>
                <w:highlight w:val="none"/>
              </w:rPr>
            </w:pPr>
          </w:p>
        </w:tc>
        <w:tc>
          <w:tcPr>
            <w:tcW w:w="891" w:type="dxa"/>
            <w:tcBorders>
              <w:left w:val="single" w:color="auto" w:sz="4" w:space="0"/>
            </w:tcBorders>
            <w:vAlign w:val="center"/>
          </w:tcPr>
          <w:p>
            <w:pPr>
              <w:widowControl/>
              <w:autoSpaceDE w:val="0"/>
              <w:autoSpaceDN w:val="0"/>
              <w:jc w:val="center"/>
              <w:textAlignment w:val="bottom"/>
              <w:rPr>
                <w:rFonts w:hint="eastAsia" w:ascii="宋体" w:hAnsi="宋体"/>
                <w:color w:val="FF0000"/>
                <w:sz w:val="24"/>
                <w:highlight w:val="none"/>
              </w:rPr>
            </w:pPr>
          </w:p>
        </w:tc>
        <w:tc>
          <w:tcPr>
            <w:tcW w:w="2119" w:type="dxa"/>
            <w:vAlign w:val="center"/>
          </w:tcPr>
          <w:p>
            <w:pPr>
              <w:widowControl/>
              <w:autoSpaceDE w:val="0"/>
              <w:autoSpaceDN w:val="0"/>
              <w:jc w:val="center"/>
              <w:textAlignment w:val="bottom"/>
              <w:rPr>
                <w:rFonts w:hint="eastAsia" w:ascii="宋体" w:hAnsi="宋体"/>
                <w:color w:val="FF0000"/>
                <w:sz w:val="24"/>
                <w:highlight w:val="none"/>
              </w:rPr>
            </w:pPr>
          </w:p>
        </w:tc>
        <w:tc>
          <w:tcPr>
            <w:tcW w:w="2119" w:type="dxa"/>
            <w:vAlign w:val="center"/>
          </w:tcPr>
          <w:p>
            <w:pPr>
              <w:widowControl/>
              <w:autoSpaceDE w:val="0"/>
              <w:autoSpaceDN w:val="0"/>
              <w:jc w:val="center"/>
              <w:textAlignment w:val="bottom"/>
              <w:rPr>
                <w:rFonts w:hint="eastAsia" w:ascii="宋体" w:hAnsi="宋体"/>
                <w:color w:val="FF0000"/>
                <w:sz w:val="24"/>
                <w:highlight w:val="none"/>
              </w:rPr>
            </w:pPr>
          </w:p>
        </w:tc>
        <w:tc>
          <w:tcPr>
            <w:tcW w:w="1933" w:type="dxa"/>
            <w:vAlign w:val="center"/>
          </w:tcPr>
          <w:p>
            <w:pPr>
              <w:widowControl/>
              <w:autoSpaceDE w:val="0"/>
              <w:autoSpaceDN w:val="0"/>
              <w:jc w:val="center"/>
              <w:textAlignment w:val="bottom"/>
              <w:rPr>
                <w:rFonts w:hint="eastAsia" w:ascii="宋体" w:hAnsi="宋体"/>
                <w:color w:val="FF0000"/>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23" w:hRule="atLeast"/>
          <w:jc w:val="center"/>
        </w:trPr>
        <w:tc>
          <w:tcPr>
            <w:tcW w:w="740" w:type="dxa"/>
            <w:vAlign w:val="center"/>
          </w:tcPr>
          <w:p>
            <w:pPr>
              <w:widowControl/>
              <w:autoSpaceDE w:val="0"/>
              <w:autoSpaceDN w:val="0"/>
              <w:jc w:val="center"/>
              <w:textAlignment w:val="bottom"/>
              <w:rPr>
                <w:rFonts w:hint="eastAsia" w:ascii="宋体" w:hAnsi="宋体"/>
                <w:color w:val="FF0000"/>
                <w:sz w:val="24"/>
                <w:highlight w:val="none"/>
              </w:rPr>
            </w:pPr>
          </w:p>
        </w:tc>
        <w:tc>
          <w:tcPr>
            <w:tcW w:w="1232" w:type="dxa"/>
            <w:tcBorders>
              <w:right w:val="single" w:color="auto" w:sz="4" w:space="0"/>
            </w:tcBorders>
            <w:vAlign w:val="center"/>
          </w:tcPr>
          <w:p>
            <w:pPr>
              <w:widowControl/>
              <w:autoSpaceDE w:val="0"/>
              <w:autoSpaceDN w:val="0"/>
              <w:jc w:val="center"/>
              <w:textAlignment w:val="bottom"/>
              <w:rPr>
                <w:rFonts w:hint="eastAsia" w:ascii="宋体" w:hAnsi="宋体"/>
                <w:color w:val="FF0000"/>
                <w:sz w:val="24"/>
                <w:highlight w:val="none"/>
              </w:rPr>
            </w:pPr>
          </w:p>
        </w:tc>
        <w:tc>
          <w:tcPr>
            <w:tcW w:w="891" w:type="dxa"/>
            <w:tcBorders>
              <w:left w:val="single" w:color="auto" w:sz="4" w:space="0"/>
            </w:tcBorders>
            <w:vAlign w:val="center"/>
          </w:tcPr>
          <w:p>
            <w:pPr>
              <w:widowControl/>
              <w:autoSpaceDE w:val="0"/>
              <w:autoSpaceDN w:val="0"/>
              <w:jc w:val="center"/>
              <w:textAlignment w:val="bottom"/>
              <w:rPr>
                <w:rFonts w:hint="eastAsia" w:ascii="宋体" w:hAnsi="宋体"/>
                <w:color w:val="FF0000"/>
                <w:sz w:val="24"/>
                <w:highlight w:val="none"/>
              </w:rPr>
            </w:pPr>
          </w:p>
        </w:tc>
        <w:tc>
          <w:tcPr>
            <w:tcW w:w="2119" w:type="dxa"/>
            <w:vAlign w:val="center"/>
          </w:tcPr>
          <w:p>
            <w:pPr>
              <w:widowControl/>
              <w:autoSpaceDE w:val="0"/>
              <w:autoSpaceDN w:val="0"/>
              <w:jc w:val="center"/>
              <w:textAlignment w:val="bottom"/>
              <w:rPr>
                <w:rFonts w:hint="eastAsia" w:ascii="宋体" w:hAnsi="宋体"/>
                <w:color w:val="FF0000"/>
                <w:sz w:val="24"/>
                <w:highlight w:val="none"/>
              </w:rPr>
            </w:pPr>
          </w:p>
        </w:tc>
        <w:tc>
          <w:tcPr>
            <w:tcW w:w="2119" w:type="dxa"/>
            <w:vAlign w:val="center"/>
          </w:tcPr>
          <w:p>
            <w:pPr>
              <w:widowControl/>
              <w:autoSpaceDE w:val="0"/>
              <w:autoSpaceDN w:val="0"/>
              <w:jc w:val="center"/>
              <w:textAlignment w:val="bottom"/>
              <w:rPr>
                <w:rFonts w:hint="eastAsia" w:ascii="宋体" w:hAnsi="宋体"/>
                <w:color w:val="FF0000"/>
                <w:sz w:val="24"/>
                <w:highlight w:val="none"/>
              </w:rPr>
            </w:pPr>
          </w:p>
        </w:tc>
        <w:tc>
          <w:tcPr>
            <w:tcW w:w="1933" w:type="dxa"/>
            <w:vAlign w:val="center"/>
          </w:tcPr>
          <w:p>
            <w:pPr>
              <w:widowControl/>
              <w:autoSpaceDE w:val="0"/>
              <w:autoSpaceDN w:val="0"/>
              <w:jc w:val="center"/>
              <w:textAlignment w:val="bottom"/>
              <w:rPr>
                <w:rFonts w:hint="eastAsia" w:ascii="宋体" w:hAnsi="宋体"/>
                <w:color w:val="FF0000"/>
                <w:sz w:val="24"/>
                <w:highlight w:val="none"/>
              </w:rPr>
            </w:pPr>
          </w:p>
        </w:tc>
      </w:tr>
    </w:tbl>
    <w:p>
      <w:pPr>
        <w:pStyle w:val="2"/>
        <w:numPr>
          <w:ilvl w:val="0"/>
          <w:numId w:val="0"/>
        </w:numPr>
        <w:snapToGrid/>
        <w:spacing w:before="0" w:beforeLines="0" w:line="480" w:lineRule="auto"/>
        <w:rPr>
          <w:rFonts w:hint="eastAsia" w:hAnsi="宋体"/>
          <w:sz w:val="24"/>
          <w:szCs w:val="24"/>
          <w:highlight w:val="none"/>
        </w:rPr>
      </w:pPr>
      <w:bookmarkStart w:id="79" w:name="_Toc481"/>
      <w:r>
        <w:rPr>
          <w:rFonts w:hint="eastAsia" w:hAnsi="宋体"/>
          <w:sz w:val="24"/>
          <w:szCs w:val="24"/>
          <w:highlight w:val="none"/>
        </w:rPr>
        <w:t>十一、技术差异表</w:t>
      </w:r>
      <w:bookmarkEnd w:id="78"/>
      <w:bookmarkEnd w:id="79"/>
    </w:p>
    <w:p>
      <w:pPr>
        <w:pStyle w:val="64"/>
        <w:adjustRightInd w:val="0"/>
        <w:snapToGrid w:val="0"/>
        <w:spacing w:line="360" w:lineRule="auto"/>
        <w:ind w:firstLine="480"/>
        <w:rPr>
          <w:rFonts w:hint="eastAsia" w:ascii="宋体" w:hAnsi="宋体" w:eastAsia="宋体" w:cs="Times New Roman"/>
          <w:sz w:val="24"/>
          <w:szCs w:val="24"/>
          <w:highlight w:val="none"/>
        </w:rPr>
      </w:pPr>
      <w:bookmarkStart w:id="80" w:name="_Toc226362579"/>
      <w:r>
        <w:rPr>
          <w:rFonts w:hint="eastAsia" w:ascii="宋体" w:hAnsi="宋体" w:eastAsia="宋体" w:cs="Times New Roman"/>
          <w:sz w:val="24"/>
          <w:szCs w:val="24"/>
          <w:highlight w:val="none"/>
        </w:rPr>
        <w:t>投标方应将所供设备与本招标书技术文件有差异之处，无论优于或劣于本招标书技术文件要求，均汇集至表11.1。</w:t>
      </w:r>
    </w:p>
    <w:p>
      <w:pPr>
        <w:adjustRightInd w:val="0"/>
        <w:snapToGrid w:val="0"/>
        <w:spacing w:line="360" w:lineRule="auto"/>
        <w:ind w:firstLine="199"/>
        <w:jc w:val="center"/>
        <w:rPr>
          <w:rFonts w:hint="eastAsia" w:ascii="宋体" w:hAnsi="宋体"/>
          <w:sz w:val="24"/>
          <w:highlight w:val="none"/>
        </w:rPr>
      </w:pPr>
      <w:r>
        <w:rPr>
          <w:rFonts w:hint="eastAsia" w:ascii="宋体" w:hAnsi="宋体"/>
          <w:sz w:val="24"/>
          <w:highlight w:val="none"/>
        </w:rPr>
        <w:t>表11.1技术差异表</w:t>
      </w:r>
      <w:bookmarkEnd w:id="80"/>
      <w:r>
        <w:rPr>
          <w:rFonts w:hint="eastAsia" w:ascii="宋体" w:hAnsi="宋体"/>
          <w:sz w:val="24"/>
          <w:highlight w:val="none"/>
        </w:rPr>
        <w:t>（投标方填写）</w:t>
      </w:r>
    </w:p>
    <w:tbl>
      <w:tblPr>
        <w:tblStyle w:val="3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34"/>
        <w:gridCol w:w="1256"/>
        <w:gridCol w:w="2932"/>
        <w:gridCol w:w="1360"/>
        <w:gridCol w:w="2783"/>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734" w:type="dxa"/>
            <w:vMerge w:val="restart"/>
            <w:vAlign w:val="center"/>
          </w:tcPr>
          <w:p>
            <w:pPr>
              <w:jc w:val="center"/>
              <w:rPr>
                <w:rFonts w:hint="eastAsia" w:ascii="宋体" w:hAnsi="宋体"/>
                <w:szCs w:val="21"/>
                <w:highlight w:val="none"/>
              </w:rPr>
            </w:pPr>
            <w:r>
              <w:rPr>
                <w:rFonts w:hint="eastAsia" w:ascii="宋体" w:hAnsi="宋体"/>
                <w:szCs w:val="21"/>
                <w:highlight w:val="none"/>
              </w:rPr>
              <w:t>序</w:t>
            </w:r>
          </w:p>
          <w:p>
            <w:pPr>
              <w:jc w:val="center"/>
              <w:rPr>
                <w:rFonts w:hint="eastAsia" w:ascii="宋体" w:hAnsi="宋体"/>
                <w:szCs w:val="21"/>
                <w:highlight w:val="none"/>
              </w:rPr>
            </w:pPr>
            <w:r>
              <w:rPr>
                <w:rFonts w:hint="eastAsia" w:ascii="宋体" w:hAnsi="宋体"/>
                <w:szCs w:val="21"/>
                <w:highlight w:val="none"/>
              </w:rPr>
              <w:t>号</w:t>
            </w:r>
          </w:p>
        </w:tc>
        <w:tc>
          <w:tcPr>
            <w:tcW w:w="4188" w:type="dxa"/>
            <w:gridSpan w:val="2"/>
            <w:vAlign w:val="center"/>
          </w:tcPr>
          <w:p>
            <w:pPr>
              <w:jc w:val="center"/>
              <w:rPr>
                <w:rFonts w:hint="eastAsia" w:ascii="宋体" w:hAnsi="宋体"/>
                <w:szCs w:val="21"/>
                <w:highlight w:val="none"/>
              </w:rPr>
            </w:pPr>
            <w:r>
              <w:rPr>
                <w:rFonts w:hint="eastAsia" w:ascii="宋体" w:hAnsi="宋体"/>
                <w:szCs w:val="21"/>
                <w:highlight w:val="none"/>
              </w:rPr>
              <w:t>招标文件</w:t>
            </w:r>
          </w:p>
        </w:tc>
        <w:tc>
          <w:tcPr>
            <w:tcW w:w="4143" w:type="dxa"/>
            <w:gridSpan w:val="2"/>
            <w:vAlign w:val="center"/>
          </w:tcPr>
          <w:p>
            <w:pPr>
              <w:jc w:val="center"/>
              <w:rPr>
                <w:rFonts w:hint="eastAsia" w:ascii="宋体" w:hAnsi="宋体"/>
                <w:szCs w:val="21"/>
                <w:highlight w:val="none"/>
              </w:rPr>
            </w:pPr>
            <w:r>
              <w:rPr>
                <w:rFonts w:hint="eastAsia" w:ascii="宋体" w:hAnsi="宋体"/>
                <w:szCs w:val="21"/>
                <w:highlight w:val="none"/>
              </w:rPr>
              <w:t>投标文件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734" w:type="dxa"/>
            <w:vMerge w:val="continue"/>
            <w:vAlign w:val="center"/>
          </w:tcPr>
          <w:p>
            <w:pPr>
              <w:jc w:val="center"/>
              <w:rPr>
                <w:rFonts w:hint="eastAsia" w:ascii="宋体" w:hAnsi="宋体"/>
                <w:szCs w:val="21"/>
                <w:highlight w:val="none"/>
              </w:rPr>
            </w:pPr>
          </w:p>
        </w:tc>
        <w:tc>
          <w:tcPr>
            <w:tcW w:w="1256" w:type="dxa"/>
            <w:vAlign w:val="center"/>
          </w:tcPr>
          <w:p>
            <w:pPr>
              <w:jc w:val="center"/>
              <w:rPr>
                <w:rFonts w:hint="eastAsia" w:ascii="宋体" w:hAnsi="宋体"/>
                <w:szCs w:val="21"/>
                <w:highlight w:val="none"/>
              </w:rPr>
            </w:pPr>
            <w:r>
              <w:rPr>
                <w:rFonts w:hint="eastAsia" w:ascii="宋体" w:hAnsi="宋体"/>
                <w:szCs w:val="21"/>
                <w:highlight w:val="none"/>
              </w:rPr>
              <w:t>条目</w:t>
            </w:r>
          </w:p>
        </w:tc>
        <w:tc>
          <w:tcPr>
            <w:tcW w:w="2932" w:type="dxa"/>
            <w:vAlign w:val="center"/>
          </w:tcPr>
          <w:p>
            <w:pPr>
              <w:jc w:val="center"/>
              <w:rPr>
                <w:rFonts w:hint="eastAsia" w:ascii="宋体" w:hAnsi="宋体"/>
                <w:szCs w:val="21"/>
                <w:highlight w:val="none"/>
              </w:rPr>
            </w:pPr>
            <w:r>
              <w:rPr>
                <w:rFonts w:hint="eastAsia" w:ascii="宋体" w:hAnsi="宋体"/>
                <w:szCs w:val="21"/>
                <w:highlight w:val="none"/>
              </w:rPr>
              <w:t>简要内容</w:t>
            </w:r>
          </w:p>
        </w:tc>
        <w:tc>
          <w:tcPr>
            <w:tcW w:w="1360" w:type="dxa"/>
            <w:vAlign w:val="center"/>
          </w:tcPr>
          <w:p>
            <w:pPr>
              <w:jc w:val="center"/>
              <w:rPr>
                <w:rFonts w:hint="eastAsia" w:ascii="宋体" w:hAnsi="宋体"/>
                <w:szCs w:val="21"/>
                <w:highlight w:val="none"/>
              </w:rPr>
            </w:pPr>
            <w:r>
              <w:rPr>
                <w:rFonts w:hint="eastAsia" w:ascii="宋体" w:hAnsi="宋体"/>
                <w:szCs w:val="21"/>
                <w:highlight w:val="none"/>
              </w:rPr>
              <w:t>条目</w:t>
            </w:r>
          </w:p>
        </w:tc>
        <w:tc>
          <w:tcPr>
            <w:tcW w:w="2783" w:type="dxa"/>
            <w:vAlign w:val="center"/>
          </w:tcPr>
          <w:p>
            <w:pPr>
              <w:jc w:val="center"/>
              <w:rPr>
                <w:rFonts w:hint="eastAsia" w:ascii="宋体" w:hAnsi="宋体"/>
                <w:szCs w:val="21"/>
                <w:highlight w:val="none"/>
              </w:rPr>
            </w:pPr>
            <w:r>
              <w:rPr>
                <w:rFonts w:hint="eastAsia" w:ascii="宋体" w:hAnsi="宋体"/>
                <w:szCs w:val="21"/>
                <w:highlight w:val="none"/>
              </w:rPr>
              <w:t>简要内容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734" w:type="dxa"/>
            <w:vAlign w:val="center"/>
          </w:tcPr>
          <w:p>
            <w:pPr>
              <w:widowControl/>
              <w:autoSpaceDE w:val="0"/>
              <w:autoSpaceDN w:val="0"/>
              <w:textAlignment w:val="bottom"/>
              <w:rPr>
                <w:rFonts w:hint="eastAsia" w:ascii="宋体" w:hAnsi="宋体"/>
                <w:szCs w:val="21"/>
                <w:highlight w:val="none"/>
              </w:rPr>
            </w:pPr>
          </w:p>
        </w:tc>
        <w:tc>
          <w:tcPr>
            <w:tcW w:w="1256" w:type="dxa"/>
            <w:vAlign w:val="center"/>
          </w:tcPr>
          <w:p>
            <w:pPr>
              <w:widowControl/>
              <w:autoSpaceDE w:val="0"/>
              <w:autoSpaceDN w:val="0"/>
              <w:textAlignment w:val="bottom"/>
              <w:rPr>
                <w:rFonts w:hint="eastAsia" w:ascii="宋体" w:hAnsi="宋体"/>
                <w:szCs w:val="21"/>
                <w:highlight w:val="none"/>
              </w:rPr>
            </w:pPr>
          </w:p>
        </w:tc>
        <w:tc>
          <w:tcPr>
            <w:tcW w:w="2932" w:type="dxa"/>
            <w:vAlign w:val="center"/>
          </w:tcPr>
          <w:p>
            <w:pPr>
              <w:widowControl/>
              <w:autoSpaceDE w:val="0"/>
              <w:autoSpaceDN w:val="0"/>
              <w:textAlignment w:val="bottom"/>
              <w:rPr>
                <w:rFonts w:hint="eastAsia" w:ascii="宋体" w:hAnsi="宋体"/>
                <w:szCs w:val="21"/>
                <w:highlight w:val="none"/>
              </w:rPr>
            </w:pPr>
          </w:p>
        </w:tc>
        <w:tc>
          <w:tcPr>
            <w:tcW w:w="1360" w:type="dxa"/>
            <w:vAlign w:val="center"/>
          </w:tcPr>
          <w:p>
            <w:pPr>
              <w:widowControl/>
              <w:autoSpaceDE w:val="0"/>
              <w:autoSpaceDN w:val="0"/>
              <w:textAlignment w:val="bottom"/>
              <w:rPr>
                <w:rFonts w:hint="eastAsia" w:ascii="宋体" w:hAnsi="宋体"/>
                <w:szCs w:val="21"/>
                <w:highlight w:val="none"/>
              </w:rPr>
            </w:pPr>
          </w:p>
        </w:tc>
        <w:tc>
          <w:tcPr>
            <w:tcW w:w="2783" w:type="dxa"/>
            <w:vAlign w:val="center"/>
          </w:tcPr>
          <w:p>
            <w:pPr>
              <w:widowControl/>
              <w:autoSpaceDE w:val="0"/>
              <w:autoSpaceDN w:val="0"/>
              <w:textAlignment w:val="bottom"/>
              <w:rPr>
                <w:rFonts w:hint="eastAsia" w:ascii="宋体" w:hAnsi="宋体"/>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734" w:type="dxa"/>
            <w:vAlign w:val="center"/>
          </w:tcPr>
          <w:p>
            <w:pPr>
              <w:widowControl/>
              <w:autoSpaceDE w:val="0"/>
              <w:autoSpaceDN w:val="0"/>
              <w:textAlignment w:val="bottom"/>
              <w:rPr>
                <w:rFonts w:hint="eastAsia" w:ascii="宋体" w:hAnsi="宋体"/>
                <w:szCs w:val="21"/>
                <w:highlight w:val="none"/>
              </w:rPr>
            </w:pPr>
          </w:p>
        </w:tc>
        <w:tc>
          <w:tcPr>
            <w:tcW w:w="1256" w:type="dxa"/>
            <w:vAlign w:val="center"/>
          </w:tcPr>
          <w:p>
            <w:pPr>
              <w:widowControl/>
              <w:autoSpaceDE w:val="0"/>
              <w:autoSpaceDN w:val="0"/>
              <w:textAlignment w:val="bottom"/>
              <w:rPr>
                <w:rFonts w:hint="eastAsia" w:ascii="宋体" w:hAnsi="宋体"/>
                <w:szCs w:val="21"/>
                <w:highlight w:val="none"/>
              </w:rPr>
            </w:pPr>
          </w:p>
        </w:tc>
        <w:tc>
          <w:tcPr>
            <w:tcW w:w="2932" w:type="dxa"/>
            <w:vAlign w:val="center"/>
          </w:tcPr>
          <w:p>
            <w:pPr>
              <w:widowControl/>
              <w:autoSpaceDE w:val="0"/>
              <w:autoSpaceDN w:val="0"/>
              <w:textAlignment w:val="bottom"/>
              <w:rPr>
                <w:rFonts w:hint="eastAsia" w:ascii="宋体" w:hAnsi="宋体"/>
                <w:szCs w:val="21"/>
                <w:highlight w:val="none"/>
              </w:rPr>
            </w:pPr>
          </w:p>
        </w:tc>
        <w:tc>
          <w:tcPr>
            <w:tcW w:w="1360" w:type="dxa"/>
            <w:vAlign w:val="center"/>
          </w:tcPr>
          <w:p>
            <w:pPr>
              <w:widowControl/>
              <w:autoSpaceDE w:val="0"/>
              <w:autoSpaceDN w:val="0"/>
              <w:textAlignment w:val="bottom"/>
              <w:rPr>
                <w:rFonts w:hint="eastAsia" w:ascii="宋体" w:hAnsi="宋体"/>
                <w:szCs w:val="21"/>
                <w:highlight w:val="none"/>
              </w:rPr>
            </w:pPr>
          </w:p>
        </w:tc>
        <w:tc>
          <w:tcPr>
            <w:tcW w:w="2783" w:type="dxa"/>
            <w:vAlign w:val="center"/>
          </w:tcPr>
          <w:p>
            <w:pPr>
              <w:widowControl/>
              <w:autoSpaceDE w:val="0"/>
              <w:autoSpaceDN w:val="0"/>
              <w:textAlignment w:val="bottom"/>
              <w:rPr>
                <w:rFonts w:hint="eastAsia" w:ascii="宋体" w:hAnsi="宋体"/>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734" w:type="dxa"/>
            <w:vAlign w:val="center"/>
          </w:tcPr>
          <w:p>
            <w:pPr>
              <w:widowControl/>
              <w:autoSpaceDE w:val="0"/>
              <w:autoSpaceDN w:val="0"/>
              <w:textAlignment w:val="bottom"/>
              <w:rPr>
                <w:rFonts w:hint="eastAsia" w:ascii="宋体" w:hAnsi="宋体"/>
                <w:szCs w:val="21"/>
                <w:highlight w:val="none"/>
              </w:rPr>
            </w:pPr>
          </w:p>
        </w:tc>
        <w:tc>
          <w:tcPr>
            <w:tcW w:w="1256" w:type="dxa"/>
            <w:vAlign w:val="center"/>
          </w:tcPr>
          <w:p>
            <w:pPr>
              <w:widowControl/>
              <w:autoSpaceDE w:val="0"/>
              <w:autoSpaceDN w:val="0"/>
              <w:textAlignment w:val="bottom"/>
              <w:rPr>
                <w:rFonts w:hint="eastAsia" w:ascii="宋体" w:hAnsi="宋体"/>
                <w:szCs w:val="21"/>
                <w:highlight w:val="none"/>
              </w:rPr>
            </w:pPr>
          </w:p>
        </w:tc>
        <w:tc>
          <w:tcPr>
            <w:tcW w:w="2932" w:type="dxa"/>
            <w:vAlign w:val="center"/>
          </w:tcPr>
          <w:p>
            <w:pPr>
              <w:widowControl/>
              <w:autoSpaceDE w:val="0"/>
              <w:autoSpaceDN w:val="0"/>
              <w:textAlignment w:val="bottom"/>
              <w:rPr>
                <w:rFonts w:hint="eastAsia" w:ascii="宋体" w:hAnsi="宋体"/>
                <w:szCs w:val="21"/>
                <w:highlight w:val="none"/>
              </w:rPr>
            </w:pPr>
          </w:p>
        </w:tc>
        <w:tc>
          <w:tcPr>
            <w:tcW w:w="1360" w:type="dxa"/>
            <w:vAlign w:val="center"/>
          </w:tcPr>
          <w:p>
            <w:pPr>
              <w:widowControl/>
              <w:autoSpaceDE w:val="0"/>
              <w:autoSpaceDN w:val="0"/>
              <w:textAlignment w:val="bottom"/>
              <w:rPr>
                <w:rFonts w:hint="eastAsia" w:ascii="宋体" w:hAnsi="宋体"/>
                <w:szCs w:val="21"/>
                <w:highlight w:val="none"/>
              </w:rPr>
            </w:pPr>
          </w:p>
        </w:tc>
        <w:tc>
          <w:tcPr>
            <w:tcW w:w="2783" w:type="dxa"/>
            <w:vAlign w:val="center"/>
          </w:tcPr>
          <w:p>
            <w:pPr>
              <w:widowControl/>
              <w:autoSpaceDE w:val="0"/>
              <w:autoSpaceDN w:val="0"/>
              <w:textAlignment w:val="bottom"/>
              <w:rPr>
                <w:rFonts w:hint="eastAsia" w:ascii="宋体" w:hAnsi="宋体"/>
                <w:szCs w:val="21"/>
                <w:highlight w:val="none"/>
              </w:rPr>
            </w:pPr>
          </w:p>
        </w:tc>
      </w:tr>
    </w:tbl>
    <w:p>
      <w:pPr>
        <w:pStyle w:val="20"/>
        <w:adjustRightInd w:val="0"/>
        <w:snapToGrid w:val="0"/>
        <w:spacing w:before="156" w:beforeLines="50" w:line="360" w:lineRule="auto"/>
        <w:rPr>
          <w:rFonts w:hint="eastAsia" w:hAnsi="宋体"/>
          <w:sz w:val="24"/>
          <w:highlight w:val="none"/>
        </w:rPr>
      </w:pPr>
      <w:r>
        <w:rPr>
          <w:rFonts w:hAnsi="宋体"/>
          <w:sz w:val="24"/>
          <w:highlight w:val="none"/>
        </w:rPr>
        <w:t>投标</w:t>
      </w:r>
      <w:r>
        <w:rPr>
          <w:rFonts w:hint="eastAsia" w:hAnsi="宋体"/>
          <w:sz w:val="24"/>
          <w:highlight w:val="none"/>
        </w:rPr>
        <w:t>方</w:t>
      </w:r>
      <w:r>
        <w:rPr>
          <w:rFonts w:hAnsi="宋体"/>
          <w:sz w:val="24"/>
          <w:highlight w:val="none"/>
        </w:rPr>
        <w:t>：盖章：</w:t>
      </w:r>
    </w:p>
    <w:p>
      <w:pPr>
        <w:pStyle w:val="2"/>
        <w:numPr>
          <w:ilvl w:val="0"/>
          <w:numId w:val="0"/>
        </w:numPr>
        <w:snapToGrid/>
        <w:spacing w:before="0" w:beforeLines="0" w:line="480" w:lineRule="auto"/>
        <w:rPr>
          <w:rFonts w:hint="eastAsia" w:hAnsi="宋体"/>
          <w:sz w:val="24"/>
          <w:szCs w:val="24"/>
          <w:highlight w:val="none"/>
        </w:rPr>
      </w:pPr>
      <w:bookmarkStart w:id="81" w:name="_Toc287602850"/>
      <w:bookmarkStart w:id="82" w:name="_Toc10450"/>
      <w:bookmarkStart w:id="83" w:name="_Toc282421446"/>
      <w:bookmarkStart w:id="84" w:name="_Toc282420857"/>
      <w:r>
        <w:rPr>
          <w:rFonts w:hint="eastAsia" w:hAnsi="宋体"/>
          <w:sz w:val="24"/>
          <w:szCs w:val="24"/>
          <w:highlight w:val="none"/>
        </w:rPr>
        <w:t>十二、投标方需说明的其他问题</w:t>
      </w:r>
      <w:bookmarkEnd w:id="81"/>
      <w:bookmarkEnd w:id="82"/>
      <w:bookmarkEnd w:id="83"/>
      <w:bookmarkEnd w:id="84"/>
    </w:p>
    <w:p>
      <w:pPr>
        <w:pStyle w:val="64"/>
        <w:adjustRightInd w:val="0"/>
        <w:snapToGrid w:val="0"/>
        <w:spacing w:line="36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如有需说明的其他问题，投标方应通过书面形式提交，并加盖公章。</w:t>
      </w:r>
    </w:p>
    <w:sectPr>
      <w:headerReference r:id="rId4" w:type="default"/>
      <w:footerReference r:id="rId5" w:type="default"/>
      <w:pgSz w:w="11906" w:h="16838"/>
      <w:pgMar w:top="1440" w:right="1466" w:bottom="1440" w:left="1440"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书宋简体">
    <w:altName w:val="宋体"/>
    <w:panose1 w:val="00000000000000000000"/>
    <w:charset w:val="86"/>
    <w:family w:val="auto"/>
    <w:pitch w:val="default"/>
    <w:sig w:usb0="00000000" w:usb1="00000000" w:usb2="00000012" w:usb3="00000000" w:csb0="00040001" w:csb1="00000000"/>
  </w:font>
  <w:font w:name="ˎ̥">
    <w:altName w:val="微软雅黑"/>
    <w:panose1 w:val="00000000000000000000"/>
    <w:charset w:val="00"/>
    <w:family w:val="roman"/>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Helvetica">
    <w:altName w:val="Arial"/>
    <w:panose1 w:val="020B0604020202020204"/>
    <w:charset w:val="00"/>
    <w:family w:val="swiss"/>
    <w:pitch w:val="default"/>
    <w:sig w:usb0="00000000" w:usb1="00000000" w:usb2="00000000" w:usb3="00000000" w:csb0="0000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pP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jc w:val="right"/>
    </w:pPr>
    <w:r>
      <w:fldChar w:fldCharType="begin"/>
    </w:r>
    <w:r>
      <w:instrText xml:space="preserve"> PAGE   \* MERGEFORMAT </w:instrText>
    </w:r>
    <w:r>
      <w:fldChar w:fldCharType="separate"/>
    </w:r>
    <w:r>
      <w:rPr>
        <w:lang w:val="zh-CN"/>
      </w:rPr>
      <w:t>6</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E978238"/>
    <w:multiLevelType w:val="multilevel"/>
    <w:tmpl w:val="2E978238"/>
    <w:lvl w:ilvl="0" w:tentative="0">
      <w:start w:val="1"/>
      <w:numFmt w:val="decimal"/>
      <w:pStyle w:val="2"/>
      <w:isLgl/>
      <w:suff w:val="space"/>
      <w:lvlText w:val="%1"/>
      <w:lvlJc w:val="left"/>
      <w:pPr>
        <w:ind w:left="0" w:firstLine="0"/>
      </w:pPr>
      <w:rPr>
        <w:rFonts w:hint="default" w:ascii="宋体" w:hAnsi="宋体" w:eastAsia="宋体" w:cs="宋体"/>
        <w:b/>
        <w:i w:val="0"/>
        <w:color w:val="auto"/>
        <w:sz w:val="21"/>
      </w:rPr>
    </w:lvl>
    <w:lvl w:ilvl="1" w:tentative="0">
      <w:start w:val="1"/>
      <w:numFmt w:val="decimal"/>
      <w:pStyle w:val="3"/>
      <w:isLgl/>
      <w:suff w:val="space"/>
      <w:lvlText w:val="%1.%2"/>
      <w:lvlJc w:val="left"/>
      <w:pPr>
        <w:ind w:left="2977" w:firstLine="0"/>
      </w:pPr>
      <w:rPr>
        <w:rFonts w:hint="default" w:ascii="宋体" w:hAnsi="宋体" w:eastAsia="宋体" w:cs="宋体"/>
        <w:b w:val="0"/>
        <w:i w:val="0"/>
        <w:sz w:val="21"/>
      </w:rPr>
    </w:lvl>
    <w:lvl w:ilvl="2" w:tentative="0">
      <w:start w:val="1"/>
      <w:numFmt w:val="decimal"/>
      <w:pStyle w:val="4"/>
      <w:isLgl/>
      <w:suff w:val="space"/>
      <w:lvlText w:val="%1.%2.%3 "/>
      <w:lvlJc w:val="left"/>
      <w:pPr>
        <w:tabs>
          <w:tab w:val="left" w:pos="0"/>
        </w:tabs>
        <w:ind w:left="360" w:firstLine="0"/>
      </w:pPr>
      <w:rPr>
        <w:rFonts w:hint="default" w:ascii="宋体" w:hAnsi="宋体" w:eastAsia="宋体" w:cs="宋体"/>
        <w:b w:val="0"/>
        <w:bCs w:val="0"/>
        <w:i w:val="0"/>
        <w:iCs w:val="0"/>
        <w:caps w:val="0"/>
        <w:smallCaps w:val="0"/>
        <w:strike w:val="0"/>
        <w:dstrike w:val="0"/>
        <w:vanish w:val="0"/>
        <w:color w:val="auto"/>
        <w:spacing w:val="0"/>
        <w:w w:val="100"/>
        <w:kern w:val="2"/>
        <w:position w:val="0"/>
        <w:sz w:val="21"/>
        <w:u w:val="none"/>
        <w:shd w:val="clear" w:color="auto" w:fill="auto"/>
        <w:vertAlign w:val="baseline"/>
        <w14:shadow w14:blurRad="0" w14:dist="0" w14:dir="0" w14:sx="0" w14:sy="0" w14:kx="0" w14:ky="0" w14:algn="none">
          <w14:srgbClr w14:val="000000"/>
        </w14:shadow>
      </w:rPr>
    </w:lvl>
    <w:lvl w:ilvl="3" w:tentative="0">
      <w:start w:val="1"/>
      <w:numFmt w:val="decimal"/>
      <w:suff w:val="space"/>
      <w:lvlText w:val="%1.%2.%3.%4 "/>
      <w:lvlJc w:val="left"/>
      <w:pPr>
        <w:ind w:left="0" w:firstLine="0"/>
      </w:pPr>
      <w:rPr>
        <w:rFonts w:hint="default" w:ascii="宋体" w:hAnsi="宋体" w:eastAsia="宋体" w:cs="宋体"/>
        <w:b w:val="0"/>
        <w:bCs w:val="0"/>
        <w:i w:val="0"/>
        <w:iCs w:val="0"/>
        <w:caps w:val="0"/>
        <w:smallCaps w:val="0"/>
        <w:strike w:val="0"/>
        <w:dstrike w:val="0"/>
        <w:vanish w:val="0"/>
        <w:color w:val="auto"/>
        <w:spacing w:val="0"/>
        <w:w w:val="100"/>
        <w:kern w:val="2"/>
        <w:position w:val="0"/>
        <w:sz w:val="21"/>
        <w:szCs w:val="21"/>
        <w:u w:val="none"/>
        <w:shd w:val="clear" w:color="auto" w:fill="auto"/>
        <w:vertAlign w:val="baseline"/>
        <w:lang w:val="en-US" w:eastAsia="zh-CN" w:bidi="ar-SA"/>
        <w14:shadow w14:blurRad="0" w14:dist="0" w14:dir="0" w14:sx="0" w14:sy="0" w14:kx="0" w14:ky="0" w14:algn="none">
          <w14:srgbClr w14:val="000000"/>
        </w14:shadow>
      </w:rPr>
    </w:lvl>
    <w:lvl w:ilvl="4" w:tentative="0">
      <w:start w:val="1"/>
      <w:numFmt w:val="decimal"/>
      <w:lvlRestart w:val="0"/>
      <w:suff w:val="space"/>
      <w:lvlText w:val="%1.%2.%3.%4.%5"/>
      <w:lvlJc w:val="left"/>
      <w:pPr>
        <w:ind w:left="-180" w:firstLine="0"/>
      </w:pPr>
      <w:rPr>
        <w:rFonts w:hint="eastAsia"/>
      </w:rPr>
    </w:lvl>
    <w:lvl w:ilvl="5" w:tentative="0">
      <w:start w:val="1"/>
      <w:numFmt w:val="decimal"/>
      <w:lvlText w:val="%1.%2.%3.%4.%5.%6"/>
      <w:lvlJc w:val="left"/>
      <w:pPr>
        <w:tabs>
          <w:tab w:val="left" w:pos="3746"/>
        </w:tabs>
        <w:ind w:left="3080" w:hanging="1134"/>
      </w:pPr>
      <w:rPr>
        <w:rFonts w:hint="eastAsia"/>
      </w:rPr>
    </w:lvl>
    <w:lvl w:ilvl="6" w:tentative="0">
      <w:start w:val="1"/>
      <w:numFmt w:val="decimal"/>
      <w:lvlText w:val="%1.%2.%3.%4.%5.%6.%7"/>
      <w:lvlJc w:val="left"/>
      <w:pPr>
        <w:tabs>
          <w:tab w:val="left" w:pos="4531"/>
        </w:tabs>
        <w:ind w:left="3647" w:hanging="1276"/>
      </w:pPr>
      <w:rPr>
        <w:rFonts w:hint="eastAsia"/>
      </w:rPr>
    </w:lvl>
    <w:lvl w:ilvl="7" w:tentative="0">
      <w:start w:val="1"/>
      <w:numFmt w:val="decimal"/>
      <w:lvlText w:val="%1.%2.%3.%4.%5.%6.%7.%8"/>
      <w:lvlJc w:val="left"/>
      <w:pPr>
        <w:tabs>
          <w:tab w:val="left" w:pos="5316"/>
        </w:tabs>
        <w:ind w:left="4214" w:hanging="1418"/>
      </w:pPr>
      <w:rPr>
        <w:rFonts w:hint="eastAsia"/>
      </w:rPr>
    </w:lvl>
    <w:lvl w:ilvl="8" w:tentative="0">
      <w:start w:val="1"/>
      <w:numFmt w:val="decimal"/>
      <w:lvlText w:val="%1.%2.%3.%4.%5.%6.%7.%8.%9"/>
      <w:lvlJc w:val="left"/>
      <w:pPr>
        <w:tabs>
          <w:tab w:val="left" w:pos="6102"/>
        </w:tabs>
        <w:ind w:left="4922" w:hanging="1700"/>
      </w:pPr>
      <w:rPr>
        <w:rFonts w:hint="eastAsia"/>
      </w:rPr>
    </w:lvl>
  </w:abstractNum>
  <w:abstractNum w:abstractNumId="1">
    <w:nsid w:val="38DF7314"/>
    <w:multiLevelType w:val="multilevel"/>
    <w:tmpl w:val="38DF7314"/>
    <w:lvl w:ilvl="0" w:tentative="0">
      <w:start w:val="1"/>
      <w:numFmt w:val="decimal"/>
      <w:suff w:val="space"/>
      <w:lvlText w:val="%1."/>
      <w:lvlJc w:val="left"/>
      <w:pPr>
        <w:ind w:left="525" w:hanging="525"/>
      </w:pPr>
      <w:rPr>
        <w:rFonts w:hint="default"/>
      </w:rPr>
    </w:lvl>
    <w:lvl w:ilvl="1" w:tentative="0">
      <w:start w:val="1"/>
      <w:numFmt w:val="decimal"/>
      <w:lvlText w:val="%1.%2."/>
      <w:lvlJc w:val="left"/>
      <w:pPr>
        <w:tabs>
          <w:tab w:val="left" w:pos="525"/>
        </w:tabs>
        <w:ind w:left="525" w:hanging="525"/>
      </w:pPr>
      <w:rPr>
        <w:rFonts w:hint="default" w:ascii="Times New Roman" w:hAnsi="Times New Roman" w:eastAsia="宋体"/>
      </w:rPr>
    </w:lvl>
    <w:lvl w:ilvl="2" w:tentative="0">
      <w:start w:val="1"/>
      <w:numFmt w:val="decimal"/>
      <w:lvlText w:val="%1.%2.%3."/>
      <w:lvlJc w:val="left"/>
      <w:pPr>
        <w:tabs>
          <w:tab w:val="left" w:pos="0"/>
        </w:tabs>
        <w:ind w:left="0" w:firstLine="0"/>
      </w:pPr>
      <w:rPr>
        <w:rFonts w:hint="default" w:ascii="Times New Roman" w:hAnsi="Times New Roman" w:eastAsia="宋体"/>
      </w:rPr>
    </w:lvl>
    <w:lvl w:ilvl="3" w:tentative="0">
      <w:start w:val="1"/>
      <w:numFmt w:val="lowerLetter"/>
      <w:lvlText w:val="%1.%2.%3.%4."/>
      <w:lvlJc w:val="left"/>
      <w:pPr>
        <w:tabs>
          <w:tab w:val="left" w:pos="1080"/>
        </w:tabs>
        <w:ind w:left="1080" w:hanging="1080"/>
      </w:pPr>
      <w:rPr>
        <w:rFonts w:hint="default"/>
      </w:rPr>
    </w:lvl>
    <w:lvl w:ilvl="4" w:tentative="0">
      <w:start w:val="1"/>
      <w:numFmt w:val="lowerLetter"/>
      <w:pStyle w:val="7"/>
      <w:suff w:val="nothing"/>
      <w:lvlText w:val="%5."/>
      <w:lvlJc w:val="left"/>
      <w:pPr>
        <w:ind w:left="0" w:firstLine="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removePersonalInformation/>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IwNGEyNzk1N2MwN2ZjZTFiNzAzYjI5YzAxYjFhYzEifQ=="/>
  </w:docVars>
  <w:rsids>
    <w:rsidRoot w:val="00903CAD"/>
    <w:rsid w:val="00000749"/>
    <w:rsid w:val="0000357E"/>
    <w:rsid w:val="00005843"/>
    <w:rsid w:val="00006672"/>
    <w:rsid w:val="00007604"/>
    <w:rsid w:val="000100E6"/>
    <w:rsid w:val="000100F2"/>
    <w:rsid w:val="00011333"/>
    <w:rsid w:val="000116CE"/>
    <w:rsid w:val="00011D62"/>
    <w:rsid w:val="00012C32"/>
    <w:rsid w:val="00015E01"/>
    <w:rsid w:val="00015ED2"/>
    <w:rsid w:val="000161B7"/>
    <w:rsid w:val="00017C1B"/>
    <w:rsid w:val="00025143"/>
    <w:rsid w:val="00030000"/>
    <w:rsid w:val="000306DA"/>
    <w:rsid w:val="000324BA"/>
    <w:rsid w:val="000331F3"/>
    <w:rsid w:val="00035C0F"/>
    <w:rsid w:val="000365DB"/>
    <w:rsid w:val="0003769F"/>
    <w:rsid w:val="00041C63"/>
    <w:rsid w:val="00042607"/>
    <w:rsid w:val="000438C2"/>
    <w:rsid w:val="000443BC"/>
    <w:rsid w:val="000453E9"/>
    <w:rsid w:val="0004627E"/>
    <w:rsid w:val="0004651A"/>
    <w:rsid w:val="00046B9D"/>
    <w:rsid w:val="00053C2A"/>
    <w:rsid w:val="00055E9A"/>
    <w:rsid w:val="000573CE"/>
    <w:rsid w:val="00057D18"/>
    <w:rsid w:val="000604F3"/>
    <w:rsid w:val="0006156C"/>
    <w:rsid w:val="000623B5"/>
    <w:rsid w:val="0006325A"/>
    <w:rsid w:val="000638CB"/>
    <w:rsid w:val="00065990"/>
    <w:rsid w:val="00066285"/>
    <w:rsid w:val="00066CB2"/>
    <w:rsid w:val="00066FD6"/>
    <w:rsid w:val="000676C3"/>
    <w:rsid w:val="00071D92"/>
    <w:rsid w:val="00071E61"/>
    <w:rsid w:val="000744AF"/>
    <w:rsid w:val="0007452A"/>
    <w:rsid w:val="00074541"/>
    <w:rsid w:val="000749E5"/>
    <w:rsid w:val="00080FFE"/>
    <w:rsid w:val="000819CE"/>
    <w:rsid w:val="00084000"/>
    <w:rsid w:val="00084DF8"/>
    <w:rsid w:val="0009310E"/>
    <w:rsid w:val="00095CDE"/>
    <w:rsid w:val="000968A1"/>
    <w:rsid w:val="00096A58"/>
    <w:rsid w:val="00097C70"/>
    <w:rsid w:val="00097E93"/>
    <w:rsid w:val="000A1260"/>
    <w:rsid w:val="000A1CFA"/>
    <w:rsid w:val="000A1DCF"/>
    <w:rsid w:val="000A1E8E"/>
    <w:rsid w:val="000A25AA"/>
    <w:rsid w:val="000B10A1"/>
    <w:rsid w:val="000B123B"/>
    <w:rsid w:val="000B1B28"/>
    <w:rsid w:val="000B307E"/>
    <w:rsid w:val="000B464F"/>
    <w:rsid w:val="000B56D9"/>
    <w:rsid w:val="000B64C1"/>
    <w:rsid w:val="000B7327"/>
    <w:rsid w:val="000C4F02"/>
    <w:rsid w:val="000C559D"/>
    <w:rsid w:val="000C6F8F"/>
    <w:rsid w:val="000C77CF"/>
    <w:rsid w:val="000C7FB7"/>
    <w:rsid w:val="000D10BF"/>
    <w:rsid w:val="000D1438"/>
    <w:rsid w:val="000D158E"/>
    <w:rsid w:val="000D30A5"/>
    <w:rsid w:val="000D3213"/>
    <w:rsid w:val="000D34A5"/>
    <w:rsid w:val="000D3A59"/>
    <w:rsid w:val="000D52DF"/>
    <w:rsid w:val="000E0709"/>
    <w:rsid w:val="000E0C9A"/>
    <w:rsid w:val="000E0F79"/>
    <w:rsid w:val="000E49AB"/>
    <w:rsid w:val="000E57A5"/>
    <w:rsid w:val="000E5A91"/>
    <w:rsid w:val="000F0741"/>
    <w:rsid w:val="000F0D4A"/>
    <w:rsid w:val="000F43B1"/>
    <w:rsid w:val="000F4F64"/>
    <w:rsid w:val="000F65BE"/>
    <w:rsid w:val="000F6629"/>
    <w:rsid w:val="000F6DB7"/>
    <w:rsid w:val="000F6E67"/>
    <w:rsid w:val="00100836"/>
    <w:rsid w:val="001038A2"/>
    <w:rsid w:val="00104279"/>
    <w:rsid w:val="001050BC"/>
    <w:rsid w:val="0010799B"/>
    <w:rsid w:val="00115BAC"/>
    <w:rsid w:val="00117678"/>
    <w:rsid w:val="00120960"/>
    <w:rsid w:val="00125B7E"/>
    <w:rsid w:val="00131851"/>
    <w:rsid w:val="00131D68"/>
    <w:rsid w:val="001427E7"/>
    <w:rsid w:val="0014365C"/>
    <w:rsid w:val="00144091"/>
    <w:rsid w:val="001452A4"/>
    <w:rsid w:val="00145502"/>
    <w:rsid w:val="001472D2"/>
    <w:rsid w:val="001564AC"/>
    <w:rsid w:val="001626A9"/>
    <w:rsid w:val="00167D63"/>
    <w:rsid w:val="00172393"/>
    <w:rsid w:val="00174E2F"/>
    <w:rsid w:val="001751E1"/>
    <w:rsid w:val="00176E9B"/>
    <w:rsid w:val="0018047E"/>
    <w:rsid w:val="001804E0"/>
    <w:rsid w:val="00180BFD"/>
    <w:rsid w:val="0018263C"/>
    <w:rsid w:val="00183DF5"/>
    <w:rsid w:val="00185E17"/>
    <w:rsid w:val="00185EF7"/>
    <w:rsid w:val="00192CFE"/>
    <w:rsid w:val="00194B8C"/>
    <w:rsid w:val="001977D4"/>
    <w:rsid w:val="001A0287"/>
    <w:rsid w:val="001A043F"/>
    <w:rsid w:val="001A148D"/>
    <w:rsid w:val="001A2321"/>
    <w:rsid w:val="001A416D"/>
    <w:rsid w:val="001A486A"/>
    <w:rsid w:val="001A5F8B"/>
    <w:rsid w:val="001B32F7"/>
    <w:rsid w:val="001B77DB"/>
    <w:rsid w:val="001C4357"/>
    <w:rsid w:val="001C485B"/>
    <w:rsid w:val="001C67B5"/>
    <w:rsid w:val="001D290E"/>
    <w:rsid w:val="001D30AE"/>
    <w:rsid w:val="001D40A1"/>
    <w:rsid w:val="001D443C"/>
    <w:rsid w:val="001D4F58"/>
    <w:rsid w:val="001D669C"/>
    <w:rsid w:val="001D6CB2"/>
    <w:rsid w:val="001D7982"/>
    <w:rsid w:val="001D7B77"/>
    <w:rsid w:val="001E0848"/>
    <w:rsid w:val="001E1058"/>
    <w:rsid w:val="001E187C"/>
    <w:rsid w:val="001E40DA"/>
    <w:rsid w:val="001E4826"/>
    <w:rsid w:val="001E52EE"/>
    <w:rsid w:val="001E78A4"/>
    <w:rsid w:val="001E7E08"/>
    <w:rsid w:val="001F07D5"/>
    <w:rsid w:val="001F136D"/>
    <w:rsid w:val="001F189D"/>
    <w:rsid w:val="001F5FCA"/>
    <w:rsid w:val="00203747"/>
    <w:rsid w:val="00203D31"/>
    <w:rsid w:val="00204A7B"/>
    <w:rsid w:val="00204CA8"/>
    <w:rsid w:val="00204D36"/>
    <w:rsid w:val="00205089"/>
    <w:rsid w:val="0020799E"/>
    <w:rsid w:val="00207A48"/>
    <w:rsid w:val="0021061C"/>
    <w:rsid w:val="00211597"/>
    <w:rsid w:val="00212587"/>
    <w:rsid w:val="00213E95"/>
    <w:rsid w:val="002159CC"/>
    <w:rsid w:val="00216110"/>
    <w:rsid w:val="00216882"/>
    <w:rsid w:val="00216FBB"/>
    <w:rsid w:val="00221C7C"/>
    <w:rsid w:val="002246EA"/>
    <w:rsid w:val="00226B87"/>
    <w:rsid w:val="00227484"/>
    <w:rsid w:val="00227866"/>
    <w:rsid w:val="00230AF1"/>
    <w:rsid w:val="002322CE"/>
    <w:rsid w:val="00232636"/>
    <w:rsid w:val="002353CA"/>
    <w:rsid w:val="00235A6E"/>
    <w:rsid w:val="00237C55"/>
    <w:rsid w:val="00237E9B"/>
    <w:rsid w:val="00241231"/>
    <w:rsid w:val="0024256B"/>
    <w:rsid w:val="00242E00"/>
    <w:rsid w:val="00244865"/>
    <w:rsid w:val="00245B83"/>
    <w:rsid w:val="00246216"/>
    <w:rsid w:val="00246CEB"/>
    <w:rsid w:val="00251216"/>
    <w:rsid w:val="00252E1B"/>
    <w:rsid w:val="0025316D"/>
    <w:rsid w:val="00253686"/>
    <w:rsid w:val="00255846"/>
    <w:rsid w:val="00256AE0"/>
    <w:rsid w:val="00260EA3"/>
    <w:rsid w:val="00264629"/>
    <w:rsid w:val="00265D95"/>
    <w:rsid w:val="002662B8"/>
    <w:rsid w:val="002667A9"/>
    <w:rsid w:val="002667B8"/>
    <w:rsid w:val="00267CE9"/>
    <w:rsid w:val="002733E7"/>
    <w:rsid w:val="00273E33"/>
    <w:rsid w:val="002824FB"/>
    <w:rsid w:val="00285C36"/>
    <w:rsid w:val="00285D3A"/>
    <w:rsid w:val="00285DAE"/>
    <w:rsid w:val="0028649B"/>
    <w:rsid w:val="00286BBF"/>
    <w:rsid w:val="00287076"/>
    <w:rsid w:val="00292B40"/>
    <w:rsid w:val="00292F22"/>
    <w:rsid w:val="00293694"/>
    <w:rsid w:val="00297E22"/>
    <w:rsid w:val="002A10BA"/>
    <w:rsid w:val="002A58EB"/>
    <w:rsid w:val="002A6688"/>
    <w:rsid w:val="002A6FA9"/>
    <w:rsid w:val="002B03B3"/>
    <w:rsid w:val="002B1825"/>
    <w:rsid w:val="002B1C94"/>
    <w:rsid w:val="002B1FAD"/>
    <w:rsid w:val="002B4371"/>
    <w:rsid w:val="002B5AF2"/>
    <w:rsid w:val="002C0643"/>
    <w:rsid w:val="002C169C"/>
    <w:rsid w:val="002C3C60"/>
    <w:rsid w:val="002C57F8"/>
    <w:rsid w:val="002D13DF"/>
    <w:rsid w:val="002D2572"/>
    <w:rsid w:val="002D311C"/>
    <w:rsid w:val="002D39C2"/>
    <w:rsid w:val="002D43B6"/>
    <w:rsid w:val="002D4818"/>
    <w:rsid w:val="002D496E"/>
    <w:rsid w:val="002D688A"/>
    <w:rsid w:val="002E44F0"/>
    <w:rsid w:val="002F2278"/>
    <w:rsid w:val="002F3155"/>
    <w:rsid w:val="002F3F11"/>
    <w:rsid w:val="002F5681"/>
    <w:rsid w:val="002F5999"/>
    <w:rsid w:val="002F66F2"/>
    <w:rsid w:val="0030530A"/>
    <w:rsid w:val="0030555F"/>
    <w:rsid w:val="0030596B"/>
    <w:rsid w:val="00305B51"/>
    <w:rsid w:val="00306436"/>
    <w:rsid w:val="00307590"/>
    <w:rsid w:val="0031002C"/>
    <w:rsid w:val="00310423"/>
    <w:rsid w:val="00313377"/>
    <w:rsid w:val="00314B5E"/>
    <w:rsid w:val="00315063"/>
    <w:rsid w:val="003150BD"/>
    <w:rsid w:val="00317471"/>
    <w:rsid w:val="00317BCA"/>
    <w:rsid w:val="00320E84"/>
    <w:rsid w:val="0032167A"/>
    <w:rsid w:val="00322EA4"/>
    <w:rsid w:val="00323B69"/>
    <w:rsid w:val="003241A0"/>
    <w:rsid w:val="0032540D"/>
    <w:rsid w:val="00325571"/>
    <w:rsid w:val="00326F87"/>
    <w:rsid w:val="00331C58"/>
    <w:rsid w:val="00333971"/>
    <w:rsid w:val="0033488A"/>
    <w:rsid w:val="00336D96"/>
    <w:rsid w:val="00340103"/>
    <w:rsid w:val="00340ADD"/>
    <w:rsid w:val="00343981"/>
    <w:rsid w:val="00343AEB"/>
    <w:rsid w:val="003454F1"/>
    <w:rsid w:val="003466AB"/>
    <w:rsid w:val="003466AF"/>
    <w:rsid w:val="0034733B"/>
    <w:rsid w:val="00347F1A"/>
    <w:rsid w:val="003506D9"/>
    <w:rsid w:val="00350872"/>
    <w:rsid w:val="00350996"/>
    <w:rsid w:val="00350A66"/>
    <w:rsid w:val="003512B1"/>
    <w:rsid w:val="003524B0"/>
    <w:rsid w:val="00353578"/>
    <w:rsid w:val="003564AF"/>
    <w:rsid w:val="00356CAB"/>
    <w:rsid w:val="00356D38"/>
    <w:rsid w:val="00363EC2"/>
    <w:rsid w:val="003667AD"/>
    <w:rsid w:val="00372B35"/>
    <w:rsid w:val="00373C20"/>
    <w:rsid w:val="003748E0"/>
    <w:rsid w:val="00374A90"/>
    <w:rsid w:val="003756FC"/>
    <w:rsid w:val="0037669C"/>
    <w:rsid w:val="00377122"/>
    <w:rsid w:val="0037723B"/>
    <w:rsid w:val="0037773A"/>
    <w:rsid w:val="00380360"/>
    <w:rsid w:val="003818B3"/>
    <w:rsid w:val="003826BC"/>
    <w:rsid w:val="00386F0E"/>
    <w:rsid w:val="00386FDC"/>
    <w:rsid w:val="00387780"/>
    <w:rsid w:val="003878E0"/>
    <w:rsid w:val="00391448"/>
    <w:rsid w:val="0039300E"/>
    <w:rsid w:val="003936C4"/>
    <w:rsid w:val="003949AA"/>
    <w:rsid w:val="003A09F8"/>
    <w:rsid w:val="003A1B9D"/>
    <w:rsid w:val="003A1EC1"/>
    <w:rsid w:val="003A27B1"/>
    <w:rsid w:val="003A3351"/>
    <w:rsid w:val="003A3372"/>
    <w:rsid w:val="003A529E"/>
    <w:rsid w:val="003A558E"/>
    <w:rsid w:val="003A6E2F"/>
    <w:rsid w:val="003A73DB"/>
    <w:rsid w:val="003B35F2"/>
    <w:rsid w:val="003B6118"/>
    <w:rsid w:val="003B6376"/>
    <w:rsid w:val="003B78D0"/>
    <w:rsid w:val="003C2C07"/>
    <w:rsid w:val="003C3269"/>
    <w:rsid w:val="003C60B4"/>
    <w:rsid w:val="003C7BD7"/>
    <w:rsid w:val="003D087D"/>
    <w:rsid w:val="003D2E3C"/>
    <w:rsid w:val="003D44AD"/>
    <w:rsid w:val="003D6C8C"/>
    <w:rsid w:val="003E1AA6"/>
    <w:rsid w:val="003E1D24"/>
    <w:rsid w:val="003E27A9"/>
    <w:rsid w:val="003E4D64"/>
    <w:rsid w:val="003E5C9A"/>
    <w:rsid w:val="003F0C37"/>
    <w:rsid w:val="003F1314"/>
    <w:rsid w:val="003F23B2"/>
    <w:rsid w:val="003F2B01"/>
    <w:rsid w:val="003F3808"/>
    <w:rsid w:val="003F5C6F"/>
    <w:rsid w:val="003F7799"/>
    <w:rsid w:val="00401E11"/>
    <w:rsid w:val="00402004"/>
    <w:rsid w:val="00402D6B"/>
    <w:rsid w:val="00404D62"/>
    <w:rsid w:val="00405081"/>
    <w:rsid w:val="00406366"/>
    <w:rsid w:val="00406F6F"/>
    <w:rsid w:val="004076D7"/>
    <w:rsid w:val="00407F27"/>
    <w:rsid w:val="00417DF9"/>
    <w:rsid w:val="004206D0"/>
    <w:rsid w:val="004220F3"/>
    <w:rsid w:val="0042281B"/>
    <w:rsid w:val="00422CEB"/>
    <w:rsid w:val="004246CD"/>
    <w:rsid w:val="004248AC"/>
    <w:rsid w:val="00424D41"/>
    <w:rsid w:val="00425C0A"/>
    <w:rsid w:val="00427000"/>
    <w:rsid w:val="00434438"/>
    <w:rsid w:val="0043556A"/>
    <w:rsid w:val="00436810"/>
    <w:rsid w:val="00441297"/>
    <w:rsid w:val="004418A4"/>
    <w:rsid w:val="00442350"/>
    <w:rsid w:val="00443C39"/>
    <w:rsid w:val="0044574C"/>
    <w:rsid w:val="004472BA"/>
    <w:rsid w:val="00447F80"/>
    <w:rsid w:val="004521EE"/>
    <w:rsid w:val="00454A01"/>
    <w:rsid w:val="00455486"/>
    <w:rsid w:val="00460094"/>
    <w:rsid w:val="004627D5"/>
    <w:rsid w:val="00465AA7"/>
    <w:rsid w:val="0046609E"/>
    <w:rsid w:val="00466813"/>
    <w:rsid w:val="00467437"/>
    <w:rsid w:val="00467C59"/>
    <w:rsid w:val="004712F9"/>
    <w:rsid w:val="00472E46"/>
    <w:rsid w:val="004741E3"/>
    <w:rsid w:val="00474CE8"/>
    <w:rsid w:val="00477C61"/>
    <w:rsid w:val="00483890"/>
    <w:rsid w:val="00483FD9"/>
    <w:rsid w:val="00484848"/>
    <w:rsid w:val="004861BF"/>
    <w:rsid w:val="00487191"/>
    <w:rsid w:val="00487F75"/>
    <w:rsid w:val="004901BD"/>
    <w:rsid w:val="0049149D"/>
    <w:rsid w:val="00491BF3"/>
    <w:rsid w:val="00491C3F"/>
    <w:rsid w:val="00492559"/>
    <w:rsid w:val="00492781"/>
    <w:rsid w:val="00492B7B"/>
    <w:rsid w:val="0049348D"/>
    <w:rsid w:val="004963D4"/>
    <w:rsid w:val="00496856"/>
    <w:rsid w:val="00497968"/>
    <w:rsid w:val="004A0F53"/>
    <w:rsid w:val="004A3062"/>
    <w:rsid w:val="004A72E0"/>
    <w:rsid w:val="004B1A16"/>
    <w:rsid w:val="004B3D44"/>
    <w:rsid w:val="004B589A"/>
    <w:rsid w:val="004B5AA8"/>
    <w:rsid w:val="004C1D99"/>
    <w:rsid w:val="004C23E3"/>
    <w:rsid w:val="004C283C"/>
    <w:rsid w:val="004C46CF"/>
    <w:rsid w:val="004C47D7"/>
    <w:rsid w:val="004C4C16"/>
    <w:rsid w:val="004C70FF"/>
    <w:rsid w:val="004D1AD7"/>
    <w:rsid w:val="004D1EB3"/>
    <w:rsid w:val="004D25C0"/>
    <w:rsid w:val="004D301D"/>
    <w:rsid w:val="004D51BC"/>
    <w:rsid w:val="004D6254"/>
    <w:rsid w:val="004E1A1C"/>
    <w:rsid w:val="004E2983"/>
    <w:rsid w:val="004E3C5C"/>
    <w:rsid w:val="004E596D"/>
    <w:rsid w:val="004F0659"/>
    <w:rsid w:val="004F1A94"/>
    <w:rsid w:val="004F2E67"/>
    <w:rsid w:val="004F7999"/>
    <w:rsid w:val="00502F47"/>
    <w:rsid w:val="005038C9"/>
    <w:rsid w:val="00504EEC"/>
    <w:rsid w:val="00505725"/>
    <w:rsid w:val="00506BC1"/>
    <w:rsid w:val="00506CF0"/>
    <w:rsid w:val="00507111"/>
    <w:rsid w:val="005071D0"/>
    <w:rsid w:val="005072DE"/>
    <w:rsid w:val="00511551"/>
    <w:rsid w:val="00516F33"/>
    <w:rsid w:val="00520F23"/>
    <w:rsid w:val="00523A45"/>
    <w:rsid w:val="00523AD5"/>
    <w:rsid w:val="00524511"/>
    <w:rsid w:val="00525A7B"/>
    <w:rsid w:val="005302D4"/>
    <w:rsid w:val="00531530"/>
    <w:rsid w:val="00531764"/>
    <w:rsid w:val="00535895"/>
    <w:rsid w:val="00536901"/>
    <w:rsid w:val="00536C03"/>
    <w:rsid w:val="00536D07"/>
    <w:rsid w:val="0053706E"/>
    <w:rsid w:val="00537C2F"/>
    <w:rsid w:val="00540C98"/>
    <w:rsid w:val="0054137C"/>
    <w:rsid w:val="0054233A"/>
    <w:rsid w:val="005423B2"/>
    <w:rsid w:val="00543E8A"/>
    <w:rsid w:val="00545237"/>
    <w:rsid w:val="00556121"/>
    <w:rsid w:val="00556E28"/>
    <w:rsid w:val="005631B8"/>
    <w:rsid w:val="005633B4"/>
    <w:rsid w:val="00563500"/>
    <w:rsid w:val="00564F69"/>
    <w:rsid w:val="00565B8E"/>
    <w:rsid w:val="0056787C"/>
    <w:rsid w:val="005802E2"/>
    <w:rsid w:val="0058193D"/>
    <w:rsid w:val="00582696"/>
    <w:rsid w:val="00582F48"/>
    <w:rsid w:val="00583826"/>
    <w:rsid w:val="00590F22"/>
    <w:rsid w:val="00593DCC"/>
    <w:rsid w:val="00594BD8"/>
    <w:rsid w:val="00595BDE"/>
    <w:rsid w:val="00597CCA"/>
    <w:rsid w:val="005A329C"/>
    <w:rsid w:val="005A3E18"/>
    <w:rsid w:val="005A6A20"/>
    <w:rsid w:val="005B4846"/>
    <w:rsid w:val="005B6287"/>
    <w:rsid w:val="005B6434"/>
    <w:rsid w:val="005B78B7"/>
    <w:rsid w:val="005C0D72"/>
    <w:rsid w:val="005C124A"/>
    <w:rsid w:val="005C2F32"/>
    <w:rsid w:val="005C541C"/>
    <w:rsid w:val="005C58A8"/>
    <w:rsid w:val="005C6C6B"/>
    <w:rsid w:val="005C6CB9"/>
    <w:rsid w:val="005D087C"/>
    <w:rsid w:val="005D0A01"/>
    <w:rsid w:val="005D2149"/>
    <w:rsid w:val="005D2D5E"/>
    <w:rsid w:val="005D52DB"/>
    <w:rsid w:val="005D7C9C"/>
    <w:rsid w:val="005D7F69"/>
    <w:rsid w:val="005E0209"/>
    <w:rsid w:val="005E07C0"/>
    <w:rsid w:val="005E12D8"/>
    <w:rsid w:val="005E1BFD"/>
    <w:rsid w:val="005E32FE"/>
    <w:rsid w:val="005E3F3B"/>
    <w:rsid w:val="005E6D25"/>
    <w:rsid w:val="005E7F4D"/>
    <w:rsid w:val="005F240F"/>
    <w:rsid w:val="005F4E55"/>
    <w:rsid w:val="005F5599"/>
    <w:rsid w:val="005F73B7"/>
    <w:rsid w:val="00600955"/>
    <w:rsid w:val="00602144"/>
    <w:rsid w:val="00602871"/>
    <w:rsid w:val="00605D48"/>
    <w:rsid w:val="00605DA9"/>
    <w:rsid w:val="00612E99"/>
    <w:rsid w:val="00612F4A"/>
    <w:rsid w:val="00615D91"/>
    <w:rsid w:val="006178FD"/>
    <w:rsid w:val="00617B6C"/>
    <w:rsid w:val="006211E2"/>
    <w:rsid w:val="00623066"/>
    <w:rsid w:val="006244B5"/>
    <w:rsid w:val="00633016"/>
    <w:rsid w:val="006339E8"/>
    <w:rsid w:val="00633DB9"/>
    <w:rsid w:val="00633E99"/>
    <w:rsid w:val="00642A77"/>
    <w:rsid w:val="00642AFF"/>
    <w:rsid w:val="0064321F"/>
    <w:rsid w:val="006438F3"/>
    <w:rsid w:val="00653F8B"/>
    <w:rsid w:val="0065523A"/>
    <w:rsid w:val="00655907"/>
    <w:rsid w:val="00657C50"/>
    <w:rsid w:val="00660410"/>
    <w:rsid w:val="00662108"/>
    <w:rsid w:val="006734C4"/>
    <w:rsid w:val="00674401"/>
    <w:rsid w:val="00674774"/>
    <w:rsid w:val="0067713B"/>
    <w:rsid w:val="0067775A"/>
    <w:rsid w:val="00677F26"/>
    <w:rsid w:val="00681CC2"/>
    <w:rsid w:val="006834C6"/>
    <w:rsid w:val="00685BA5"/>
    <w:rsid w:val="00691AFC"/>
    <w:rsid w:val="006947F4"/>
    <w:rsid w:val="00694D4C"/>
    <w:rsid w:val="006974CC"/>
    <w:rsid w:val="006A1870"/>
    <w:rsid w:val="006A3EBA"/>
    <w:rsid w:val="006A60F3"/>
    <w:rsid w:val="006B05E0"/>
    <w:rsid w:val="006B152E"/>
    <w:rsid w:val="006B1620"/>
    <w:rsid w:val="006B1A78"/>
    <w:rsid w:val="006B2322"/>
    <w:rsid w:val="006B2554"/>
    <w:rsid w:val="006B2745"/>
    <w:rsid w:val="006B5D03"/>
    <w:rsid w:val="006B797B"/>
    <w:rsid w:val="006C06D7"/>
    <w:rsid w:val="006C10FD"/>
    <w:rsid w:val="006C2E4B"/>
    <w:rsid w:val="006C5807"/>
    <w:rsid w:val="006C73AB"/>
    <w:rsid w:val="006D0440"/>
    <w:rsid w:val="006D0983"/>
    <w:rsid w:val="006D1818"/>
    <w:rsid w:val="006D1D2B"/>
    <w:rsid w:val="006D236B"/>
    <w:rsid w:val="006D30A9"/>
    <w:rsid w:val="006D46FE"/>
    <w:rsid w:val="006D5AA8"/>
    <w:rsid w:val="006E11B0"/>
    <w:rsid w:val="006E4BD1"/>
    <w:rsid w:val="006E621F"/>
    <w:rsid w:val="006E639F"/>
    <w:rsid w:val="006E643F"/>
    <w:rsid w:val="006E78B5"/>
    <w:rsid w:val="006F002F"/>
    <w:rsid w:val="006F02FE"/>
    <w:rsid w:val="006F0997"/>
    <w:rsid w:val="006F3612"/>
    <w:rsid w:val="006F446E"/>
    <w:rsid w:val="00700FBB"/>
    <w:rsid w:val="00707AFA"/>
    <w:rsid w:val="00710273"/>
    <w:rsid w:val="007109DC"/>
    <w:rsid w:val="007136CD"/>
    <w:rsid w:val="00713FAC"/>
    <w:rsid w:val="0071625B"/>
    <w:rsid w:val="00716351"/>
    <w:rsid w:val="00721186"/>
    <w:rsid w:val="007247B1"/>
    <w:rsid w:val="00724CD0"/>
    <w:rsid w:val="007251AD"/>
    <w:rsid w:val="00725E08"/>
    <w:rsid w:val="00727464"/>
    <w:rsid w:val="00727786"/>
    <w:rsid w:val="00727E22"/>
    <w:rsid w:val="00730ADC"/>
    <w:rsid w:val="007316F3"/>
    <w:rsid w:val="00734C89"/>
    <w:rsid w:val="00735C8A"/>
    <w:rsid w:val="00737C74"/>
    <w:rsid w:val="007414C3"/>
    <w:rsid w:val="007415B8"/>
    <w:rsid w:val="00743973"/>
    <w:rsid w:val="007443E6"/>
    <w:rsid w:val="0074630A"/>
    <w:rsid w:val="00752105"/>
    <w:rsid w:val="00753A59"/>
    <w:rsid w:val="0075560B"/>
    <w:rsid w:val="0075613A"/>
    <w:rsid w:val="00756435"/>
    <w:rsid w:val="0075687A"/>
    <w:rsid w:val="00762D29"/>
    <w:rsid w:val="007635B1"/>
    <w:rsid w:val="00764898"/>
    <w:rsid w:val="00767702"/>
    <w:rsid w:val="00770A7C"/>
    <w:rsid w:val="0077154B"/>
    <w:rsid w:val="00771AFF"/>
    <w:rsid w:val="007724FE"/>
    <w:rsid w:val="007743B2"/>
    <w:rsid w:val="00775D91"/>
    <w:rsid w:val="007774EA"/>
    <w:rsid w:val="00777CD6"/>
    <w:rsid w:val="0078083D"/>
    <w:rsid w:val="0078105D"/>
    <w:rsid w:val="00786077"/>
    <w:rsid w:val="00786E47"/>
    <w:rsid w:val="00787E4A"/>
    <w:rsid w:val="0079210D"/>
    <w:rsid w:val="00796C5F"/>
    <w:rsid w:val="007A1118"/>
    <w:rsid w:val="007A4131"/>
    <w:rsid w:val="007A481B"/>
    <w:rsid w:val="007A4A47"/>
    <w:rsid w:val="007A4E63"/>
    <w:rsid w:val="007A77BB"/>
    <w:rsid w:val="007B0A31"/>
    <w:rsid w:val="007B3982"/>
    <w:rsid w:val="007B42FD"/>
    <w:rsid w:val="007B6FA1"/>
    <w:rsid w:val="007B78F8"/>
    <w:rsid w:val="007C0393"/>
    <w:rsid w:val="007C12C9"/>
    <w:rsid w:val="007C2677"/>
    <w:rsid w:val="007C5A54"/>
    <w:rsid w:val="007D3905"/>
    <w:rsid w:val="007D3FE2"/>
    <w:rsid w:val="007D7E8F"/>
    <w:rsid w:val="007E09CC"/>
    <w:rsid w:val="007E0BB0"/>
    <w:rsid w:val="007E276A"/>
    <w:rsid w:val="007E29F1"/>
    <w:rsid w:val="007E50D0"/>
    <w:rsid w:val="007E526A"/>
    <w:rsid w:val="007E66C5"/>
    <w:rsid w:val="007E6D18"/>
    <w:rsid w:val="007F001A"/>
    <w:rsid w:val="007F0984"/>
    <w:rsid w:val="007F5586"/>
    <w:rsid w:val="007F5731"/>
    <w:rsid w:val="007F60E4"/>
    <w:rsid w:val="007F6812"/>
    <w:rsid w:val="0080037B"/>
    <w:rsid w:val="00801AC9"/>
    <w:rsid w:val="00802390"/>
    <w:rsid w:val="00804152"/>
    <w:rsid w:val="008048A7"/>
    <w:rsid w:val="008057CF"/>
    <w:rsid w:val="008060F8"/>
    <w:rsid w:val="00806FDF"/>
    <w:rsid w:val="008073EA"/>
    <w:rsid w:val="00807B7C"/>
    <w:rsid w:val="00807BD3"/>
    <w:rsid w:val="00810B4D"/>
    <w:rsid w:val="00810CBD"/>
    <w:rsid w:val="0081146A"/>
    <w:rsid w:val="008114E2"/>
    <w:rsid w:val="00812036"/>
    <w:rsid w:val="00813036"/>
    <w:rsid w:val="00815400"/>
    <w:rsid w:val="008155C1"/>
    <w:rsid w:val="008166A3"/>
    <w:rsid w:val="008176B6"/>
    <w:rsid w:val="0082098E"/>
    <w:rsid w:val="00821B0D"/>
    <w:rsid w:val="008230C7"/>
    <w:rsid w:val="00823610"/>
    <w:rsid w:val="00823D1B"/>
    <w:rsid w:val="008251C0"/>
    <w:rsid w:val="00825CCD"/>
    <w:rsid w:val="0082758B"/>
    <w:rsid w:val="008307DF"/>
    <w:rsid w:val="008331F7"/>
    <w:rsid w:val="00833F7E"/>
    <w:rsid w:val="0083493C"/>
    <w:rsid w:val="008355D9"/>
    <w:rsid w:val="00837A04"/>
    <w:rsid w:val="008409AF"/>
    <w:rsid w:val="00842528"/>
    <w:rsid w:val="00842C09"/>
    <w:rsid w:val="008474C1"/>
    <w:rsid w:val="00847F6E"/>
    <w:rsid w:val="008514BD"/>
    <w:rsid w:val="008521FB"/>
    <w:rsid w:val="00853AA1"/>
    <w:rsid w:val="00855E6A"/>
    <w:rsid w:val="008568CA"/>
    <w:rsid w:val="00856FF0"/>
    <w:rsid w:val="008603B3"/>
    <w:rsid w:val="00860EA2"/>
    <w:rsid w:val="008625C6"/>
    <w:rsid w:val="00862E6A"/>
    <w:rsid w:val="00862F43"/>
    <w:rsid w:val="00863284"/>
    <w:rsid w:val="008636B0"/>
    <w:rsid w:val="00863C2F"/>
    <w:rsid w:val="008647EE"/>
    <w:rsid w:val="0086630C"/>
    <w:rsid w:val="00867169"/>
    <w:rsid w:val="00870ED4"/>
    <w:rsid w:val="00871C32"/>
    <w:rsid w:val="0087278D"/>
    <w:rsid w:val="00873F8C"/>
    <w:rsid w:val="008817FB"/>
    <w:rsid w:val="00881C91"/>
    <w:rsid w:val="008871EB"/>
    <w:rsid w:val="0089049A"/>
    <w:rsid w:val="008921FE"/>
    <w:rsid w:val="00893AE0"/>
    <w:rsid w:val="0089529C"/>
    <w:rsid w:val="00895AFD"/>
    <w:rsid w:val="00897495"/>
    <w:rsid w:val="008A0CB7"/>
    <w:rsid w:val="008A2B27"/>
    <w:rsid w:val="008A3A43"/>
    <w:rsid w:val="008A51EA"/>
    <w:rsid w:val="008A54CB"/>
    <w:rsid w:val="008A5DC5"/>
    <w:rsid w:val="008B06AD"/>
    <w:rsid w:val="008B2BE1"/>
    <w:rsid w:val="008B2F35"/>
    <w:rsid w:val="008B3C42"/>
    <w:rsid w:val="008B68CB"/>
    <w:rsid w:val="008B7B75"/>
    <w:rsid w:val="008B7B90"/>
    <w:rsid w:val="008C00F1"/>
    <w:rsid w:val="008C0548"/>
    <w:rsid w:val="008C1C84"/>
    <w:rsid w:val="008C2300"/>
    <w:rsid w:val="008C23F2"/>
    <w:rsid w:val="008C3BE7"/>
    <w:rsid w:val="008C42D9"/>
    <w:rsid w:val="008C7A51"/>
    <w:rsid w:val="008D163C"/>
    <w:rsid w:val="008D22B6"/>
    <w:rsid w:val="008D349C"/>
    <w:rsid w:val="008D47F8"/>
    <w:rsid w:val="008D648E"/>
    <w:rsid w:val="008D66A8"/>
    <w:rsid w:val="008E14B7"/>
    <w:rsid w:val="008E23E0"/>
    <w:rsid w:val="008E3CAE"/>
    <w:rsid w:val="008E3DEA"/>
    <w:rsid w:val="008E7BD1"/>
    <w:rsid w:val="008F1B37"/>
    <w:rsid w:val="008F26A5"/>
    <w:rsid w:val="008F3EAB"/>
    <w:rsid w:val="0090076E"/>
    <w:rsid w:val="00900BFF"/>
    <w:rsid w:val="00900C7D"/>
    <w:rsid w:val="0090152A"/>
    <w:rsid w:val="00902428"/>
    <w:rsid w:val="00903CAD"/>
    <w:rsid w:val="00903F0A"/>
    <w:rsid w:val="009057A7"/>
    <w:rsid w:val="0090602C"/>
    <w:rsid w:val="00907DFC"/>
    <w:rsid w:val="009106F8"/>
    <w:rsid w:val="00914105"/>
    <w:rsid w:val="00914415"/>
    <w:rsid w:val="009159C8"/>
    <w:rsid w:val="00915A02"/>
    <w:rsid w:val="009166E7"/>
    <w:rsid w:val="00916A8B"/>
    <w:rsid w:val="009174AB"/>
    <w:rsid w:val="00920221"/>
    <w:rsid w:val="00920250"/>
    <w:rsid w:val="00920305"/>
    <w:rsid w:val="0092069C"/>
    <w:rsid w:val="00920D66"/>
    <w:rsid w:val="0092243C"/>
    <w:rsid w:val="00923EC8"/>
    <w:rsid w:val="00924018"/>
    <w:rsid w:val="00924A44"/>
    <w:rsid w:val="00925C82"/>
    <w:rsid w:val="00927F21"/>
    <w:rsid w:val="009316AE"/>
    <w:rsid w:val="009331C0"/>
    <w:rsid w:val="00934980"/>
    <w:rsid w:val="00936D97"/>
    <w:rsid w:val="00941D55"/>
    <w:rsid w:val="00944951"/>
    <w:rsid w:val="009475E2"/>
    <w:rsid w:val="00950CD3"/>
    <w:rsid w:val="00950F7E"/>
    <w:rsid w:val="00951421"/>
    <w:rsid w:val="00952FA3"/>
    <w:rsid w:val="00953051"/>
    <w:rsid w:val="00953B06"/>
    <w:rsid w:val="00956729"/>
    <w:rsid w:val="009611B4"/>
    <w:rsid w:val="0096223C"/>
    <w:rsid w:val="00967C20"/>
    <w:rsid w:val="009700E4"/>
    <w:rsid w:val="009702F0"/>
    <w:rsid w:val="00970BC7"/>
    <w:rsid w:val="00972E26"/>
    <w:rsid w:val="009745B3"/>
    <w:rsid w:val="00974DDC"/>
    <w:rsid w:val="00976274"/>
    <w:rsid w:val="00976A29"/>
    <w:rsid w:val="009806FF"/>
    <w:rsid w:val="009823E5"/>
    <w:rsid w:val="0098287B"/>
    <w:rsid w:val="009837F5"/>
    <w:rsid w:val="009901E7"/>
    <w:rsid w:val="00996198"/>
    <w:rsid w:val="00996DDC"/>
    <w:rsid w:val="0099730D"/>
    <w:rsid w:val="009A0819"/>
    <w:rsid w:val="009A6266"/>
    <w:rsid w:val="009B18E0"/>
    <w:rsid w:val="009B23D2"/>
    <w:rsid w:val="009B6C41"/>
    <w:rsid w:val="009B7CF8"/>
    <w:rsid w:val="009B7F11"/>
    <w:rsid w:val="009C11FC"/>
    <w:rsid w:val="009C17CD"/>
    <w:rsid w:val="009C2DCF"/>
    <w:rsid w:val="009C2DDA"/>
    <w:rsid w:val="009C39B6"/>
    <w:rsid w:val="009C49A3"/>
    <w:rsid w:val="009C62DB"/>
    <w:rsid w:val="009D1DF0"/>
    <w:rsid w:val="009D3AEE"/>
    <w:rsid w:val="009D63AD"/>
    <w:rsid w:val="009D77A3"/>
    <w:rsid w:val="009D7E50"/>
    <w:rsid w:val="009E0723"/>
    <w:rsid w:val="009E22DC"/>
    <w:rsid w:val="009E37D8"/>
    <w:rsid w:val="009E451C"/>
    <w:rsid w:val="009E66E2"/>
    <w:rsid w:val="009F03B2"/>
    <w:rsid w:val="009F1F49"/>
    <w:rsid w:val="009F3030"/>
    <w:rsid w:val="00A0343E"/>
    <w:rsid w:val="00A03D9E"/>
    <w:rsid w:val="00A072B1"/>
    <w:rsid w:val="00A0770B"/>
    <w:rsid w:val="00A113B3"/>
    <w:rsid w:val="00A129BA"/>
    <w:rsid w:val="00A15355"/>
    <w:rsid w:val="00A1537B"/>
    <w:rsid w:val="00A1774B"/>
    <w:rsid w:val="00A17CC8"/>
    <w:rsid w:val="00A207A5"/>
    <w:rsid w:val="00A21805"/>
    <w:rsid w:val="00A237E8"/>
    <w:rsid w:val="00A2576C"/>
    <w:rsid w:val="00A26171"/>
    <w:rsid w:val="00A326FD"/>
    <w:rsid w:val="00A3520F"/>
    <w:rsid w:val="00A35441"/>
    <w:rsid w:val="00A354D2"/>
    <w:rsid w:val="00A36644"/>
    <w:rsid w:val="00A3664A"/>
    <w:rsid w:val="00A42CE0"/>
    <w:rsid w:val="00A44587"/>
    <w:rsid w:val="00A44871"/>
    <w:rsid w:val="00A46CF0"/>
    <w:rsid w:val="00A47FEE"/>
    <w:rsid w:val="00A51466"/>
    <w:rsid w:val="00A53F94"/>
    <w:rsid w:val="00A56118"/>
    <w:rsid w:val="00A564CC"/>
    <w:rsid w:val="00A56B3C"/>
    <w:rsid w:val="00A611D0"/>
    <w:rsid w:val="00A61C5B"/>
    <w:rsid w:val="00A63BCF"/>
    <w:rsid w:val="00A64D5F"/>
    <w:rsid w:val="00A71871"/>
    <w:rsid w:val="00A734B9"/>
    <w:rsid w:val="00A73B77"/>
    <w:rsid w:val="00A744DC"/>
    <w:rsid w:val="00A77AC9"/>
    <w:rsid w:val="00A801CB"/>
    <w:rsid w:val="00A821D2"/>
    <w:rsid w:val="00A90E31"/>
    <w:rsid w:val="00A91D2B"/>
    <w:rsid w:val="00A92387"/>
    <w:rsid w:val="00A943E8"/>
    <w:rsid w:val="00A94D40"/>
    <w:rsid w:val="00A94DD0"/>
    <w:rsid w:val="00A963D2"/>
    <w:rsid w:val="00AA3612"/>
    <w:rsid w:val="00AA4454"/>
    <w:rsid w:val="00AA623D"/>
    <w:rsid w:val="00AA779C"/>
    <w:rsid w:val="00AA7CAD"/>
    <w:rsid w:val="00AB0B5A"/>
    <w:rsid w:val="00AB5371"/>
    <w:rsid w:val="00AB5C45"/>
    <w:rsid w:val="00AB7969"/>
    <w:rsid w:val="00AC090A"/>
    <w:rsid w:val="00AC1083"/>
    <w:rsid w:val="00AC5488"/>
    <w:rsid w:val="00AD4DD9"/>
    <w:rsid w:val="00AD4DF8"/>
    <w:rsid w:val="00AD5487"/>
    <w:rsid w:val="00AD76FA"/>
    <w:rsid w:val="00AE553C"/>
    <w:rsid w:val="00AE766E"/>
    <w:rsid w:val="00AF3D58"/>
    <w:rsid w:val="00AF4729"/>
    <w:rsid w:val="00AF5E17"/>
    <w:rsid w:val="00AF63AC"/>
    <w:rsid w:val="00AF7CF5"/>
    <w:rsid w:val="00B01454"/>
    <w:rsid w:val="00B02086"/>
    <w:rsid w:val="00B05349"/>
    <w:rsid w:val="00B0544D"/>
    <w:rsid w:val="00B117C6"/>
    <w:rsid w:val="00B12B99"/>
    <w:rsid w:val="00B1612A"/>
    <w:rsid w:val="00B2139E"/>
    <w:rsid w:val="00B22655"/>
    <w:rsid w:val="00B2335A"/>
    <w:rsid w:val="00B252E4"/>
    <w:rsid w:val="00B264F1"/>
    <w:rsid w:val="00B32C0F"/>
    <w:rsid w:val="00B35A65"/>
    <w:rsid w:val="00B37F32"/>
    <w:rsid w:val="00B419B4"/>
    <w:rsid w:val="00B422CA"/>
    <w:rsid w:val="00B44A72"/>
    <w:rsid w:val="00B44D55"/>
    <w:rsid w:val="00B453DE"/>
    <w:rsid w:val="00B4569B"/>
    <w:rsid w:val="00B4614D"/>
    <w:rsid w:val="00B466C8"/>
    <w:rsid w:val="00B473AB"/>
    <w:rsid w:val="00B474D7"/>
    <w:rsid w:val="00B47808"/>
    <w:rsid w:val="00B47B9F"/>
    <w:rsid w:val="00B50EAF"/>
    <w:rsid w:val="00B546D2"/>
    <w:rsid w:val="00B54D35"/>
    <w:rsid w:val="00B5659A"/>
    <w:rsid w:val="00B575E1"/>
    <w:rsid w:val="00B60038"/>
    <w:rsid w:val="00B61B50"/>
    <w:rsid w:val="00B61C89"/>
    <w:rsid w:val="00B61CB2"/>
    <w:rsid w:val="00B62A0F"/>
    <w:rsid w:val="00B653B6"/>
    <w:rsid w:val="00B66702"/>
    <w:rsid w:val="00B7053F"/>
    <w:rsid w:val="00B7215B"/>
    <w:rsid w:val="00B722DC"/>
    <w:rsid w:val="00B73737"/>
    <w:rsid w:val="00B74D18"/>
    <w:rsid w:val="00B75713"/>
    <w:rsid w:val="00B757C5"/>
    <w:rsid w:val="00B75C85"/>
    <w:rsid w:val="00B76774"/>
    <w:rsid w:val="00B81D39"/>
    <w:rsid w:val="00B83670"/>
    <w:rsid w:val="00B84A17"/>
    <w:rsid w:val="00B84D78"/>
    <w:rsid w:val="00B8743F"/>
    <w:rsid w:val="00B87894"/>
    <w:rsid w:val="00B969F3"/>
    <w:rsid w:val="00B97C6A"/>
    <w:rsid w:val="00BA3C9C"/>
    <w:rsid w:val="00BA4996"/>
    <w:rsid w:val="00BA5E13"/>
    <w:rsid w:val="00BB017D"/>
    <w:rsid w:val="00BB01F4"/>
    <w:rsid w:val="00BB6A9A"/>
    <w:rsid w:val="00BB70C9"/>
    <w:rsid w:val="00BB7135"/>
    <w:rsid w:val="00BC4BDC"/>
    <w:rsid w:val="00BC659E"/>
    <w:rsid w:val="00BD3AD2"/>
    <w:rsid w:val="00BD5846"/>
    <w:rsid w:val="00BD5CE2"/>
    <w:rsid w:val="00BD71D5"/>
    <w:rsid w:val="00BE1125"/>
    <w:rsid w:val="00BE19DC"/>
    <w:rsid w:val="00BE1C75"/>
    <w:rsid w:val="00BE2773"/>
    <w:rsid w:val="00BE74FA"/>
    <w:rsid w:val="00BF0128"/>
    <w:rsid w:val="00BF3639"/>
    <w:rsid w:val="00BF3973"/>
    <w:rsid w:val="00C024B6"/>
    <w:rsid w:val="00C02BB2"/>
    <w:rsid w:val="00C032BC"/>
    <w:rsid w:val="00C0391C"/>
    <w:rsid w:val="00C03993"/>
    <w:rsid w:val="00C10A11"/>
    <w:rsid w:val="00C10FCD"/>
    <w:rsid w:val="00C15937"/>
    <w:rsid w:val="00C179BB"/>
    <w:rsid w:val="00C17CEE"/>
    <w:rsid w:val="00C20E92"/>
    <w:rsid w:val="00C2561E"/>
    <w:rsid w:val="00C26602"/>
    <w:rsid w:val="00C2704C"/>
    <w:rsid w:val="00C27920"/>
    <w:rsid w:val="00C3112D"/>
    <w:rsid w:val="00C32783"/>
    <w:rsid w:val="00C35198"/>
    <w:rsid w:val="00C361B6"/>
    <w:rsid w:val="00C407D9"/>
    <w:rsid w:val="00C40FE1"/>
    <w:rsid w:val="00C41B50"/>
    <w:rsid w:val="00C426CB"/>
    <w:rsid w:val="00C438A4"/>
    <w:rsid w:val="00C45258"/>
    <w:rsid w:val="00C45FCE"/>
    <w:rsid w:val="00C463FE"/>
    <w:rsid w:val="00C46B69"/>
    <w:rsid w:val="00C52F73"/>
    <w:rsid w:val="00C53697"/>
    <w:rsid w:val="00C563D6"/>
    <w:rsid w:val="00C56F64"/>
    <w:rsid w:val="00C57612"/>
    <w:rsid w:val="00C62A35"/>
    <w:rsid w:val="00C62BA0"/>
    <w:rsid w:val="00C64656"/>
    <w:rsid w:val="00C6593E"/>
    <w:rsid w:val="00C65FFC"/>
    <w:rsid w:val="00C664A1"/>
    <w:rsid w:val="00C7054F"/>
    <w:rsid w:val="00C71161"/>
    <w:rsid w:val="00C711E1"/>
    <w:rsid w:val="00C724BA"/>
    <w:rsid w:val="00C746B3"/>
    <w:rsid w:val="00C7530F"/>
    <w:rsid w:val="00C754B4"/>
    <w:rsid w:val="00C7639A"/>
    <w:rsid w:val="00C763BA"/>
    <w:rsid w:val="00C8165D"/>
    <w:rsid w:val="00C8369A"/>
    <w:rsid w:val="00C84596"/>
    <w:rsid w:val="00C845EF"/>
    <w:rsid w:val="00C869CB"/>
    <w:rsid w:val="00C91C8C"/>
    <w:rsid w:val="00C91EA5"/>
    <w:rsid w:val="00C95999"/>
    <w:rsid w:val="00C96090"/>
    <w:rsid w:val="00C96E32"/>
    <w:rsid w:val="00CA1716"/>
    <w:rsid w:val="00CA21D0"/>
    <w:rsid w:val="00CA2B57"/>
    <w:rsid w:val="00CA57AB"/>
    <w:rsid w:val="00CA71DE"/>
    <w:rsid w:val="00CA7C1D"/>
    <w:rsid w:val="00CB1F3A"/>
    <w:rsid w:val="00CB23B5"/>
    <w:rsid w:val="00CB4280"/>
    <w:rsid w:val="00CB4CC8"/>
    <w:rsid w:val="00CB56E4"/>
    <w:rsid w:val="00CB6C19"/>
    <w:rsid w:val="00CC1701"/>
    <w:rsid w:val="00CC482C"/>
    <w:rsid w:val="00CC7581"/>
    <w:rsid w:val="00CD0797"/>
    <w:rsid w:val="00CD3156"/>
    <w:rsid w:val="00CD3F6E"/>
    <w:rsid w:val="00CD437A"/>
    <w:rsid w:val="00CD4A98"/>
    <w:rsid w:val="00CD61F3"/>
    <w:rsid w:val="00CE0BEA"/>
    <w:rsid w:val="00CE2CD6"/>
    <w:rsid w:val="00CE4AA0"/>
    <w:rsid w:val="00CE57D4"/>
    <w:rsid w:val="00CE597E"/>
    <w:rsid w:val="00CE5E56"/>
    <w:rsid w:val="00CE664B"/>
    <w:rsid w:val="00CF0C8C"/>
    <w:rsid w:val="00CF2294"/>
    <w:rsid w:val="00CF36F9"/>
    <w:rsid w:val="00CF4625"/>
    <w:rsid w:val="00CF4BA8"/>
    <w:rsid w:val="00CF5691"/>
    <w:rsid w:val="00CF6421"/>
    <w:rsid w:val="00D0033A"/>
    <w:rsid w:val="00D00DB1"/>
    <w:rsid w:val="00D0195B"/>
    <w:rsid w:val="00D074C6"/>
    <w:rsid w:val="00D1258C"/>
    <w:rsid w:val="00D130B3"/>
    <w:rsid w:val="00D2154C"/>
    <w:rsid w:val="00D21CD1"/>
    <w:rsid w:val="00D2214E"/>
    <w:rsid w:val="00D2294E"/>
    <w:rsid w:val="00D239CB"/>
    <w:rsid w:val="00D2503D"/>
    <w:rsid w:val="00D25060"/>
    <w:rsid w:val="00D26850"/>
    <w:rsid w:val="00D27203"/>
    <w:rsid w:val="00D27501"/>
    <w:rsid w:val="00D31802"/>
    <w:rsid w:val="00D326C5"/>
    <w:rsid w:val="00D33F06"/>
    <w:rsid w:val="00D36543"/>
    <w:rsid w:val="00D36D6D"/>
    <w:rsid w:val="00D40BC7"/>
    <w:rsid w:val="00D40FFF"/>
    <w:rsid w:val="00D41BAF"/>
    <w:rsid w:val="00D4227A"/>
    <w:rsid w:val="00D422F2"/>
    <w:rsid w:val="00D43D1A"/>
    <w:rsid w:val="00D44D31"/>
    <w:rsid w:val="00D45640"/>
    <w:rsid w:val="00D4665A"/>
    <w:rsid w:val="00D475F8"/>
    <w:rsid w:val="00D51467"/>
    <w:rsid w:val="00D52B37"/>
    <w:rsid w:val="00D536B3"/>
    <w:rsid w:val="00D5381F"/>
    <w:rsid w:val="00D57CD1"/>
    <w:rsid w:val="00D63C3A"/>
    <w:rsid w:val="00D642B8"/>
    <w:rsid w:val="00D65182"/>
    <w:rsid w:val="00D65609"/>
    <w:rsid w:val="00D66373"/>
    <w:rsid w:val="00D67319"/>
    <w:rsid w:val="00D727C3"/>
    <w:rsid w:val="00D75733"/>
    <w:rsid w:val="00D75FD4"/>
    <w:rsid w:val="00D91435"/>
    <w:rsid w:val="00D91B69"/>
    <w:rsid w:val="00D91D37"/>
    <w:rsid w:val="00D91D3E"/>
    <w:rsid w:val="00DA05CD"/>
    <w:rsid w:val="00DA0C88"/>
    <w:rsid w:val="00DA267B"/>
    <w:rsid w:val="00DA561E"/>
    <w:rsid w:val="00DA781B"/>
    <w:rsid w:val="00DB3221"/>
    <w:rsid w:val="00DC43D9"/>
    <w:rsid w:val="00DC5128"/>
    <w:rsid w:val="00DC5A94"/>
    <w:rsid w:val="00DD56AD"/>
    <w:rsid w:val="00DD6443"/>
    <w:rsid w:val="00DE22A2"/>
    <w:rsid w:val="00DE32C3"/>
    <w:rsid w:val="00DE564E"/>
    <w:rsid w:val="00DE7B12"/>
    <w:rsid w:val="00DF0512"/>
    <w:rsid w:val="00DF073C"/>
    <w:rsid w:val="00DF25A3"/>
    <w:rsid w:val="00DF5AC7"/>
    <w:rsid w:val="00DF6139"/>
    <w:rsid w:val="00DF7E58"/>
    <w:rsid w:val="00E0403B"/>
    <w:rsid w:val="00E0430B"/>
    <w:rsid w:val="00E05A71"/>
    <w:rsid w:val="00E105BB"/>
    <w:rsid w:val="00E10AD7"/>
    <w:rsid w:val="00E11433"/>
    <w:rsid w:val="00E12819"/>
    <w:rsid w:val="00E15883"/>
    <w:rsid w:val="00E15F2A"/>
    <w:rsid w:val="00E2031A"/>
    <w:rsid w:val="00E20CC0"/>
    <w:rsid w:val="00E217DD"/>
    <w:rsid w:val="00E2320B"/>
    <w:rsid w:val="00E236F9"/>
    <w:rsid w:val="00E24A1D"/>
    <w:rsid w:val="00E269A7"/>
    <w:rsid w:val="00E2791A"/>
    <w:rsid w:val="00E3013B"/>
    <w:rsid w:val="00E301C1"/>
    <w:rsid w:val="00E3096A"/>
    <w:rsid w:val="00E3338B"/>
    <w:rsid w:val="00E34B12"/>
    <w:rsid w:val="00E40747"/>
    <w:rsid w:val="00E41694"/>
    <w:rsid w:val="00E4659B"/>
    <w:rsid w:val="00E47103"/>
    <w:rsid w:val="00E47506"/>
    <w:rsid w:val="00E50DE1"/>
    <w:rsid w:val="00E52154"/>
    <w:rsid w:val="00E5254D"/>
    <w:rsid w:val="00E56EAD"/>
    <w:rsid w:val="00E60059"/>
    <w:rsid w:val="00E615DE"/>
    <w:rsid w:val="00E61B3F"/>
    <w:rsid w:val="00E63319"/>
    <w:rsid w:val="00E63B58"/>
    <w:rsid w:val="00E649E5"/>
    <w:rsid w:val="00E652A0"/>
    <w:rsid w:val="00E65C59"/>
    <w:rsid w:val="00E67BA7"/>
    <w:rsid w:val="00E729FB"/>
    <w:rsid w:val="00E731EF"/>
    <w:rsid w:val="00E739CE"/>
    <w:rsid w:val="00E743D8"/>
    <w:rsid w:val="00E74950"/>
    <w:rsid w:val="00E751E1"/>
    <w:rsid w:val="00E7528C"/>
    <w:rsid w:val="00E80439"/>
    <w:rsid w:val="00E81C75"/>
    <w:rsid w:val="00E82AAE"/>
    <w:rsid w:val="00E82FF7"/>
    <w:rsid w:val="00E879D8"/>
    <w:rsid w:val="00E906B9"/>
    <w:rsid w:val="00E92D81"/>
    <w:rsid w:val="00E92F5B"/>
    <w:rsid w:val="00E94BA8"/>
    <w:rsid w:val="00E94E5E"/>
    <w:rsid w:val="00E9587D"/>
    <w:rsid w:val="00E95E80"/>
    <w:rsid w:val="00E96CC2"/>
    <w:rsid w:val="00E96F31"/>
    <w:rsid w:val="00EA0A48"/>
    <w:rsid w:val="00EA6812"/>
    <w:rsid w:val="00EB0DD7"/>
    <w:rsid w:val="00EB0EC2"/>
    <w:rsid w:val="00EB323C"/>
    <w:rsid w:val="00EB33F2"/>
    <w:rsid w:val="00EB57C5"/>
    <w:rsid w:val="00EC0170"/>
    <w:rsid w:val="00EC4597"/>
    <w:rsid w:val="00EC476C"/>
    <w:rsid w:val="00EC4EF0"/>
    <w:rsid w:val="00EC64BA"/>
    <w:rsid w:val="00EC7D67"/>
    <w:rsid w:val="00ED26D5"/>
    <w:rsid w:val="00ED2AD9"/>
    <w:rsid w:val="00ED2E0A"/>
    <w:rsid w:val="00ED3167"/>
    <w:rsid w:val="00ED3647"/>
    <w:rsid w:val="00ED6C02"/>
    <w:rsid w:val="00EE04DB"/>
    <w:rsid w:val="00EE059C"/>
    <w:rsid w:val="00EE13AF"/>
    <w:rsid w:val="00EE1BEA"/>
    <w:rsid w:val="00EE2B33"/>
    <w:rsid w:val="00EE5EC4"/>
    <w:rsid w:val="00EE70B4"/>
    <w:rsid w:val="00EF258C"/>
    <w:rsid w:val="00EF26F9"/>
    <w:rsid w:val="00EF299F"/>
    <w:rsid w:val="00EF3DE4"/>
    <w:rsid w:val="00EF4BCC"/>
    <w:rsid w:val="00EF57B0"/>
    <w:rsid w:val="00EF684A"/>
    <w:rsid w:val="00EF68CE"/>
    <w:rsid w:val="00EF7D97"/>
    <w:rsid w:val="00F03893"/>
    <w:rsid w:val="00F03BA1"/>
    <w:rsid w:val="00F041C9"/>
    <w:rsid w:val="00F06682"/>
    <w:rsid w:val="00F06DAA"/>
    <w:rsid w:val="00F1088C"/>
    <w:rsid w:val="00F11E10"/>
    <w:rsid w:val="00F13921"/>
    <w:rsid w:val="00F148BE"/>
    <w:rsid w:val="00F14AFC"/>
    <w:rsid w:val="00F1578C"/>
    <w:rsid w:val="00F16D8E"/>
    <w:rsid w:val="00F16F33"/>
    <w:rsid w:val="00F20DDC"/>
    <w:rsid w:val="00F211A8"/>
    <w:rsid w:val="00F26199"/>
    <w:rsid w:val="00F2779A"/>
    <w:rsid w:val="00F27EB4"/>
    <w:rsid w:val="00F31183"/>
    <w:rsid w:val="00F319AF"/>
    <w:rsid w:val="00F335CB"/>
    <w:rsid w:val="00F35A8B"/>
    <w:rsid w:val="00F36898"/>
    <w:rsid w:val="00F41EB5"/>
    <w:rsid w:val="00F449D3"/>
    <w:rsid w:val="00F460A3"/>
    <w:rsid w:val="00F510BB"/>
    <w:rsid w:val="00F51AF9"/>
    <w:rsid w:val="00F522ED"/>
    <w:rsid w:val="00F54B17"/>
    <w:rsid w:val="00F555DA"/>
    <w:rsid w:val="00F57E70"/>
    <w:rsid w:val="00F60AD1"/>
    <w:rsid w:val="00F617BB"/>
    <w:rsid w:val="00F648D0"/>
    <w:rsid w:val="00F664B7"/>
    <w:rsid w:val="00F679A2"/>
    <w:rsid w:val="00F70149"/>
    <w:rsid w:val="00F72355"/>
    <w:rsid w:val="00F731E8"/>
    <w:rsid w:val="00F75B59"/>
    <w:rsid w:val="00F76139"/>
    <w:rsid w:val="00F764CD"/>
    <w:rsid w:val="00F77923"/>
    <w:rsid w:val="00F8162D"/>
    <w:rsid w:val="00F81E31"/>
    <w:rsid w:val="00F8307C"/>
    <w:rsid w:val="00F84C67"/>
    <w:rsid w:val="00F8502D"/>
    <w:rsid w:val="00F85E96"/>
    <w:rsid w:val="00F90F17"/>
    <w:rsid w:val="00F94171"/>
    <w:rsid w:val="00F947B4"/>
    <w:rsid w:val="00F95FF9"/>
    <w:rsid w:val="00F96681"/>
    <w:rsid w:val="00FA0713"/>
    <w:rsid w:val="00FA08B1"/>
    <w:rsid w:val="00FA0914"/>
    <w:rsid w:val="00FA1C2C"/>
    <w:rsid w:val="00FA243F"/>
    <w:rsid w:val="00FA5BA2"/>
    <w:rsid w:val="00FA657F"/>
    <w:rsid w:val="00FA690B"/>
    <w:rsid w:val="00FA6B74"/>
    <w:rsid w:val="00FA7900"/>
    <w:rsid w:val="00FB1DD1"/>
    <w:rsid w:val="00FB1E13"/>
    <w:rsid w:val="00FB38D4"/>
    <w:rsid w:val="00FB495E"/>
    <w:rsid w:val="00FB5627"/>
    <w:rsid w:val="00FC2538"/>
    <w:rsid w:val="00FC28EB"/>
    <w:rsid w:val="00FC5FFC"/>
    <w:rsid w:val="00FC77EC"/>
    <w:rsid w:val="00FD32D8"/>
    <w:rsid w:val="00FD4ACC"/>
    <w:rsid w:val="00FD4E7A"/>
    <w:rsid w:val="00FD67B7"/>
    <w:rsid w:val="00FD70FE"/>
    <w:rsid w:val="00FE0D2C"/>
    <w:rsid w:val="00FE2713"/>
    <w:rsid w:val="00FE30D6"/>
    <w:rsid w:val="00FE3394"/>
    <w:rsid w:val="00FE37AB"/>
    <w:rsid w:val="00FF27F1"/>
    <w:rsid w:val="00FF53BC"/>
    <w:rsid w:val="01090E63"/>
    <w:rsid w:val="01362FCD"/>
    <w:rsid w:val="02204AAA"/>
    <w:rsid w:val="02812452"/>
    <w:rsid w:val="043438CC"/>
    <w:rsid w:val="04C70A74"/>
    <w:rsid w:val="053D042B"/>
    <w:rsid w:val="05AF2441"/>
    <w:rsid w:val="07F12D96"/>
    <w:rsid w:val="08C95A67"/>
    <w:rsid w:val="08FA6E92"/>
    <w:rsid w:val="096E2666"/>
    <w:rsid w:val="0ADC61B9"/>
    <w:rsid w:val="0B4604AE"/>
    <w:rsid w:val="0E185261"/>
    <w:rsid w:val="0E6C0E72"/>
    <w:rsid w:val="0E837D7E"/>
    <w:rsid w:val="0EC0540B"/>
    <w:rsid w:val="0F166422"/>
    <w:rsid w:val="0FEC1581"/>
    <w:rsid w:val="107F03F9"/>
    <w:rsid w:val="13BE3475"/>
    <w:rsid w:val="159E599C"/>
    <w:rsid w:val="16AE6AE6"/>
    <w:rsid w:val="17CF59AE"/>
    <w:rsid w:val="1868190E"/>
    <w:rsid w:val="19382703"/>
    <w:rsid w:val="197A2CE5"/>
    <w:rsid w:val="19FF7DD6"/>
    <w:rsid w:val="1A853AB3"/>
    <w:rsid w:val="1A8A0617"/>
    <w:rsid w:val="1A9058A9"/>
    <w:rsid w:val="1B517ED5"/>
    <w:rsid w:val="1C0B3B34"/>
    <w:rsid w:val="1C6F4DC8"/>
    <w:rsid w:val="1C9C03C9"/>
    <w:rsid w:val="1CDC7829"/>
    <w:rsid w:val="1D1E0216"/>
    <w:rsid w:val="1EEE2ED5"/>
    <w:rsid w:val="1F5C1954"/>
    <w:rsid w:val="20156EBA"/>
    <w:rsid w:val="211E006D"/>
    <w:rsid w:val="214A1554"/>
    <w:rsid w:val="223D1155"/>
    <w:rsid w:val="22FC5207"/>
    <w:rsid w:val="230D61D7"/>
    <w:rsid w:val="235A047B"/>
    <w:rsid w:val="23654B49"/>
    <w:rsid w:val="23C6706C"/>
    <w:rsid w:val="25BB2173"/>
    <w:rsid w:val="278269B8"/>
    <w:rsid w:val="28E93E34"/>
    <w:rsid w:val="2908381D"/>
    <w:rsid w:val="2A166538"/>
    <w:rsid w:val="2AA96B25"/>
    <w:rsid w:val="2B6D7ACB"/>
    <w:rsid w:val="2C2F31B7"/>
    <w:rsid w:val="2C7176F9"/>
    <w:rsid w:val="2D0B0606"/>
    <w:rsid w:val="2D9C37AD"/>
    <w:rsid w:val="2DD227B8"/>
    <w:rsid w:val="2DFC563C"/>
    <w:rsid w:val="2DFFAAB7"/>
    <w:rsid w:val="2E0B7D84"/>
    <w:rsid w:val="2E382087"/>
    <w:rsid w:val="303D11A4"/>
    <w:rsid w:val="30D26041"/>
    <w:rsid w:val="31DE1D6C"/>
    <w:rsid w:val="34C7372B"/>
    <w:rsid w:val="35095227"/>
    <w:rsid w:val="36566639"/>
    <w:rsid w:val="36ED502F"/>
    <w:rsid w:val="36EE26AB"/>
    <w:rsid w:val="37026C94"/>
    <w:rsid w:val="374F0BFF"/>
    <w:rsid w:val="39B96429"/>
    <w:rsid w:val="39DF293F"/>
    <w:rsid w:val="3A352DDD"/>
    <w:rsid w:val="3CAB593E"/>
    <w:rsid w:val="3CF23A4E"/>
    <w:rsid w:val="3DDB35BE"/>
    <w:rsid w:val="3F714705"/>
    <w:rsid w:val="4054063A"/>
    <w:rsid w:val="40D600D5"/>
    <w:rsid w:val="414E1930"/>
    <w:rsid w:val="42E03075"/>
    <w:rsid w:val="430B251D"/>
    <w:rsid w:val="468D05CE"/>
    <w:rsid w:val="46F24DC7"/>
    <w:rsid w:val="47A77D1E"/>
    <w:rsid w:val="482F1763"/>
    <w:rsid w:val="487F2E6A"/>
    <w:rsid w:val="4A7F51BE"/>
    <w:rsid w:val="4AA62EF0"/>
    <w:rsid w:val="4CCD4891"/>
    <w:rsid w:val="4F1B3C11"/>
    <w:rsid w:val="4F2E10FD"/>
    <w:rsid w:val="4FE95A27"/>
    <w:rsid w:val="4FF4754B"/>
    <w:rsid w:val="512134BE"/>
    <w:rsid w:val="514364CA"/>
    <w:rsid w:val="556E58F3"/>
    <w:rsid w:val="55A86E57"/>
    <w:rsid w:val="56963BBC"/>
    <w:rsid w:val="56B85F4B"/>
    <w:rsid w:val="57BE23F5"/>
    <w:rsid w:val="58197181"/>
    <w:rsid w:val="5A363A8E"/>
    <w:rsid w:val="5B8D3D06"/>
    <w:rsid w:val="5BFD2650"/>
    <w:rsid w:val="5FB937A2"/>
    <w:rsid w:val="5FBCF1AA"/>
    <w:rsid w:val="5FDFACA2"/>
    <w:rsid w:val="61271964"/>
    <w:rsid w:val="623D0EC6"/>
    <w:rsid w:val="6377613F"/>
    <w:rsid w:val="63E776F7"/>
    <w:rsid w:val="64257862"/>
    <w:rsid w:val="642A51C5"/>
    <w:rsid w:val="64405216"/>
    <w:rsid w:val="646C4FD2"/>
    <w:rsid w:val="670A1D83"/>
    <w:rsid w:val="67C24194"/>
    <w:rsid w:val="67EB5B08"/>
    <w:rsid w:val="680C35B0"/>
    <w:rsid w:val="680F211C"/>
    <w:rsid w:val="687D6F04"/>
    <w:rsid w:val="697B71AB"/>
    <w:rsid w:val="6AA13002"/>
    <w:rsid w:val="6BD124BA"/>
    <w:rsid w:val="6C95647B"/>
    <w:rsid w:val="6D3533FF"/>
    <w:rsid w:val="6D3D2C47"/>
    <w:rsid w:val="6D445F77"/>
    <w:rsid w:val="6F192BA9"/>
    <w:rsid w:val="702554F4"/>
    <w:rsid w:val="70382013"/>
    <w:rsid w:val="7061291F"/>
    <w:rsid w:val="708204F4"/>
    <w:rsid w:val="7261615D"/>
    <w:rsid w:val="7303113E"/>
    <w:rsid w:val="73114548"/>
    <w:rsid w:val="732C4B81"/>
    <w:rsid w:val="734B191A"/>
    <w:rsid w:val="73DB62E7"/>
    <w:rsid w:val="74282B8E"/>
    <w:rsid w:val="745D1C1A"/>
    <w:rsid w:val="751E0645"/>
    <w:rsid w:val="75B630B1"/>
    <w:rsid w:val="75BFE5ED"/>
    <w:rsid w:val="763D7D07"/>
    <w:rsid w:val="776F6C41"/>
    <w:rsid w:val="777BA6A0"/>
    <w:rsid w:val="77ECED73"/>
    <w:rsid w:val="785D1239"/>
    <w:rsid w:val="787E4BC0"/>
    <w:rsid w:val="79307416"/>
    <w:rsid w:val="796D3DAA"/>
    <w:rsid w:val="79BF551A"/>
    <w:rsid w:val="7B453A96"/>
    <w:rsid w:val="7D765223"/>
    <w:rsid w:val="7E2C41B3"/>
    <w:rsid w:val="7EB933A8"/>
    <w:rsid w:val="7F9FC0C4"/>
    <w:rsid w:val="7FF723B1"/>
    <w:rsid w:val="7FF7704A"/>
    <w:rsid w:val="7FFFF935"/>
    <w:rsid w:val="9EBB1E0A"/>
    <w:rsid w:val="9FF37831"/>
    <w:rsid w:val="B8EEE44D"/>
    <w:rsid w:val="BB7ED7EB"/>
    <w:rsid w:val="BDFFCFCC"/>
    <w:rsid w:val="BFFCBFC8"/>
    <w:rsid w:val="D5F7AF11"/>
    <w:rsid w:val="DB7B4907"/>
    <w:rsid w:val="DEDF090D"/>
    <w:rsid w:val="DF7FC486"/>
    <w:rsid w:val="DFEF428E"/>
    <w:rsid w:val="EB0B86DB"/>
    <w:rsid w:val="EB2A071C"/>
    <w:rsid w:val="EFFCD55A"/>
    <w:rsid w:val="F09DC057"/>
    <w:rsid w:val="F1FFFB9F"/>
    <w:rsid w:val="F7E73307"/>
    <w:rsid w:val="FF7F482B"/>
    <w:rsid w:val="FF9FECCE"/>
    <w:rsid w:val="FFD94959"/>
    <w:rsid w:val="FFE76505"/>
    <w:rsid w:val="FFEE1B72"/>
    <w:rsid w:val="FFF7C2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name="toc 3"/>
    <w:lsdException w:qFormat="1" w:unhideWhenUsed="0" w:uiPriority="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qFormat="1" w:unhideWhenUsed="0" w:uiPriority="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2"/>
    <w:qFormat/>
    <w:uiPriority w:val="0"/>
    <w:pPr>
      <w:keepNext/>
      <w:keepLines/>
      <w:numPr>
        <w:ilvl w:val="0"/>
        <w:numId w:val="1"/>
      </w:numPr>
      <w:snapToGrid w:val="0"/>
      <w:spacing w:before="312" w:beforeLines="100" w:line="360" w:lineRule="auto"/>
      <w:outlineLvl w:val="0"/>
    </w:pPr>
    <w:rPr>
      <w:rFonts w:ascii="宋体"/>
      <w:b/>
      <w:bCs/>
      <w:kern w:val="44"/>
      <w:szCs w:val="21"/>
    </w:rPr>
  </w:style>
  <w:style w:type="paragraph" w:styleId="3">
    <w:name w:val="heading 2"/>
    <w:basedOn w:val="1"/>
    <w:next w:val="1"/>
    <w:link w:val="116"/>
    <w:qFormat/>
    <w:uiPriority w:val="0"/>
    <w:pPr>
      <w:keepLines/>
      <w:numPr>
        <w:ilvl w:val="1"/>
        <w:numId w:val="1"/>
      </w:numPr>
      <w:adjustRightInd w:val="0"/>
      <w:snapToGrid w:val="0"/>
      <w:spacing w:line="360" w:lineRule="auto"/>
      <w:outlineLvl w:val="1"/>
    </w:pPr>
    <w:rPr>
      <w:rFonts w:ascii="宋体"/>
      <w:bCs/>
      <w:szCs w:val="21"/>
    </w:rPr>
  </w:style>
  <w:style w:type="paragraph" w:styleId="4">
    <w:name w:val="heading 3"/>
    <w:basedOn w:val="1"/>
    <w:next w:val="1"/>
    <w:link w:val="119"/>
    <w:qFormat/>
    <w:uiPriority w:val="0"/>
    <w:pPr>
      <w:numPr>
        <w:ilvl w:val="2"/>
        <w:numId w:val="1"/>
      </w:numPr>
      <w:tabs>
        <w:tab w:val="left" w:pos="1560"/>
      </w:tabs>
      <w:snapToGrid w:val="0"/>
      <w:spacing w:line="360" w:lineRule="auto"/>
      <w:outlineLvl w:val="2"/>
    </w:pPr>
    <w:rPr>
      <w:rFonts w:ascii="宋体"/>
      <w:bCs/>
      <w:szCs w:val="21"/>
    </w:rPr>
  </w:style>
  <w:style w:type="paragraph" w:styleId="5">
    <w:name w:val="heading 4"/>
    <w:basedOn w:val="1"/>
    <w:next w:val="6"/>
    <w:link w:val="43"/>
    <w:qFormat/>
    <w:uiPriority w:val="0"/>
    <w:pPr>
      <w:spacing w:line="360" w:lineRule="auto"/>
      <w:outlineLvl w:val="3"/>
    </w:pPr>
    <w:rPr>
      <w:rFonts w:ascii="宋体"/>
      <w:bCs/>
      <w:szCs w:val="21"/>
    </w:rPr>
  </w:style>
  <w:style w:type="paragraph" w:styleId="7">
    <w:name w:val="heading 5"/>
    <w:basedOn w:val="1"/>
    <w:next w:val="1"/>
    <w:link w:val="41"/>
    <w:qFormat/>
    <w:uiPriority w:val="0"/>
    <w:pPr>
      <w:keepNext/>
      <w:keepLines/>
      <w:numPr>
        <w:ilvl w:val="4"/>
        <w:numId w:val="2"/>
      </w:numPr>
      <w:adjustRightInd w:val="0"/>
      <w:spacing w:line="360" w:lineRule="auto"/>
      <w:ind w:right="100" w:rightChars="100"/>
      <w:textAlignment w:val="baseline"/>
      <w:outlineLvl w:val="4"/>
    </w:pPr>
    <w:rPr>
      <w:rFonts w:cs="宋体"/>
      <w:bCs/>
      <w:kern w:val="0"/>
      <w:szCs w:val="21"/>
    </w:rPr>
  </w:style>
  <w:style w:type="paragraph" w:styleId="8">
    <w:name w:val="heading 6"/>
    <w:basedOn w:val="1"/>
    <w:next w:val="1"/>
    <w:link w:val="120"/>
    <w:qFormat/>
    <w:uiPriority w:val="0"/>
    <w:pPr>
      <w:keepNext/>
      <w:keepLines/>
      <w:spacing w:before="240" w:after="64" w:line="320" w:lineRule="auto"/>
      <w:outlineLvl w:val="5"/>
    </w:pPr>
    <w:rPr>
      <w:rFonts w:ascii="Arial" w:hAnsi="Arial" w:eastAsia="黑体"/>
      <w:b/>
      <w:bCs/>
      <w:sz w:val="24"/>
    </w:rPr>
  </w:style>
  <w:style w:type="paragraph" w:styleId="9">
    <w:name w:val="heading 7"/>
    <w:basedOn w:val="1"/>
    <w:next w:val="1"/>
    <w:link w:val="121"/>
    <w:qFormat/>
    <w:uiPriority w:val="0"/>
    <w:pPr>
      <w:keepNext/>
      <w:keepLines/>
      <w:spacing w:before="240" w:after="64" w:line="320" w:lineRule="auto"/>
      <w:outlineLvl w:val="6"/>
    </w:pPr>
    <w:rPr>
      <w:b/>
      <w:bCs/>
      <w:sz w:val="24"/>
    </w:rPr>
  </w:style>
  <w:style w:type="paragraph" w:styleId="10">
    <w:name w:val="heading 8"/>
    <w:basedOn w:val="1"/>
    <w:next w:val="1"/>
    <w:link w:val="122"/>
    <w:qFormat/>
    <w:uiPriority w:val="0"/>
    <w:pPr>
      <w:keepNext/>
      <w:keepLines/>
      <w:spacing w:before="240" w:after="64" w:line="320" w:lineRule="auto"/>
      <w:outlineLvl w:val="7"/>
    </w:pPr>
    <w:rPr>
      <w:rFonts w:ascii="Arial" w:hAnsi="Arial" w:eastAsia="黑体"/>
      <w:sz w:val="24"/>
    </w:rPr>
  </w:style>
  <w:style w:type="paragraph" w:styleId="11">
    <w:name w:val="heading 9"/>
    <w:basedOn w:val="1"/>
    <w:next w:val="1"/>
    <w:link w:val="123"/>
    <w:qFormat/>
    <w:uiPriority w:val="0"/>
    <w:pPr>
      <w:keepNext/>
      <w:keepLines/>
      <w:spacing w:before="240" w:after="64" w:line="320" w:lineRule="auto"/>
      <w:outlineLvl w:val="8"/>
    </w:pPr>
    <w:rPr>
      <w:rFonts w:ascii="Arial" w:hAnsi="Arial" w:eastAsia="黑体"/>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customStyle="1" w:styleId="6">
    <w:name w:val="正文（段落）"/>
    <w:basedOn w:val="1"/>
    <w:qFormat/>
    <w:uiPriority w:val="99"/>
    <w:pPr>
      <w:spacing w:before="100" w:after="100" w:line="360" w:lineRule="atLeast"/>
      <w:ind w:firstLine="480" w:firstLineChars="200"/>
      <w:jc w:val="left"/>
    </w:pPr>
    <w:rPr>
      <w:color w:val="000000"/>
      <w:sz w:val="24"/>
    </w:rPr>
  </w:style>
  <w:style w:type="paragraph" w:styleId="12">
    <w:name w:val="Normal Indent"/>
    <w:basedOn w:val="1"/>
    <w:link w:val="44"/>
    <w:qFormat/>
    <w:uiPriority w:val="0"/>
    <w:pPr>
      <w:spacing w:line="360" w:lineRule="auto"/>
      <w:ind w:firstLine="420" w:firstLineChars="200"/>
    </w:pPr>
  </w:style>
  <w:style w:type="paragraph" w:styleId="13">
    <w:name w:val="Document Map"/>
    <w:basedOn w:val="1"/>
    <w:link w:val="45"/>
    <w:qFormat/>
    <w:uiPriority w:val="0"/>
    <w:rPr>
      <w:rFonts w:ascii="宋体"/>
      <w:sz w:val="18"/>
      <w:szCs w:val="18"/>
    </w:rPr>
  </w:style>
  <w:style w:type="paragraph" w:styleId="14">
    <w:name w:val="annotation text"/>
    <w:basedOn w:val="1"/>
    <w:link w:val="118"/>
    <w:qFormat/>
    <w:uiPriority w:val="0"/>
    <w:pPr>
      <w:jc w:val="left"/>
    </w:pPr>
  </w:style>
  <w:style w:type="paragraph" w:styleId="15">
    <w:name w:val="Body Text"/>
    <w:basedOn w:val="1"/>
    <w:next w:val="16"/>
    <w:link w:val="46"/>
    <w:qFormat/>
    <w:uiPriority w:val="0"/>
    <w:pPr>
      <w:spacing w:after="120"/>
    </w:pPr>
  </w:style>
  <w:style w:type="paragraph" w:styleId="16">
    <w:name w:val="Title"/>
    <w:basedOn w:val="1"/>
    <w:next w:val="1"/>
    <w:link w:val="124"/>
    <w:qFormat/>
    <w:uiPriority w:val="0"/>
    <w:pPr>
      <w:spacing w:before="240" w:after="60"/>
      <w:jc w:val="center"/>
      <w:outlineLvl w:val="0"/>
    </w:pPr>
    <w:rPr>
      <w:rFonts w:ascii="Arial" w:hAnsi="Arial" w:cs="Arial"/>
      <w:b/>
      <w:bCs/>
      <w:sz w:val="32"/>
      <w:szCs w:val="32"/>
    </w:rPr>
  </w:style>
  <w:style w:type="paragraph" w:styleId="17">
    <w:name w:val="Body Text Indent"/>
    <w:basedOn w:val="1"/>
    <w:next w:val="18"/>
    <w:link w:val="125"/>
    <w:qFormat/>
    <w:uiPriority w:val="99"/>
    <w:pPr>
      <w:spacing w:after="120"/>
      <w:ind w:left="420" w:leftChars="200"/>
    </w:pPr>
  </w:style>
  <w:style w:type="paragraph" w:styleId="18">
    <w:name w:val="envelope return"/>
    <w:basedOn w:val="1"/>
    <w:qFormat/>
    <w:uiPriority w:val="0"/>
    <w:pPr>
      <w:snapToGrid w:val="0"/>
    </w:pPr>
    <w:rPr>
      <w:rFonts w:ascii="Arial" w:hAnsi="Arial"/>
    </w:rPr>
  </w:style>
  <w:style w:type="paragraph" w:styleId="19">
    <w:name w:val="toc 3"/>
    <w:basedOn w:val="1"/>
    <w:next w:val="1"/>
    <w:semiHidden/>
    <w:qFormat/>
    <w:uiPriority w:val="0"/>
    <w:pPr>
      <w:tabs>
        <w:tab w:val="left" w:pos="1620"/>
        <w:tab w:val="right" w:leader="dot" w:pos="8296"/>
      </w:tabs>
    </w:pPr>
  </w:style>
  <w:style w:type="paragraph" w:styleId="20">
    <w:name w:val="Plain Text"/>
    <w:basedOn w:val="1"/>
    <w:link w:val="47"/>
    <w:qFormat/>
    <w:uiPriority w:val="99"/>
    <w:rPr>
      <w:rFonts w:ascii="宋体" w:hAnsi="Courier New"/>
    </w:rPr>
  </w:style>
  <w:style w:type="paragraph" w:styleId="21">
    <w:name w:val="Date"/>
    <w:basedOn w:val="1"/>
    <w:next w:val="1"/>
    <w:link w:val="126"/>
    <w:qFormat/>
    <w:uiPriority w:val="0"/>
    <w:pPr>
      <w:ind w:left="100" w:leftChars="2500"/>
    </w:pPr>
  </w:style>
  <w:style w:type="paragraph" w:styleId="22">
    <w:name w:val="Body Text Indent 2"/>
    <w:basedOn w:val="1"/>
    <w:link w:val="127"/>
    <w:qFormat/>
    <w:uiPriority w:val="0"/>
    <w:pPr>
      <w:adjustRightInd w:val="0"/>
      <w:spacing w:before="120" w:line="300" w:lineRule="auto"/>
      <w:ind w:firstLine="480"/>
      <w:jc w:val="left"/>
      <w:textAlignment w:val="baseline"/>
    </w:pPr>
    <w:rPr>
      <w:rFonts w:eastAsia="仿宋_GB2312"/>
      <w:kern w:val="0"/>
      <w:sz w:val="28"/>
      <w:szCs w:val="20"/>
    </w:rPr>
  </w:style>
  <w:style w:type="paragraph" w:styleId="23">
    <w:name w:val="Balloon Text"/>
    <w:basedOn w:val="1"/>
    <w:link w:val="128"/>
    <w:semiHidden/>
    <w:qFormat/>
    <w:uiPriority w:val="0"/>
    <w:rPr>
      <w:sz w:val="18"/>
      <w:szCs w:val="18"/>
    </w:rPr>
  </w:style>
  <w:style w:type="paragraph" w:styleId="24">
    <w:name w:val="footer"/>
    <w:basedOn w:val="1"/>
    <w:link w:val="48"/>
    <w:qFormat/>
    <w:uiPriority w:val="99"/>
    <w:pPr>
      <w:tabs>
        <w:tab w:val="center" w:pos="4153"/>
        <w:tab w:val="right" w:pos="8306"/>
      </w:tabs>
      <w:snapToGrid w:val="0"/>
      <w:jc w:val="left"/>
    </w:pPr>
    <w:rPr>
      <w:sz w:val="18"/>
      <w:szCs w:val="18"/>
    </w:rPr>
  </w:style>
  <w:style w:type="paragraph" w:styleId="25">
    <w:name w:val="header"/>
    <w:basedOn w:val="1"/>
    <w:link w:val="129"/>
    <w:qFormat/>
    <w:uiPriority w:val="0"/>
    <w:pPr>
      <w:pBdr>
        <w:bottom w:val="single" w:color="auto" w:sz="6" w:space="1"/>
      </w:pBdr>
      <w:tabs>
        <w:tab w:val="center" w:pos="4153"/>
        <w:tab w:val="right" w:pos="8306"/>
      </w:tabs>
      <w:snapToGrid w:val="0"/>
      <w:jc w:val="center"/>
    </w:pPr>
    <w:rPr>
      <w:sz w:val="18"/>
      <w:szCs w:val="18"/>
    </w:rPr>
  </w:style>
  <w:style w:type="paragraph" w:styleId="26">
    <w:name w:val="toc 1"/>
    <w:basedOn w:val="1"/>
    <w:next w:val="1"/>
    <w:qFormat/>
    <w:uiPriority w:val="39"/>
    <w:pPr>
      <w:spacing w:before="120" w:after="120"/>
      <w:jc w:val="left"/>
    </w:pPr>
    <w:rPr>
      <w:b/>
      <w:bCs/>
      <w:caps/>
      <w:sz w:val="20"/>
      <w:szCs w:val="20"/>
    </w:rPr>
  </w:style>
  <w:style w:type="paragraph" w:styleId="27">
    <w:name w:val="toc 4"/>
    <w:basedOn w:val="1"/>
    <w:next w:val="1"/>
    <w:semiHidden/>
    <w:qFormat/>
    <w:uiPriority w:val="0"/>
    <w:pPr>
      <w:ind w:left="1260" w:leftChars="600"/>
    </w:pPr>
  </w:style>
  <w:style w:type="paragraph" w:styleId="28">
    <w:name w:val="toc 2"/>
    <w:basedOn w:val="1"/>
    <w:next w:val="1"/>
    <w:qFormat/>
    <w:uiPriority w:val="39"/>
    <w:pPr>
      <w:tabs>
        <w:tab w:val="left" w:pos="900"/>
        <w:tab w:val="right" w:leader="dot" w:pos="8296"/>
      </w:tabs>
      <w:ind w:left="420" w:leftChars="200"/>
    </w:pPr>
  </w:style>
  <w:style w:type="paragraph" w:styleId="29">
    <w:name w:val="annotation subject"/>
    <w:basedOn w:val="14"/>
    <w:next w:val="14"/>
    <w:link w:val="130"/>
    <w:semiHidden/>
    <w:qFormat/>
    <w:uiPriority w:val="0"/>
    <w:rPr>
      <w:b/>
      <w:bCs/>
    </w:rPr>
  </w:style>
  <w:style w:type="paragraph" w:styleId="30">
    <w:name w:val="Body Text First Indent"/>
    <w:basedOn w:val="15"/>
    <w:link w:val="131"/>
    <w:qFormat/>
    <w:uiPriority w:val="0"/>
    <w:pPr>
      <w:ind w:firstLine="420" w:firstLineChars="100"/>
    </w:pPr>
  </w:style>
  <w:style w:type="paragraph" w:styleId="31">
    <w:name w:val="Body Text First Indent 2"/>
    <w:basedOn w:val="17"/>
    <w:link w:val="132"/>
    <w:qFormat/>
    <w:uiPriority w:val="0"/>
    <w:pPr>
      <w:ind w:left="0" w:leftChars="0"/>
    </w:pPr>
  </w:style>
  <w:style w:type="table" w:styleId="33">
    <w:name w:val="Table Grid"/>
    <w:basedOn w:val="3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5">
    <w:name w:val="page number"/>
    <w:qFormat/>
    <w:uiPriority w:val="0"/>
  </w:style>
  <w:style w:type="character" w:styleId="36">
    <w:name w:val="FollowedHyperlink"/>
    <w:basedOn w:val="34"/>
    <w:unhideWhenUsed/>
    <w:qFormat/>
    <w:uiPriority w:val="99"/>
    <w:rPr>
      <w:color w:val="800080" w:themeColor="followedHyperlink"/>
      <w:u w:val="single"/>
      <w14:textFill>
        <w14:solidFill>
          <w14:schemeClr w14:val="folHlink"/>
        </w14:solidFill>
      </w14:textFill>
    </w:rPr>
  </w:style>
  <w:style w:type="character" w:styleId="37">
    <w:name w:val="Emphasis"/>
    <w:qFormat/>
    <w:uiPriority w:val="0"/>
    <w:rPr>
      <w:color w:val="CC0000"/>
    </w:rPr>
  </w:style>
  <w:style w:type="character" w:styleId="38">
    <w:name w:val="HTML Definition"/>
    <w:semiHidden/>
    <w:qFormat/>
    <w:uiPriority w:val="0"/>
    <w:rPr>
      <w:i/>
      <w:iCs/>
    </w:rPr>
  </w:style>
  <w:style w:type="character" w:styleId="39">
    <w:name w:val="Hyperlink"/>
    <w:qFormat/>
    <w:uiPriority w:val="99"/>
    <w:rPr>
      <w:color w:val="0000FF"/>
      <w:u w:val="single"/>
    </w:rPr>
  </w:style>
  <w:style w:type="character" w:styleId="40">
    <w:name w:val="annotation reference"/>
    <w:qFormat/>
    <w:uiPriority w:val="0"/>
    <w:rPr>
      <w:sz w:val="21"/>
      <w:szCs w:val="21"/>
    </w:rPr>
  </w:style>
  <w:style w:type="character" w:customStyle="1" w:styleId="41">
    <w:name w:val="标题 5 字符"/>
    <w:link w:val="7"/>
    <w:qFormat/>
    <w:uiPriority w:val="0"/>
    <w:rPr>
      <w:rFonts w:eastAsia="宋体" w:cs="宋体"/>
      <w:bCs/>
      <w:sz w:val="21"/>
      <w:szCs w:val="21"/>
      <w:lang w:val="en-US" w:eastAsia="zh-CN" w:bidi="ar-SA"/>
    </w:rPr>
  </w:style>
  <w:style w:type="character" w:customStyle="1" w:styleId="42">
    <w:name w:val="标题 1 字符"/>
    <w:link w:val="2"/>
    <w:qFormat/>
    <w:uiPriority w:val="0"/>
    <w:rPr>
      <w:rFonts w:ascii="宋体" w:eastAsia="宋体"/>
      <w:b/>
      <w:bCs/>
      <w:kern w:val="44"/>
      <w:sz w:val="21"/>
      <w:szCs w:val="21"/>
      <w:lang w:val="en-US" w:eastAsia="zh-CN" w:bidi="ar-SA"/>
    </w:rPr>
  </w:style>
  <w:style w:type="character" w:customStyle="1" w:styleId="43">
    <w:name w:val="标题 4 字符"/>
    <w:link w:val="5"/>
    <w:qFormat/>
    <w:uiPriority w:val="0"/>
    <w:rPr>
      <w:rFonts w:ascii="宋体" w:eastAsia="宋体"/>
      <w:bCs/>
      <w:kern w:val="2"/>
      <w:sz w:val="21"/>
      <w:szCs w:val="21"/>
      <w:lang w:val="en-US" w:eastAsia="zh-CN" w:bidi="ar-SA"/>
    </w:rPr>
  </w:style>
  <w:style w:type="character" w:customStyle="1" w:styleId="44">
    <w:name w:val="正文缩进 字符"/>
    <w:link w:val="12"/>
    <w:qFormat/>
    <w:uiPriority w:val="0"/>
    <w:rPr>
      <w:rFonts w:eastAsia="宋体"/>
      <w:kern w:val="2"/>
      <w:sz w:val="21"/>
      <w:szCs w:val="24"/>
      <w:lang w:val="en-US" w:eastAsia="zh-CN" w:bidi="ar-SA"/>
    </w:rPr>
  </w:style>
  <w:style w:type="character" w:customStyle="1" w:styleId="45">
    <w:name w:val="文档结构图 字符"/>
    <w:link w:val="13"/>
    <w:qFormat/>
    <w:uiPriority w:val="0"/>
    <w:rPr>
      <w:rFonts w:ascii="宋体"/>
      <w:kern w:val="2"/>
      <w:sz w:val="18"/>
      <w:szCs w:val="18"/>
    </w:rPr>
  </w:style>
  <w:style w:type="character" w:customStyle="1" w:styleId="46">
    <w:name w:val="正文文本 字符"/>
    <w:link w:val="15"/>
    <w:qFormat/>
    <w:uiPriority w:val="0"/>
    <w:rPr>
      <w:kern w:val="2"/>
      <w:sz w:val="21"/>
      <w:szCs w:val="24"/>
    </w:rPr>
  </w:style>
  <w:style w:type="character" w:customStyle="1" w:styleId="47">
    <w:name w:val="纯文本 字符"/>
    <w:link w:val="20"/>
    <w:qFormat/>
    <w:uiPriority w:val="99"/>
    <w:rPr>
      <w:rFonts w:ascii="宋体" w:hAnsi="Courier New" w:eastAsia="宋体"/>
      <w:kern w:val="2"/>
      <w:sz w:val="21"/>
      <w:szCs w:val="24"/>
      <w:lang w:val="en-US" w:eastAsia="zh-CN" w:bidi="ar-SA"/>
    </w:rPr>
  </w:style>
  <w:style w:type="character" w:customStyle="1" w:styleId="48">
    <w:name w:val="页脚 字符"/>
    <w:link w:val="24"/>
    <w:qFormat/>
    <w:uiPriority w:val="99"/>
    <w:rPr>
      <w:rFonts w:eastAsia="宋体"/>
      <w:kern w:val="2"/>
      <w:sz w:val="18"/>
      <w:szCs w:val="18"/>
      <w:lang w:val="en-US" w:eastAsia="zh-CN" w:bidi="ar-SA"/>
    </w:rPr>
  </w:style>
  <w:style w:type="character" w:customStyle="1" w:styleId="49">
    <w:name w:val="样式 标题 3 + 宋体 Char"/>
    <w:link w:val="50"/>
    <w:qFormat/>
    <w:uiPriority w:val="0"/>
    <w:rPr>
      <w:rFonts w:ascii="宋体" w:hAnsi="宋体" w:eastAsia="宋体"/>
      <w:kern w:val="2"/>
      <w:sz w:val="21"/>
      <w:szCs w:val="21"/>
      <w:lang w:val="en-US" w:eastAsia="zh-CN" w:bidi="ar-SA"/>
    </w:rPr>
  </w:style>
  <w:style w:type="paragraph" w:customStyle="1" w:styleId="50">
    <w:name w:val="样式 标题 3 + 宋体"/>
    <w:basedOn w:val="4"/>
    <w:link w:val="49"/>
    <w:qFormat/>
    <w:uiPriority w:val="0"/>
    <w:rPr>
      <w:rFonts w:hAnsi="宋体"/>
      <w:bCs w:val="0"/>
    </w:rPr>
  </w:style>
  <w:style w:type="character" w:customStyle="1" w:styleId="51">
    <w:name w:val="表内居两端对齐 Char"/>
    <w:link w:val="52"/>
    <w:qFormat/>
    <w:uiPriority w:val="0"/>
    <w:rPr>
      <w:lang w:val="en-US" w:eastAsia="zh-CN" w:bidi="ar-SA"/>
    </w:rPr>
  </w:style>
  <w:style w:type="paragraph" w:customStyle="1" w:styleId="52">
    <w:name w:val="表内居两端对齐"/>
    <w:basedOn w:val="53"/>
    <w:link w:val="51"/>
    <w:qFormat/>
    <w:uiPriority w:val="0"/>
    <w:pPr>
      <w:jc w:val="both"/>
    </w:pPr>
  </w:style>
  <w:style w:type="paragraph" w:customStyle="1" w:styleId="53">
    <w:name w:val="表内居中小五"/>
    <w:basedOn w:val="1"/>
    <w:link w:val="54"/>
    <w:qFormat/>
    <w:uiPriority w:val="0"/>
    <w:pPr>
      <w:jc w:val="center"/>
    </w:pPr>
    <w:rPr>
      <w:rFonts w:cs="宋体"/>
      <w:sz w:val="18"/>
      <w:szCs w:val="18"/>
    </w:rPr>
  </w:style>
  <w:style w:type="character" w:customStyle="1" w:styleId="54">
    <w:name w:val="表内居中小五 Char"/>
    <w:link w:val="53"/>
    <w:qFormat/>
    <w:uiPriority w:val="0"/>
    <w:rPr>
      <w:rFonts w:eastAsia="宋体" w:cs="宋体"/>
      <w:kern w:val="2"/>
      <w:sz w:val="18"/>
      <w:szCs w:val="18"/>
      <w:lang w:val="en-US" w:eastAsia="zh-CN" w:bidi="ar-SA"/>
    </w:rPr>
  </w:style>
  <w:style w:type="character" w:customStyle="1" w:styleId="55">
    <w:name w:val="样式 标题 4 + (符号) 宋体 Char"/>
    <w:link w:val="56"/>
    <w:qFormat/>
    <w:uiPriority w:val="0"/>
    <w:rPr>
      <w:lang w:val="en-US" w:eastAsia="zh-CN" w:bidi="ar-SA"/>
    </w:rPr>
  </w:style>
  <w:style w:type="paragraph" w:customStyle="1" w:styleId="56">
    <w:name w:val="样式 标题 4 + (符号) 宋体"/>
    <w:basedOn w:val="5"/>
    <w:link w:val="55"/>
    <w:qFormat/>
    <w:uiPriority w:val="0"/>
    <w:pPr>
      <w:adjustRightInd w:val="0"/>
      <w:snapToGrid w:val="0"/>
    </w:pPr>
    <w:rPr>
      <w:bCs w:val="0"/>
    </w:rPr>
  </w:style>
  <w:style w:type="character" w:customStyle="1" w:styleId="57">
    <w:name w:val="一级条标题 Char"/>
    <w:link w:val="58"/>
    <w:qFormat/>
    <w:uiPriority w:val="0"/>
    <w:rPr>
      <w:rFonts w:ascii="黑体" w:eastAsia="黑体"/>
      <w:sz w:val="21"/>
      <w:lang w:val="en-US" w:eastAsia="zh-CN" w:bidi="ar-SA"/>
    </w:rPr>
  </w:style>
  <w:style w:type="paragraph" w:customStyle="1" w:styleId="58">
    <w:name w:val="一级条标题"/>
    <w:basedOn w:val="59"/>
    <w:next w:val="60"/>
    <w:link w:val="57"/>
    <w:qFormat/>
    <w:uiPriority w:val="0"/>
    <w:pPr>
      <w:spacing w:before="0" w:beforeLines="0" w:after="0" w:afterLines="0"/>
      <w:outlineLvl w:val="2"/>
    </w:pPr>
  </w:style>
  <w:style w:type="paragraph" w:customStyle="1" w:styleId="59">
    <w:name w:val="章标题"/>
    <w:next w:val="60"/>
    <w:qFormat/>
    <w:uiPriority w:val="0"/>
    <w:pPr>
      <w:spacing w:before="50" w:beforeLines="50" w:after="50" w:afterLines="50"/>
      <w:jc w:val="both"/>
      <w:outlineLvl w:val="1"/>
    </w:pPr>
    <w:rPr>
      <w:rFonts w:ascii="黑体" w:hAnsi="Times New Roman" w:eastAsia="黑体" w:cs="Times New Roman"/>
      <w:sz w:val="21"/>
      <w:lang w:val="en-US" w:eastAsia="zh-CN" w:bidi="ar-SA"/>
    </w:rPr>
  </w:style>
  <w:style w:type="paragraph" w:customStyle="1" w:styleId="60">
    <w:name w:val="段"/>
    <w:qFormat/>
    <w:uiPriority w:val="0"/>
    <w:pPr>
      <w:ind w:firstLine="200" w:firstLineChars="200"/>
      <w:jc w:val="both"/>
    </w:pPr>
    <w:rPr>
      <w:rFonts w:ascii="宋体" w:hAnsi="Times New Roman" w:eastAsia="宋体" w:cs="Times New Roman"/>
      <w:sz w:val="21"/>
      <w:lang w:val="en-US" w:eastAsia="zh-CN" w:bidi="ar-SA"/>
    </w:rPr>
  </w:style>
  <w:style w:type="character" w:customStyle="1" w:styleId="61">
    <w:name w:val="二级条标题 Char"/>
    <w:link w:val="62"/>
    <w:qFormat/>
    <w:uiPriority w:val="0"/>
    <w:rPr>
      <w:rFonts w:ascii="黑体" w:eastAsia="黑体"/>
      <w:sz w:val="21"/>
      <w:lang w:val="en-US" w:eastAsia="zh-CN" w:bidi="ar-SA"/>
    </w:rPr>
  </w:style>
  <w:style w:type="paragraph" w:customStyle="1" w:styleId="62">
    <w:name w:val="二级条标题"/>
    <w:basedOn w:val="1"/>
    <w:next w:val="60"/>
    <w:link w:val="61"/>
    <w:qFormat/>
    <w:uiPriority w:val="0"/>
    <w:pPr>
      <w:widowControl/>
      <w:outlineLvl w:val="3"/>
    </w:pPr>
    <w:rPr>
      <w:rFonts w:ascii="黑体" w:eastAsia="黑体"/>
      <w:kern w:val="0"/>
      <w:szCs w:val="20"/>
    </w:rPr>
  </w:style>
  <w:style w:type="character" w:customStyle="1" w:styleId="63">
    <w:name w:val="首行缩进 Char"/>
    <w:link w:val="64"/>
    <w:qFormat/>
    <w:uiPriority w:val="0"/>
    <w:rPr>
      <w:rFonts w:eastAsia="方正书宋简体" w:cs="宋体"/>
      <w:kern w:val="2"/>
      <w:sz w:val="21"/>
      <w:lang w:val="en-US" w:eastAsia="zh-CN" w:bidi="ar-SA"/>
    </w:rPr>
  </w:style>
  <w:style w:type="paragraph" w:customStyle="1" w:styleId="64">
    <w:name w:val="首行缩进"/>
    <w:basedOn w:val="1"/>
    <w:link w:val="63"/>
    <w:qFormat/>
    <w:uiPriority w:val="0"/>
    <w:pPr>
      <w:spacing w:line="300" w:lineRule="auto"/>
      <w:ind w:firstLine="420" w:firstLineChars="200"/>
    </w:pPr>
    <w:rPr>
      <w:rFonts w:eastAsia="方正书宋简体" w:cs="宋体"/>
      <w:szCs w:val="20"/>
    </w:rPr>
  </w:style>
  <w:style w:type="paragraph" w:customStyle="1" w:styleId="65">
    <w:name w:val="参考文献、索引标题"/>
    <w:basedOn w:val="1"/>
    <w:next w:val="1"/>
    <w:qFormat/>
    <w:uiPriority w:val="0"/>
    <w:pPr>
      <w:widowControl/>
      <w:shd w:val="clear" w:color="FFFFFF" w:fill="FFFFFF"/>
      <w:spacing w:before="640" w:after="200"/>
      <w:jc w:val="center"/>
      <w:outlineLvl w:val="0"/>
    </w:pPr>
    <w:rPr>
      <w:rFonts w:ascii="黑体" w:eastAsia="黑体"/>
      <w:kern w:val="0"/>
      <w:szCs w:val="20"/>
    </w:rPr>
  </w:style>
  <w:style w:type="paragraph" w:customStyle="1" w:styleId="66">
    <w:name w:val="Char Char1 Char"/>
    <w:basedOn w:val="1"/>
    <w:qFormat/>
    <w:uiPriority w:val="0"/>
    <w:pPr>
      <w:widowControl/>
      <w:spacing w:before="100" w:beforeAutospacing="1" w:after="100" w:afterAutospacing="1" w:line="330" w:lineRule="atLeast"/>
      <w:ind w:left="360"/>
      <w:jc w:val="left"/>
    </w:pPr>
    <w:rPr>
      <w:rFonts w:ascii="ˎ̥" w:hAnsi="ˎ̥" w:cs="宋体"/>
      <w:color w:val="51585D"/>
      <w:kern w:val="0"/>
      <w:sz w:val="24"/>
      <w:szCs w:val="18"/>
    </w:rPr>
  </w:style>
  <w:style w:type="paragraph" w:customStyle="1" w:styleId="67">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68">
    <w:name w:val="数字编号列项（二级）"/>
    <w:qFormat/>
    <w:uiPriority w:val="0"/>
    <w:pPr>
      <w:jc w:val="both"/>
    </w:pPr>
    <w:rPr>
      <w:rFonts w:ascii="宋体" w:hAnsi="Times New Roman" w:eastAsia="宋体" w:cs="Times New Roman"/>
      <w:sz w:val="21"/>
      <w:lang w:val="en-US" w:eastAsia="zh-CN" w:bidi="ar-SA"/>
    </w:rPr>
  </w:style>
  <w:style w:type="paragraph" w:customStyle="1" w:styleId="69">
    <w:name w:val="四级条标题"/>
    <w:basedOn w:val="70"/>
    <w:next w:val="60"/>
    <w:qFormat/>
    <w:uiPriority w:val="0"/>
    <w:pPr>
      <w:tabs>
        <w:tab w:val="left" w:pos="360"/>
      </w:tabs>
      <w:ind w:left="0"/>
      <w:outlineLvl w:val="5"/>
    </w:pPr>
  </w:style>
  <w:style w:type="paragraph" w:customStyle="1" w:styleId="70">
    <w:name w:val="三级条标题"/>
    <w:basedOn w:val="62"/>
    <w:next w:val="60"/>
    <w:qFormat/>
    <w:uiPriority w:val="0"/>
    <w:pPr>
      <w:tabs>
        <w:tab w:val="left" w:pos="360"/>
      </w:tabs>
      <w:ind w:left="-180"/>
      <w:outlineLvl w:val="4"/>
    </w:pPr>
  </w:style>
  <w:style w:type="paragraph" w:customStyle="1" w:styleId="71">
    <w:name w:val="CM17"/>
    <w:basedOn w:val="72"/>
    <w:next w:val="72"/>
    <w:qFormat/>
    <w:uiPriority w:val="0"/>
    <w:pPr>
      <w:spacing w:line="468" w:lineRule="atLeast"/>
    </w:pPr>
    <w:rPr>
      <w:rFonts w:ascii="黑体" w:eastAsia="黑体" w:cs="Times New Roman"/>
      <w:color w:val="auto"/>
    </w:rPr>
  </w:style>
  <w:style w:type="paragraph" w:customStyle="1" w:styleId="7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73">
    <w:name w:val="CM9"/>
    <w:basedOn w:val="72"/>
    <w:next w:val="72"/>
    <w:qFormat/>
    <w:uiPriority w:val="0"/>
    <w:pPr>
      <w:spacing w:line="468" w:lineRule="atLeast"/>
    </w:pPr>
    <w:rPr>
      <w:rFonts w:ascii="黑体" w:eastAsia="黑体" w:cs="Times New Roman"/>
      <w:color w:val="auto"/>
    </w:rPr>
  </w:style>
  <w:style w:type="paragraph" w:customStyle="1" w:styleId="74">
    <w:name w:val="其他发布部门"/>
    <w:basedOn w:val="1"/>
    <w:qFormat/>
    <w:uiPriority w:val="0"/>
    <w:pPr>
      <w:framePr w:w="7433" w:h="585" w:hRule="exact" w:hSpace="180" w:vSpace="180" w:wrap="around" w:vAnchor="margin" w:hAnchor="margin" w:xAlign="center" w:y="14401" w:anchorLock="1"/>
      <w:widowControl/>
      <w:spacing w:line="0" w:lineRule="atLeast"/>
      <w:jc w:val="center"/>
    </w:pPr>
    <w:rPr>
      <w:rFonts w:ascii="黑体" w:eastAsia="黑体"/>
      <w:spacing w:val="20"/>
      <w:w w:val="135"/>
      <w:kern w:val="0"/>
      <w:sz w:val="36"/>
      <w:szCs w:val="20"/>
    </w:rPr>
  </w:style>
  <w:style w:type="paragraph" w:customStyle="1" w:styleId="75">
    <w:name w:val="CM23"/>
    <w:basedOn w:val="72"/>
    <w:next w:val="72"/>
    <w:qFormat/>
    <w:uiPriority w:val="0"/>
    <w:pPr>
      <w:spacing w:line="468" w:lineRule="atLeast"/>
    </w:pPr>
    <w:rPr>
      <w:rFonts w:ascii="黑体" w:eastAsia="黑体" w:cs="Times New Roman"/>
      <w:color w:val="auto"/>
    </w:rPr>
  </w:style>
  <w:style w:type="paragraph" w:customStyle="1" w:styleId="76">
    <w:name w:val="无标题条"/>
    <w:next w:val="60"/>
    <w:qFormat/>
    <w:uiPriority w:val="0"/>
    <w:pPr>
      <w:jc w:val="both"/>
    </w:pPr>
    <w:rPr>
      <w:rFonts w:ascii="Times New Roman" w:hAnsi="Times New Roman" w:eastAsia="宋体" w:cs="Times New Roman"/>
      <w:sz w:val="21"/>
      <w:lang w:val="en-US" w:eastAsia="zh-CN" w:bidi="ar-SA"/>
    </w:rPr>
  </w:style>
  <w:style w:type="paragraph" w:customStyle="1" w:styleId="77">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78">
    <w:name w:val="CM3"/>
    <w:basedOn w:val="72"/>
    <w:next w:val="72"/>
    <w:qFormat/>
    <w:uiPriority w:val="0"/>
    <w:pPr>
      <w:spacing w:line="468" w:lineRule="atLeast"/>
    </w:pPr>
    <w:rPr>
      <w:rFonts w:ascii="黑体" w:eastAsia="黑体" w:cs="Times New Roman"/>
      <w:color w:val="auto"/>
    </w:rPr>
  </w:style>
  <w:style w:type="paragraph" w:customStyle="1" w:styleId="79">
    <w:name w:val="Char Char Char Char Char Char Char Char Char Char Char Char"/>
    <w:basedOn w:val="1"/>
    <w:qFormat/>
    <w:uiPriority w:val="0"/>
    <w:pPr>
      <w:spacing w:line="360" w:lineRule="auto"/>
    </w:pPr>
    <w:rPr>
      <w:rFonts w:ascii="Tahoma" w:hAnsi="Tahoma"/>
      <w:sz w:val="24"/>
      <w:szCs w:val="20"/>
    </w:rPr>
  </w:style>
  <w:style w:type="paragraph" w:customStyle="1" w:styleId="80">
    <w:name w:val="正文表标题"/>
    <w:next w:val="60"/>
    <w:qFormat/>
    <w:uiPriority w:val="0"/>
    <w:pPr>
      <w:tabs>
        <w:tab w:val="left" w:pos="360"/>
        <w:tab w:val="left" w:pos="678"/>
      </w:tabs>
      <w:ind w:left="678" w:hanging="468"/>
      <w:jc w:val="center"/>
    </w:pPr>
    <w:rPr>
      <w:rFonts w:ascii="黑体" w:hAnsi="Times New Roman" w:eastAsia="黑体" w:cs="Times New Roman"/>
      <w:sz w:val="21"/>
      <w:lang w:val="en-US" w:eastAsia="zh-CN" w:bidi="ar-SA"/>
    </w:rPr>
  </w:style>
  <w:style w:type="paragraph" w:customStyle="1" w:styleId="81">
    <w:name w:val="CM10"/>
    <w:basedOn w:val="72"/>
    <w:next w:val="72"/>
    <w:qFormat/>
    <w:uiPriority w:val="0"/>
    <w:pPr>
      <w:spacing w:line="468" w:lineRule="atLeast"/>
    </w:pPr>
    <w:rPr>
      <w:rFonts w:ascii="黑体" w:eastAsia="黑体" w:cs="Times New Roman"/>
      <w:color w:val="auto"/>
    </w:rPr>
  </w:style>
  <w:style w:type="paragraph" w:customStyle="1" w:styleId="82">
    <w:name w:val="前言、引言标题"/>
    <w:next w:val="1"/>
    <w:qFormat/>
    <w:uiPriority w:val="0"/>
    <w:pPr>
      <w:shd w:val="clear" w:color="FFFFFF" w:fill="FFFFFF"/>
      <w:spacing w:before="640" w:after="560"/>
      <w:ind w:left="720" w:hanging="720"/>
      <w:jc w:val="center"/>
      <w:outlineLvl w:val="0"/>
    </w:pPr>
    <w:rPr>
      <w:rFonts w:ascii="黑体" w:hAnsi="Times New Roman" w:eastAsia="黑体" w:cs="Times New Roman"/>
      <w:sz w:val="32"/>
      <w:lang w:val="en-US" w:eastAsia="zh-CN" w:bidi="ar-SA"/>
    </w:rPr>
  </w:style>
  <w:style w:type="paragraph" w:customStyle="1" w:styleId="83">
    <w:name w:val="标准书眉一"/>
    <w:qFormat/>
    <w:uiPriority w:val="0"/>
    <w:pPr>
      <w:jc w:val="both"/>
    </w:pPr>
    <w:rPr>
      <w:rFonts w:ascii="Times New Roman" w:hAnsi="Times New Roman" w:eastAsia="宋体" w:cs="Times New Roman"/>
      <w:lang w:val="en-US" w:eastAsia="zh-CN" w:bidi="ar-SA"/>
    </w:rPr>
  </w:style>
  <w:style w:type="paragraph" w:customStyle="1" w:styleId="84">
    <w:name w:val="样式 标题 5 + 右侧:  1 字符"/>
    <w:basedOn w:val="7"/>
    <w:qFormat/>
    <w:uiPriority w:val="0"/>
    <w:pPr>
      <w:ind w:right="210"/>
    </w:pPr>
    <w:rPr>
      <w:bCs w:val="0"/>
      <w:szCs w:val="20"/>
    </w:rPr>
  </w:style>
  <w:style w:type="paragraph" w:customStyle="1" w:styleId="85">
    <w:name w:val="正文 New"/>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86">
    <w:name w:val="目次、标准名称标题"/>
    <w:basedOn w:val="82"/>
    <w:next w:val="60"/>
    <w:qFormat/>
    <w:uiPriority w:val="0"/>
    <w:pPr>
      <w:tabs>
        <w:tab w:val="left" w:pos="1140"/>
      </w:tabs>
      <w:spacing w:line="460" w:lineRule="exact"/>
      <w:ind w:left="0" w:firstLine="0"/>
    </w:pPr>
  </w:style>
  <w:style w:type="paragraph" w:customStyle="1" w:styleId="87">
    <w:name w:val="CM5"/>
    <w:basedOn w:val="72"/>
    <w:next w:val="72"/>
    <w:qFormat/>
    <w:uiPriority w:val="0"/>
    <w:pPr>
      <w:spacing w:line="471" w:lineRule="atLeast"/>
    </w:pPr>
    <w:rPr>
      <w:rFonts w:ascii="黑体" w:eastAsia="黑体" w:cs="Times New Roman"/>
      <w:color w:val="auto"/>
    </w:rPr>
  </w:style>
  <w:style w:type="paragraph" w:customStyle="1" w:styleId="88">
    <w:name w:val="前言首行"/>
    <w:basedOn w:val="1"/>
    <w:qFormat/>
    <w:uiPriority w:val="0"/>
    <w:pPr>
      <w:spacing w:after="120"/>
      <w:jc w:val="center"/>
    </w:pPr>
    <w:rPr>
      <w:rFonts w:eastAsia="黑体" w:cs="宋体"/>
      <w:b/>
      <w:bCs/>
      <w:sz w:val="32"/>
      <w:szCs w:val="20"/>
    </w:rPr>
  </w:style>
  <w:style w:type="paragraph" w:customStyle="1" w:styleId="89">
    <w:name w:val="标准称谓"/>
    <w:next w:val="1"/>
    <w:qFormat/>
    <w:uiPriority w:val="0"/>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Times New Roman" w:eastAsia="宋体" w:cs="Times New Roman"/>
      <w:b/>
      <w:bCs/>
      <w:spacing w:val="20"/>
      <w:w w:val="148"/>
      <w:sz w:val="52"/>
      <w:lang w:val="en-US" w:eastAsia="zh-CN" w:bidi="ar-SA"/>
    </w:rPr>
  </w:style>
  <w:style w:type="paragraph" w:customStyle="1" w:styleId="90">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91">
    <w:name w:val="五级条标题"/>
    <w:basedOn w:val="1"/>
    <w:next w:val="60"/>
    <w:qFormat/>
    <w:uiPriority w:val="0"/>
    <w:pPr>
      <w:widowControl/>
      <w:outlineLvl w:val="6"/>
    </w:pPr>
    <w:rPr>
      <w:rFonts w:ascii="黑体" w:eastAsia="黑体"/>
      <w:kern w:val="0"/>
      <w:szCs w:val="20"/>
    </w:rPr>
  </w:style>
  <w:style w:type="paragraph" w:customStyle="1" w:styleId="92">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93">
    <w:name w:val="CM22"/>
    <w:basedOn w:val="72"/>
    <w:next w:val="72"/>
    <w:qFormat/>
    <w:uiPriority w:val="0"/>
    <w:pPr>
      <w:spacing w:line="468" w:lineRule="atLeast"/>
    </w:pPr>
    <w:rPr>
      <w:rFonts w:ascii="黑体" w:eastAsia="黑体" w:cs="Times New Roman"/>
      <w:color w:val="auto"/>
    </w:rPr>
  </w:style>
  <w:style w:type="paragraph" w:customStyle="1" w:styleId="94">
    <w:name w:val="Char"/>
    <w:basedOn w:val="1"/>
    <w:qFormat/>
    <w:uiPriority w:val="0"/>
    <w:pPr>
      <w:spacing w:line="360" w:lineRule="auto"/>
    </w:pPr>
    <w:rPr>
      <w:rFonts w:ascii="Tahoma" w:hAnsi="Tahoma"/>
      <w:sz w:val="24"/>
      <w:szCs w:val="20"/>
    </w:rPr>
  </w:style>
  <w:style w:type="paragraph" w:customStyle="1" w:styleId="95">
    <w:name w:val="_Style 90"/>
    <w:semiHidden/>
    <w:qFormat/>
    <w:uiPriority w:val="99"/>
    <w:rPr>
      <w:rFonts w:ascii="Times New Roman" w:hAnsi="Times New Roman" w:eastAsia="宋体" w:cs="Times New Roman"/>
      <w:kern w:val="2"/>
      <w:sz w:val="21"/>
      <w:szCs w:val="24"/>
      <w:lang w:val="en-US" w:eastAsia="zh-CN" w:bidi="ar-SA"/>
    </w:rPr>
  </w:style>
  <w:style w:type="paragraph" w:customStyle="1" w:styleId="96">
    <w:name w:val="样式1"/>
    <w:basedOn w:val="5"/>
    <w:qFormat/>
    <w:uiPriority w:val="0"/>
    <w:pPr>
      <w:tabs>
        <w:tab w:val="left" w:pos="360"/>
      </w:tabs>
    </w:pPr>
    <w:rPr>
      <w:rFonts w:hAnsi="宋体"/>
      <w:bCs w:val="0"/>
    </w:rPr>
  </w:style>
  <w:style w:type="paragraph" w:styleId="97">
    <w:name w:val="List Paragraph"/>
    <w:basedOn w:val="1"/>
    <w:qFormat/>
    <w:uiPriority w:val="0"/>
    <w:pPr>
      <w:ind w:firstLine="420" w:firstLineChars="200"/>
    </w:pPr>
    <w:rPr>
      <w:rFonts w:ascii="Calibri" w:hAnsi="Calibri"/>
      <w:szCs w:val="22"/>
    </w:rPr>
  </w:style>
  <w:style w:type="paragraph" w:customStyle="1" w:styleId="98">
    <w:name w:val="tabletext"/>
    <w:basedOn w:val="1"/>
    <w:qFormat/>
    <w:uiPriority w:val="0"/>
    <w:pPr>
      <w:widowControl/>
      <w:spacing w:before="100" w:beforeAutospacing="1" w:after="100" w:afterAutospacing="1"/>
      <w:jc w:val="left"/>
    </w:pPr>
    <w:rPr>
      <w:rFonts w:ascii="宋体" w:hAnsi="宋体"/>
      <w:kern w:val="0"/>
      <w:sz w:val="24"/>
    </w:rPr>
  </w:style>
  <w:style w:type="paragraph" w:customStyle="1" w:styleId="99">
    <w:name w:val="Char1"/>
    <w:basedOn w:val="1"/>
    <w:qFormat/>
    <w:uiPriority w:val="0"/>
    <w:rPr>
      <w:szCs w:val="20"/>
    </w:rPr>
  </w:style>
  <w:style w:type="paragraph" w:customStyle="1" w:styleId="100">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101">
    <w:name w:val="CM33"/>
    <w:basedOn w:val="72"/>
    <w:next w:val="72"/>
    <w:qFormat/>
    <w:uiPriority w:val="0"/>
    <w:pPr>
      <w:spacing w:after="205"/>
    </w:pPr>
    <w:rPr>
      <w:rFonts w:ascii="黑体" w:eastAsia="黑体" w:cs="Times New Roman"/>
      <w:color w:val="auto"/>
    </w:rPr>
  </w:style>
  <w:style w:type="character" w:customStyle="1" w:styleId="102">
    <w:name w:val="font21"/>
    <w:qFormat/>
    <w:uiPriority w:val="0"/>
    <w:rPr>
      <w:rFonts w:hint="eastAsia" w:ascii="宋体" w:hAnsi="宋体" w:eastAsia="宋体" w:cs="宋体"/>
      <w:color w:val="000000"/>
      <w:sz w:val="21"/>
      <w:szCs w:val="21"/>
      <w:u w:val="none"/>
    </w:rPr>
  </w:style>
  <w:style w:type="character" w:customStyle="1" w:styleId="103">
    <w:name w:val="font01"/>
    <w:qFormat/>
    <w:uiPriority w:val="0"/>
    <w:rPr>
      <w:rFonts w:hint="eastAsia" w:ascii="宋体" w:hAnsi="宋体" w:eastAsia="宋体" w:cs="宋体"/>
      <w:color w:val="000000"/>
      <w:sz w:val="20"/>
      <w:szCs w:val="20"/>
      <w:u w:val="none"/>
    </w:rPr>
  </w:style>
  <w:style w:type="character" w:customStyle="1" w:styleId="104">
    <w:name w:val="15"/>
    <w:qFormat/>
    <w:uiPriority w:val="0"/>
    <w:rPr>
      <w:rFonts w:hint="eastAsia" w:ascii="宋体" w:hAnsi="宋体" w:eastAsia="宋体"/>
      <w:color w:val="000000"/>
      <w:sz w:val="24"/>
      <w:szCs w:val="24"/>
    </w:rPr>
  </w:style>
  <w:style w:type="paragraph" w:styleId="105">
    <w:name w:val="No Spacing"/>
    <w:qFormat/>
    <w:uiPriority w:val="1"/>
    <w:pPr>
      <w:widowControl w:val="0"/>
      <w:jc w:val="both"/>
    </w:pPr>
    <w:rPr>
      <w:rFonts w:ascii="等线" w:hAnsi="等线" w:eastAsia="等线" w:cs="Times New Roman"/>
      <w:kern w:val="2"/>
      <w:sz w:val="21"/>
      <w:szCs w:val="22"/>
      <w:lang w:val="en-US" w:eastAsia="zh-CN" w:bidi="ar-SA"/>
    </w:rPr>
  </w:style>
  <w:style w:type="paragraph" w:customStyle="1" w:styleId="106">
    <w:name w:val="5宋正文"/>
    <w:basedOn w:val="107"/>
    <w:qFormat/>
    <w:uiPriority w:val="0"/>
    <w:pPr>
      <w:ind w:firstLine="420"/>
    </w:pPr>
    <w:rPr>
      <w:rFonts w:ascii="宋体" w:hAnsi="宋体" w:cs="Times New Roman"/>
    </w:rPr>
  </w:style>
  <w:style w:type="paragraph" w:customStyle="1" w:styleId="107">
    <w:name w:val="样式 正文 样式 四号 行距: 1.5 倍行距 首行缩进:  2 字符 + 小四 首行缩进:  2 字符"/>
    <w:basedOn w:val="1"/>
    <w:qFormat/>
    <w:uiPriority w:val="0"/>
    <w:pPr>
      <w:spacing w:line="360" w:lineRule="auto"/>
      <w:ind w:firstLine="480"/>
    </w:pPr>
    <w:rPr>
      <w:rFonts w:cs="宋体"/>
      <w:szCs w:val="20"/>
    </w:rPr>
  </w:style>
  <w:style w:type="character" w:customStyle="1" w:styleId="108">
    <w:name w:val="font11"/>
    <w:basedOn w:val="34"/>
    <w:qFormat/>
    <w:uiPriority w:val="0"/>
    <w:rPr>
      <w:rFonts w:hint="default" w:ascii="等线" w:hAnsi="等线" w:eastAsia="等线" w:cs="等线"/>
      <w:color w:val="000000"/>
      <w:sz w:val="22"/>
      <w:szCs w:val="22"/>
      <w:u w:val="none"/>
    </w:rPr>
  </w:style>
  <w:style w:type="character" w:customStyle="1" w:styleId="109">
    <w:name w:val="font31"/>
    <w:basedOn w:val="34"/>
    <w:qFormat/>
    <w:uiPriority w:val="0"/>
    <w:rPr>
      <w:rFonts w:hint="eastAsia" w:ascii="宋体" w:hAnsi="宋体" w:eastAsia="宋体" w:cs="宋体"/>
      <w:color w:val="FF0000"/>
      <w:sz w:val="22"/>
      <w:szCs w:val="22"/>
      <w:u w:val="none"/>
    </w:rPr>
  </w:style>
  <w:style w:type="paragraph" w:customStyle="1" w:styleId="110">
    <w:name w:val="_Style 12"/>
    <w:basedOn w:val="1"/>
    <w:next w:val="97"/>
    <w:qFormat/>
    <w:uiPriority w:val="34"/>
    <w:pPr>
      <w:ind w:firstLine="420" w:firstLineChars="200"/>
    </w:pPr>
    <w:rPr>
      <w:rFonts w:ascii="Calibri" w:hAnsi="Calibri"/>
      <w:szCs w:val="22"/>
    </w:rPr>
  </w:style>
  <w:style w:type="paragraph" w:customStyle="1" w:styleId="111">
    <w:name w:val="正文360首行缩进"/>
    <w:basedOn w:val="1"/>
    <w:qFormat/>
    <w:uiPriority w:val="0"/>
    <w:pPr>
      <w:ind w:firstLine="200" w:firstLineChars="200"/>
    </w:pPr>
  </w:style>
  <w:style w:type="character" w:customStyle="1" w:styleId="112">
    <w:name w:val="font101"/>
    <w:basedOn w:val="34"/>
    <w:qFormat/>
    <w:uiPriority w:val="0"/>
    <w:rPr>
      <w:rFonts w:ascii="Helvetica" w:hAnsi="Helvetica" w:eastAsia="Helvetica" w:cs="Helvetica"/>
      <w:color w:val="333333"/>
      <w:sz w:val="21"/>
      <w:szCs w:val="21"/>
      <w:u w:val="none"/>
    </w:rPr>
  </w:style>
  <w:style w:type="character" w:customStyle="1" w:styleId="113">
    <w:name w:val="font51"/>
    <w:basedOn w:val="34"/>
    <w:qFormat/>
    <w:uiPriority w:val="0"/>
    <w:rPr>
      <w:rFonts w:hint="eastAsia" w:ascii="等线" w:hAnsi="等线" w:eastAsia="等线" w:cs="等线"/>
      <w:color w:val="000000"/>
      <w:sz w:val="21"/>
      <w:szCs w:val="21"/>
      <w:u w:val="none"/>
    </w:rPr>
  </w:style>
  <w:style w:type="character" w:customStyle="1" w:styleId="114">
    <w:name w:val="font41"/>
    <w:basedOn w:val="34"/>
    <w:qFormat/>
    <w:uiPriority w:val="0"/>
    <w:rPr>
      <w:rFonts w:hint="eastAsia" w:ascii="宋体" w:hAnsi="宋体" w:eastAsia="宋体" w:cs="宋体"/>
      <w:color w:val="FF0000"/>
      <w:sz w:val="20"/>
      <w:szCs w:val="20"/>
      <w:u w:val="none"/>
    </w:rPr>
  </w:style>
  <w:style w:type="character" w:customStyle="1" w:styleId="115">
    <w:name w:val="font61"/>
    <w:basedOn w:val="34"/>
    <w:qFormat/>
    <w:uiPriority w:val="0"/>
    <w:rPr>
      <w:rFonts w:hint="eastAsia" w:ascii="宋体" w:hAnsi="宋体" w:eastAsia="宋体" w:cs="宋体"/>
      <w:color w:val="000000"/>
      <w:sz w:val="20"/>
      <w:szCs w:val="20"/>
      <w:u w:val="none"/>
    </w:rPr>
  </w:style>
  <w:style w:type="character" w:customStyle="1" w:styleId="116">
    <w:name w:val="标题 2 字符"/>
    <w:link w:val="3"/>
    <w:qFormat/>
    <w:uiPriority w:val="0"/>
    <w:rPr>
      <w:rFonts w:ascii="宋体"/>
      <w:bCs/>
      <w:szCs w:val="21"/>
    </w:rPr>
  </w:style>
  <w:style w:type="paragraph" w:customStyle="1" w:styleId="117">
    <w:name w:val="修订1"/>
    <w:hidden/>
    <w:unhideWhenUsed/>
    <w:qFormat/>
    <w:uiPriority w:val="99"/>
    <w:rPr>
      <w:rFonts w:ascii="Times New Roman" w:hAnsi="Times New Roman" w:eastAsia="宋体" w:cs="Times New Roman"/>
      <w:kern w:val="2"/>
      <w:sz w:val="21"/>
      <w:szCs w:val="24"/>
      <w:lang w:val="en-US" w:eastAsia="zh-CN" w:bidi="ar-SA"/>
    </w:rPr>
  </w:style>
  <w:style w:type="character" w:customStyle="1" w:styleId="118">
    <w:name w:val="批注文字 字符"/>
    <w:basedOn w:val="34"/>
    <w:link w:val="14"/>
    <w:qFormat/>
    <w:uiPriority w:val="0"/>
    <w:rPr>
      <w:kern w:val="2"/>
      <w:sz w:val="21"/>
      <w:szCs w:val="24"/>
    </w:rPr>
  </w:style>
  <w:style w:type="character" w:customStyle="1" w:styleId="119">
    <w:name w:val="标题 3 字符"/>
    <w:basedOn w:val="34"/>
    <w:link w:val="4"/>
    <w:qFormat/>
    <w:uiPriority w:val="0"/>
    <w:rPr>
      <w:rFonts w:ascii="宋体"/>
      <w:bCs/>
      <w:kern w:val="2"/>
      <w:sz w:val="21"/>
      <w:szCs w:val="21"/>
    </w:rPr>
  </w:style>
  <w:style w:type="character" w:customStyle="1" w:styleId="120">
    <w:name w:val="标题 6 字符"/>
    <w:basedOn w:val="34"/>
    <w:link w:val="8"/>
    <w:qFormat/>
    <w:uiPriority w:val="0"/>
    <w:rPr>
      <w:rFonts w:ascii="Arial" w:hAnsi="Arial" w:eastAsia="黑体"/>
      <w:b/>
      <w:bCs/>
      <w:kern w:val="2"/>
      <w:sz w:val="24"/>
      <w:szCs w:val="24"/>
    </w:rPr>
  </w:style>
  <w:style w:type="character" w:customStyle="1" w:styleId="121">
    <w:name w:val="标题 7 字符"/>
    <w:basedOn w:val="34"/>
    <w:link w:val="9"/>
    <w:qFormat/>
    <w:uiPriority w:val="0"/>
    <w:rPr>
      <w:b/>
      <w:bCs/>
      <w:kern w:val="2"/>
      <w:sz w:val="24"/>
      <w:szCs w:val="24"/>
    </w:rPr>
  </w:style>
  <w:style w:type="character" w:customStyle="1" w:styleId="122">
    <w:name w:val="标题 8 字符"/>
    <w:basedOn w:val="34"/>
    <w:link w:val="10"/>
    <w:qFormat/>
    <w:uiPriority w:val="0"/>
    <w:rPr>
      <w:rFonts w:ascii="Arial" w:hAnsi="Arial" w:eastAsia="黑体"/>
      <w:kern w:val="2"/>
      <w:sz w:val="24"/>
      <w:szCs w:val="24"/>
    </w:rPr>
  </w:style>
  <w:style w:type="character" w:customStyle="1" w:styleId="123">
    <w:name w:val="标题 9 字符"/>
    <w:basedOn w:val="34"/>
    <w:link w:val="11"/>
    <w:qFormat/>
    <w:uiPriority w:val="0"/>
    <w:rPr>
      <w:rFonts w:ascii="Arial" w:hAnsi="Arial" w:eastAsia="黑体"/>
      <w:kern w:val="2"/>
      <w:sz w:val="21"/>
      <w:szCs w:val="21"/>
    </w:rPr>
  </w:style>
  <w:style w:type="character" w:customStyle="1" w:styleId="124">
    <w:name w:val="标题 字符"/>
    <w:basedOn w:val="34"/>
    <w:link w:val="16"/>
    <w:qFormat/>
    <w:uiPriority w:val="0"/>
    <w:rPr>
      <w:rFonts w:ascii="Arial" w:hAnsi="Arial" w:cs="Arial"/>
      <w:b/>
      <w:bCs/>
      <w:kern w:val="2"/>
      <w:sz w:val="32"/>
      <w:szCs w:val="32"/>
    </w:rPr>
  </w:style>
  <w:style w:type="character" w:customStyle="1" w:styleId="125">
    <w:name w:val="正文文本缩进 字符"/>
    <w:basedOn w:val="34"/>
    <w:link w:val="17"/>
    <w:qFormat/>
    <w:uiPriority w:val="99"/>
    <w:rPr>
      <w:kern w:val="2"/>
      <w:sz w:val="21"/>
      <w:szCs w:val="24"/>
    </w:rPr>
  </w:style>
  <w:style w:type="character" w:customStyle="1" w:styleId="126">
    <w:name w:val="日期 字符"/>
    <w:basedOn w:val="34"/>
    <w:link w:val="21"/>
    <w:qFormat/>
    <w:uiPriority w:val="0"/>
    <w:rPr>
      <w:kern w:val="2"/>
      <w:sz w:val="21"/>
      <w:szCs w:val="24"/>
    </w:rPr>
  </w:style>
  <w:style w:type="character" w:customStyle="1" w:styleId="127">
    <w:name w:val="正文文本缩进 2 字符"/>
    <w:basedOn w:val="34"/>
    <w:link w:val="22"/>
    <w:qFormat/>
    <w:uiPriority w:val="0"/>
    <w:rPr>
      <w:rFonts w:eastAsia="仿宋_GB2312"/>
      <w:sz w:val="28"/>
    </w:rPr>
  </w:style>
  <w:style w:type="character" w:customStyle="1" w:styleId="128">
    <w:name w:val="批注框文本 字符"/>
    <w:basedOn w:val="34"/>
    <w:link w:val="23"/>
    <w:semiHidden/>
    <w:qFormat/>
    <w:uiPriority w:val="0"/>
    <w:rPr>
      <w:kern w:val="2"/>
      <w:sz w:val="18"/>
      <w:szCs w:val="18"/>
    </w:rPr>
  </w:style>
  <w:style w:type="character" w:customStyle="1" w:styleId="129">
    <w:name w:val="页眉 字符"/>
    <w:basedOn w:val="34"/>
    <w:link w:val="25"/>
    <w:qFormat/>
    <w:uiPriority w:val="0"/>
    <w:rPr>
      <w:kern w:val="2"/>
      <w:sz w:val="18"/>
      <w:szCs w:val="18"/>
    </w:rPr>
  </w:style>
  <w:style w:type="character" w:customStyle="1" w:styleId="130">
    <w:name w:val="批注主题 字符"/>
    <w:basedOn w:val="118"/>
    <w:link w:val="29"/>
    <w:semiHidden/>
    <w:qFormat/>
    <w:uiPriority w:val="0"/>
    <w:rPr>
      <w:b/>
      <w:bCs/>
      <w:kern w:val="2"/>
      <w:sz w:val="21"/>
      <w:szCs w:val="24"/>
    </w:rPr>
  </w:style>
  <w:style w:type="character" w:customStyle="1" w:styleId="131">
    <w:name w:val="正文文本首行缩进 字符"/>
    <w:basedOn w:val="46"/>
    <w:link w:val="30"/>
    <w:qFormat/>
    <w:uiPriority w:val="0"/>
    <w:rPr>
      <w:kern w:val="2"/>
      <w:sz w:val="21"/>
      <w:szCs w:val="24"/>
    </w:rPr>
  </w:style>
  <w:style w:type="character" w:customStyle="1" w:styleId="132">
    <w:name w:val="正文文本首行缩进 2 字符"/>
    <w:basedOn w:val="125"/>
    <w:link w:val="31"/>
    <w:qFormat/>
    <w:uiPriority w:val="0"/>
    <w:rPr>
      <w:kern w:val="2"/>
      <w:sz w:val="21"/>
      <w:szCs w:val="24"/>
    </w:rPr>
  </w:style>
  <w:style w:type="paragraph" w:customStyle="1" w:styleId="133">
    <w:name w:val="msonormal"/>
    <w:basedOn w:val="1"/>
    <w:qFormat/>
    <w:uiPriority w:val="0"/>
    <w:pPr>
      <w:widowControl/>
      <w:spacing w:before="100" w:beforeAutospacing="1" w:after="100" w:afterAutospacing="1"/>
      <w:jc w:val="left"/>
    </w:pPr>
    <w:rPr>
      <w:rFonts w:ascii="宋体" w:hAnsi="宋体" w:cs="宋体"/>
      <w:kern w:val="0"/>
      <w:sz w:val="24"/>
    </w:rPr>
  </w:style>
  <w:style w:type="paragraph" w:customStyle="1" w:styleId="134">
    <w:name w:val="xl65"/>
    <w:basedOn w:val="1"/>
    <w:qFormat/>
    <w:uiPriority w:val="0"/>
    <w:pPr>
      <w:widowControl/>
      <w:pBdr>
        <w:bottom w:val="single" w:color="000000" w:sz="8" w:space="0"/>
        <w:right w:val="single" w:color="000000" w:sz="8" w:space="0"/>
      </w:pBdr>
      <w:spacing w:before="100" w:beforeAutospacing="1" w:after="100" w:afterAutospacing="1"/>
      <w:jc w:val="center"/>
    </w:pPr>
    <w:rPr>
      <w:rFonts w:ascii="宋体" w:hAnsi="宋体" w:cs="宋体"/>
      <w:color w:val="000000"/>
      <w:kern w:val="0"/>
      <w:sz w:val="18"/>
      <w:szCs w:val="18"/>
    </w:rPr>
  </w:style>
  <w:style w:type="paragraph" w:customStyle="1" w:styleId="135">
    <w:name w:val="xl66"/>
    <w:basedOn w:val="1"/>
    <w:qFormat/>
    <w:uiPriority w:val="0"/>
    <w:pPr>
      <w:widowControl/>
      <w:pBdr>
        <w:bottom w:val="single" w:color="000000" w:sz="8" w:space="0"/>
        <w:right w:val="single" w:color="000000" w:sz="8" w:space="0"/>
      </w:pBdr>
      <w:spacing w:before="100" w:beforeAutospacing="1" w:after="100" w:afterAutospacing="1"/>
      <w:jc w:val="center"/>
    </w:pPr>
    <w:rPr>
      <w:rFonts w:ascii="宋体" w:hAnsi="宋体" w:cs="宋体"/>
      <w:color w:val="000000"/>
      <w:kern w:val="0"/>
      <w:sz w:val="18"/>
      <w:szCs w:val="18"/>
    </w:rPr>
  </w:style>
  <w:style w:type="paragraph" w:customStyle="1" w:styleId="136">
    <w:name w:val="xl67"/>
    <w:basedOn w:val="1"/>
    <w:qFormat/>
    <w:uiPriority w:val="0"/>
    <w:pPr>
      <w:widowControl/>
      <w:pBdr>
        <w:left w:val="single" w:color="000000" w:sz="8" w:space="0"/>
        <w:bottom w:val="single" w:color="000000" w:sz="8" w:space="0"/>
        <w:right w:val="single" w:color="000000" w:sz="8" w:space="0"/>
      </w:pBdr>
      <w:spacing w:before="100" w:beforeAutospacing="1" w:after="100" w:afterAutospacing="1"/>
      <w:jc w:val="center"/>
    </w:pPr>
    <w:rPr>
      <w:rFonts w:ascii="宋体" w:hAnsi="宋体" w:cs="宋体"/>
      <w:color w:val="000000"/>
      <w:kern w:val="0"/>
      <w:sz w:val="18"/>
      <w:szCs w:val="18"/>
    </w:rPr>
  </w:style>
  <w:style w:type="paragraph" w:customStyle="1" w:styleId="137">
    <w:name w:val="xl68"/>
    <w:basedOn w:val="1"/>
    <w:qFormat/>
    <w:uiPriority w:val="0"/>
    <w:pPr>
      <w:widowControl/>
      <w:pBdr>
        <w:bottom w:val="single" w:color="000000" w:sz="8" w:space="0"/>
        <w:right w:val="single" w:color="000000" w:sz="8" w:space="0"/>
      </w:pBdr>
      <w:spacing w:before="100" w:beforeAutospacing="1" w:after="100" w:afterAutospacing="1"/>
      <w:jc w:val="left"/>
    </w:pPr>
    <w:rPr>
      <w:rFonts w:ascii="宋体" w:hAnsi="宋体" w:cs="宋体"/>
      <w:color w:val="000000"/>
      <w:kern w:val="0"/>
      <w:sz w:val="18"/>
      <w:szCs w:val="18"/>
    </w:rPr>
  </w:style>
  <w:style w:type="paragraph" w:customStyle="1" w:styleId="138">
    <w:name w:val="xl69"/>
    <w:basedOn w:val="1"/>
    <w:qFormat/>
    <w:uiPriority w:val="0"/>
    <w:pPr>
      <w:widowControl/>
      <w:pBdr>
        <w:bottom w:val="single" w:color="000000" w:sz="8" w:space="0"/>
        <w:right w:val="single" w:color="000000" w:sz="8" w:space="0"/>
      </w:pBdr>
      <w:spacing w:before="100" w:beforeAutospacing="1" w:after="100" w:afterAutospacing="1"/>
    </w:pPr>
    <w:rPr>
      <w:rFonts w:ascii="Calibri" w:hAnsi="Calibri" w:cs="Calibri"/>
      <w:color w:val="000000"/>
      <w:kern w:val="0"/>
      <w:sz w:val="18"/>
      <w:szCs w:val="18"/>
    </w:rPr>
  </w:style>
  <w:style w:type="paragraph" w:customStyle="1" w:styleId="139">
    <w:name w:val="xl70"/>
    <w:basedOn w:val="1"/>
    <w:qFormat/>
    <w:uiPriority w:val="0"/>
    <w:pPr>
      <w:widowControl/>
      <w:pBdr>
        <w:bottom w:val="single" w:color="000000" w:sz="8" w:space="0"/>
        <w:right w:val="single" w:color="000000" w:sz="8" w:space="0"/>
      </w:pBdr>
      <w:spacing w:before="100" w:beforeAutospacing="1" w:after="100" w:afterAutospacing="1"/>
      <w:jc w:val="left"/>
    </w:pPr>
    <w:rPr>
      <w:rFonts w:ascii="宋体" w:hAnsi="宋体" w:cs="宋体"/>
      <w:color w:val="000000"/>
      <w:kern w:val="0"/>
      <w:sz w:val="18"/>
      <w:szCs w:val="18"/>
    </w:rPr>
  </w:style>
  <w:style w:type="paragraph" w:customStyle="1" w:styleId="140">
    <w:name w:val="xl71"/>
    <w:basedOn w:val="1"/>
    <w:qFormat/>
    <w:uiPriority w:val="0"/>
    <w:pPr>
      <w:widowControl/>
      <w:pBdr>
        <w:top w:val="single" w:color="000000" w:sz="8" w:space="0"/>
        <w:left w:val="single" w:color="000000" w:sz="8" w:space="0"/>
        <w:right w:val="single" w:color="000000" w:sz="8" w:space="0"/>
      </w:pBdr>
      <w:spacing w:before="100" w:beforeAutospacing="1" w:after="100" w:afterAutospacing="1"/>
      <w:jc w:val="center"/>
    </w:pPr>
    <w:rPr>
      <w:rFonts w:ascii="宋体" w:hAnsi="宋体" w:cs="宋体"/>
      <w:color w:val="000000"/>
      <w:kern w:val="0"/>
      <w:sz w:val="18"/>
      <w:szCs w:val="18"/>
    </w:rPr>
  </w:style>
  <w:style w:type="paragraph" w:customStyle="1" w:styleId="141">
    <w:name w:val="xl72"/>
    <w:basedOn w:val="1"/>
    <w:qFormat/>
    <w:uiPriority w:val="0"/>
    <w:pPr>
      <w:widowControl/>
      <w:pBdr>
        <w:top w:val="single" w:color="000000" w:sz="8" w:space="0"/>
        <w:left w:val="single" w:color="000000" w:sz="8" w:space="0"/>
        <w:bottom w:val="single" w:color="000000" w:sz="8" w:space="0"/>
      </w:pBdr>
      <w:spacing w:before="100" w:beforeAutospacing="1" w:after="100" w:afterAutospacing="1"/>
      <w:jc w:val="center"/>
    </w:pPr>
    <w:rPr>
      <w:rFonts w:ascii="宋体" w:hAnsi="宋体" w:cs="宋体"/>
      <w:color w:val="000000"/>
      <w:kern w:val="0"/>
      <w:sz w:val="18"/>
      <w:szCs w:val="18"/>
    </w:rPr>
  </w:style>
  <w:style w:type="paragraph" w:customStyle="1" w:styleId="142">
    <w:name w:val="xl73"/>
    <w:basedOn w:val="1"/>
    <w:qFormat/>
    <w:uiPriority w:val="0"/>
    <w:pPr>
      <w:widowControl/>
      <w:pBdr>
        <w:top w:val="single" w:color="000000" w:sz="8" w:space="0"/>
        <w:bottom w:val="single" w:color="000000" w:sz="8" w:space="0"/>
        <w:right w:val="single" w:color="000000" w:sz="8" w:space="0"/>
      </w:pBdr>
      <w:spacing w:before="100" w:beforeAutospacing="1" w:after="100" w:afterAutospacing="1"/>
      <w:jc w:val="center"/>
    </w:pPr>
    <w:rPr>
      <w:rFonts w:ascii="宋体" w:hAnsi="宋体" w:cs="宋体"/>
      <w:color w:val="000000"/>
      <w:kern w:val="0"/>
      <w:sz w:val="18"/>
      <w:szCs w:val="18"/>
    </w:rPr>
  </w:style>
  <w:style w:type="paragraph" w:customStyle="1" w:styleId="143">
    <w:name w:val="xl74"/>
    <w:basedOn w:val="1"/>
    <w:qFormat/>
    <w:uiPriority w:val="0"/>
    <w:pPr>
      <w:widowControl/>
      <w:pBdr>
        <w:top w:val="single" w:color="000000" w:sz="8" w:space="0"/>
        <w:left w:val="single" w:color="000000" w:sz="8" w:space="0"/>
        <w:bottom w:val="single" w:color="000000" w:sz="8" w:space="0"/>
      </w:pBdr>
      <w:spacing w:before="100" w:beforeAutospacing="1" w:after="100" w:afterAutospacing="1"/>
      <w:jc w:val="left"/>
    </w:pPr>
    <w:rPr>
      <w:rFonts w:ascii="宋体" w:hAnsi="宋体" w:cs="宋体"/>
      <w:color w:val="000000"/>
      <w:kern w:val="0"/>
      <w:sz w:val="18"/>
      <w:szCs w:val="18"/>
    </w:rPr>
  </w:style>
  <w:style w:type="paragraph" w:customStyle="1" w:styleId="144">
    <w:name w:val="xl75"/>
    <w:basedOn w:val="1"/>
    <w:qFormat/>
    <w:uiPriority w:val="0"/>
    <w:pPr>
      <w:widowControl/>
      <w:pBdr>
        <w:top w:val="single" w:color="000000" w:sz="8" w:space="0"/>
        <w:left w:val="single" w:color="000000" w:sz="8" w:space="0"/>
        <w:right w:val="single" w:color="000000" w:sz="8" w:space="0"/>
      </w:pBdr>
      <w:spacing w:before="100" w:beforeAutospacing="1" w:after="100" w:afterAutospacing="1"/>
      <w:jc w:val="center"/>
    </w:pPr>
    <w:rPr>
      <w:rFonts w:ascii="宋体" w:hAnsi="宋体" w:cs="宋体"/>
      <w:color w:val="000000"/>
      <w:kern w:val="0"/>
      <w:sz w:val="18"/>
      <w:szCs w:val="18"/>
    </w:rPr>
  </w:style>
  <w:style w:type="paragraph" w:customStyle="1" w:styleId="145">
    <w:name w:val="xl76"/>
    <w:basedOn w:val="1"/>
    <w:qFormat/>
    <w:uiPriority w:val="0"/>
    <w:pPr>
      <w:widowControl/>
      <w:pBdr>
        <w:left w:val="single" w:color="000000" w:sz="8" w:space="0"/>
        <w:bottom w:val="single" w:color="000000" w:sz="8" w:space="0"/>
        <w:right w:val="single" w:color="000000" w:sz="8" w:space="0"/>
      </w:pBdr>
      <w:spacing w:before="100" w:beforeAutospacing="1" w:after="100" w:afterAutospacing="1"/>
      <w:jc w:val="center"/>
    </w:pPr>
    <w:rPr>
      <w:rFonts w:ascii="宋体" w:hAnsi="宋体" w:cs="宋体"/>
      <w:color w:val="000000"/>
      <w:kern w:val="0"/>
      <w:sz w:val="18"/>
      <w:szCs w:val="18"/>
    </w:rPr>
  </w:style>
  <w:style w:type="paragraph" w:customStyle="1" w:styleId="146">
    <w:name w:val="xl77"/>
    <w:basedOn w:val="1"/>
    <w:qFormat/>
    <w:uiPriority w:val="0"/>
    <w:pPr>
      <w:widowControl/>
      <w:spacing w:before="100" w:beforeAutospacing="1" w:after="100" w:afterAutospacing="1"/>
      <w:jc w:val="left"/>
    </w:pPr>
    <w:rPr>
      <w:rFonts w:ascii="宋体" w:hAnsi="宋体" w:cs="宋体"/>
      <w:kern w:val="0"/>
      <w:sz w:val="24"/>
    </w:rPr>
  </w:style>
  <w:style w:type="paragraph" w:customStyle="1" w:styleId="147">
    <w:name w:val="Revision"/>
    <w:hidden/>
    <w:unhideWhenUsed/>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B027CD-72A3-4E5F-B60C-63D52A623C56}">
  <ds:schemaRefs/>
</ds:datastoreItem>
</file>

<file path=docProps/app.xml><?xml version="1.0" encoding="utf-8"?>
<Properties xmlns="http://schemas.openxmlformats.org/officeDocument/2006/extended-properties" xmlns:vt="http://schemas.openxmlformats.org/officeDocument/2006/docPropsVTypes">
  <Template>Normal.dotm</Template>
  <Pages>45</Pages>
  <Words>8872</Words>
  <Characters>10761</Characters>
  <Lines>2033</Lines>
  <Paragraphs>1002</Paragraphs>
  <TotalTime>1</TotalTime>
  <ScaleCrop>false</ScaleCrop>
  <LinksUpToDate>false</LinksUpToDate>
  <CharactersWithSpaces>11014</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2025-10-13T03:37:00Z</dcterms:created>
  <cp:lastPrinted>2025-08-28T03:10:00Z</cp:lastPrinted>
  <dcterms:modified xsi:type="dcterms:W3CDTF">2025-10-13T07:38:43Z</dcterms:modified>
  <dc:title> </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状态">
    <vt:lpwstr>xxx</vt:lpwstr>
  </property>
  <property fmtid="{D5CDD505-2E9C-101B-9397-08002B2CF9AE}" pid="3" name="KSOProductBuildVer">
    <vt:lpwstr>2052-11.8.2.12309</vt:lpwstr>
  </property>
  <property fmtid="{D5CDD505-2E9C-101B-9397-08002B2CF9AE}" pid="4" name="ICV">
    <vt:lpwstr>1C0A781143934F8F876FC857435B56BB_13</vt:lpwstr>
  </property>
  <property fmtid="{D5CDD505-2E9C-101B-9397-08002B2CF9AE}" pid="5" name="commondata">
    <vt:lpwstr>eyJoZGlkIjoiMGYxNDczZmZmNTE0M2M5MjIxMTFmZjhlZDg3MTUxZjEifQ==</vt:lpwstr>
  </property>
  <property fmtid="{D5CDD505-2E9C-101B-9397-08002B2CF9AE}" pid="6" name="KSOTemplateDocerSaveRecord">
    <vt:lpwstr>eyJoZGlkIjoiMTgyY2Y5Y2UxZjkwY2NiYzg1MTM4ZmQzOTFhYWJhY2IiLCJ1c2VySWQiOiIzMTEwMjAzNTEifQ==</vt:lpwstr>
  </property>
</Properties>
</file>