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rPr>
      </w:pPr>
      <w:r>
        <w:rPr>
          <w:color w:val="auto"/>
        </w:rPr>
        <w:drawing>
          <wp:anchor distT="0" distB="0" distL="114300" distR="114300" simplePos="0" relativeHeight="251659264" behindDoc="1" locked="0" layoutInCell="1" allowOverlap="1">
            <wp:simplePos x="0" y="0"/>
            <wp:positionH relativeFrom="page">
              <wp:posOffset>-86995</wp:posOffset>
            </wp:positionH>
            <wp:positionV relativeFrom="paragraph">
              <wp:posOffset>-915035</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rPr>
        <w:drawing>
          <wp:anchor distT="0" distB="0" distL="114300" distR="114300" simplePos="0" relativeHeight="251660288" behindDoc="0" locked="0" layoutInCell="1" allowOverlap="1">
            <wp:simplePos x="0" y="0"/>
            <wp:positionH relativeFrom="page">
              <wp:posOffset>342900</wp:posOffset>
            </wp:positionH>
            <wp:positionV relativeFrom="paragraph">
              <wp:posOffset>827405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rPr>
          <w:rFonts w:ascii="宋体" w:hAnsi="宋体"/>
          <w:color w:val="auto"/>
        </w:rPr>
      </w:pPr>
    </w:p>
    <w:p>
      <w:pPr>
        <w:widowControl/>
        <w:spacing w:beforeAutospacing="1" w:afterAutospacing="1"/>
        <w:jc w:val="left"/>
        <w:rPr>
          <w:rFonts w:ascii="宋体" w:hAnsi="宋体"/>
          <w:color w:val="auto"/>
        </w:rPr>
        <w:sectPr>
          <w:footerReference r:id="rId3" w:type="default"/>
          <w:pgSz w:w="11906" w:h="16838"/>
          <w:pgMar w:top="1440" w:right="1800" w:bottom="1440" w:left="1800" w:header="0" w:footer="0" w:gutter="0"/>
          <w:pgNumType w:start="0"/>
          <w:cols w:space="720" w:num="1"/>
          <w:titlePg/>
          <w:docGrid w:type="lines" w:linePitch="312" w:charSpace="0"/>
        </w:sectPr>
      </w:pPr>
      <w:r>
        <w:rPr>
          <w:color w:val="auto"/>
        </w:rPr>
        <mc:AlternateContent>
          <mc:Choice Requires="wps">
            <w:drawing>
              <wp:anchor distT="0" distB="0" distL="114300" distR="114300" simplePos="0" relativeHeight="251661312" behindDoc="0" locked="0" layoutInCell="1" allowOverlap="1">
                <wp:simplePos x="0" y="0"/>
                <wp:positionH relativeFrom="margin">
                  <wp:posOffset>-1029970</wp:posOffset>
                </wp:positionH>
                <wp:positionV relativeFrom="paragraph">
                  <wp:posOffset>3775710</wp:posOffset>
                </wp:positionV>
                <wp:extent cx="6304280"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81.1pt;margin-top:297.3pt;height:98.15pt;width:496.4pt;mso-position-horizontal-relative:margin;z-index:251661312;mso-width-relative:page;mso-height-relative:page;" filled="f" stroked="f" coordsize="21600,21600" o:gfxdata="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SdipE2QAA&#10;AAwBAAAPAAAAAAAAAAEAIAAAACIAAABkcnMvZG93bnJldi54bWxQSwECFAAUAAAACACHTuJA6a22&#10;NB0CAAAkBAAADgAAAAAAAAABACAAAAAoAQAAZHJzL2Uyb0RvYy54bWxQSwUGAAAAAAYABgBZAQAA&#10;twU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v:textbox>
              </v:shape>
            </w:pict>
          </mc:Fallback>
        </mc:AlternateContent>
      </w:r>
    </w:p>
    <w:p>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rPr>
        <w:t>超高压输电公司昆明局2025年普洱站10kV开关柜高压带电显示闭锁装置及直流滤波器拉力显示器消缺零星采购项目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根据</w:t>
      </w:r>
      <w:r>
        <w:rPr>
          <w:rFonts w:hint="eastAsia" w:ascii="宋体" w:hAnsi="宋体" w:cs="宋体"/>
          <w:color w:val="auto"/>
          <w:sz w:val="28"/>
          <w:szCs w:val="28"/>
          <w:highlight w:val="none"/>
          <w:lang w:val="en-US" w:eastAsia="zh-CN"/>
        </w:rPr>
        <w:t>超高压输电公司昆明局±800kV</w:t>
      </w:r>
      <w:r>
        <w:rPr>
          <w:rFonts w:hint="eastAsia" w:ascii="宋体" w:hAnsi="宋体" w:eastAsia="宋体" w:cs="宋体"/>
          <w:color w:val="auto"/>
          <w:sz w:val="28"/>
          <w:szCs w:val="28"/>
          <w:highlight w:val="none"/>
          <w:lang w:val="en-US" w:eastAsia="zh-CN"/>
        </w:rPr>
        <w:t>普洱换流站缺陷情况，需补充部分消缺物资</w:t>
      </w:r>
      <w:r>
        <w:rPr>
          <w:rFonts w:hint="eastAsia" w:ascii="宋体" w:hAnsi="宋体" w:cs="宋体"/>
          <w:color w:val="auto"/>
          <w:sz w:val="28"/>
          <w:szCs w:val="28"/>
          <w:highlight w:val="none"/>
          <w:lang w:val="en-US" w:eastAsia="zh-CN"/>
        </w:rPr>
        <w:t>,采购内容如下：1）采购MD户内高压带电显示闭锁装置1个,参数：（额定电压：AC/DC110~220V，额定频率：50~60Hz)。2）采购直流滤波器拉力显示器1个，型号：GL-XSR21A-4V0。</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i/>
          <w:color w:val="auto"/>
          <w:sz w:val="28"/>
          <w:szCs w:val="28"/>
          <w:highlight w:val="none"/>
          <w:u w:val="single"/>
          <w:lang w:val="en-US"/>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〔2025专75号〕 昆明局2025年9月份生产域消缺类零星采购项目专业立项审查会议纪要-2025-09-12</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1.3</w:t>
      </w:r>
      <w:r>
        <w:rPr>
          <w:rFonts w:hint="eastAsia" w:ascii="宋体" w:hAnsi="宋体" w:eastAsia="宋体" w:cs="宋体"/>
          <w:color w:val="auto"/>
          <w:sz w:val="28"/>
          <w:szCs w:val="28"/>
          <w:highlight w:val="none"/>
        </w:rPr>
        <w:t>项目最高限价</w:t>
      </w:r>
      <w:r>
        <w:rPr>
          <w:rFonts w:hint="eastAsia" w:ascii="宋体" w:hAnsi="宋体" w:eastAsia="宋体" w:cs="宋体"/>
          <w:color w:val="auto"/>
          <w:sz w:val="28"/>
          <w:szCs w:val="28"/>
          <w:highlight w:val="none"/>
          <w:lang w:eastAsia="zh-CN"/>
        </w:rPr>
        <w:t>（一般不超概算）</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u w:val="single"/>
          <w:lang w:val="en-US" w:eastAsia="zh-CN"/>
        </w:rPr>
        <w:t>0.3756</w:t>
      </w:r>
      <w:bookmarkStart w:id="4" w:name="_GoBack"/>
      <w:bookmarkEnd w:id="4"/>
      <w:r>
        <w:rPr>
          <w:rFonts w:hint="eastAsia" w:ascii="宋体" w:hAnsi="宋体" w:cs="宋体"/>
          <w:color w:val="auto"/>
          <w:sz w:val="28"/>
          <w:szCs w:val="28"/>
          <w:highlight w:val="none"/>
          <w:u w:val="single"/>
          <w:lang w:val="en-US" w:eastAsia="zh-CN"/>
        </w:rPr>
        <w:t>67</w:t>
      </w:r>
      <w:r>
        <w:rPr>
          <w:rFonts w:hint="eastAsia" w:ascii="宋体" w:hAnsi="宋体" w:eastAsia="宋体" w:cs="宋体"/>
          <w:color w:val="auto"/>
          <w:sz w:val="28"/>
          <w:szCs w:val="28"/>
          <w:highlight w:val="none"/>
        </w:rPr>
        <w:t>万元。</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rPr>
        <w:t>项目实施内容及要求</w:t>
      </w:r>
    </w:p>
    <w:bookmarkEnd w:id="0"/>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bookmarkStart w:id="2" w:name="_Toc349031731"/>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lang w:val="en-US" w:eastAsia="zh-CN"/>
        </w:rPr>
        <w:t>1）采购MD户内高压带电显示闭锁装置1个,参数：（额定电压：AC/DC110~220V，额定频率：50~60Hz)。2）采购直流滤波器拉力显示器1个，型号：GL-XSR21A-4V0。</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u w:val="single"/>
          <w:lang w:val="en-US" w:eastAsia="zh-CN"/>
        </w:rPr>
      </w:pPr>
      <w:r>
        <w:rPr>
          <w:rFonts w:hint="eastAsia" w:ascii="宋体" w:hAnsi="宋体" w:eastAsia="宋体" w:cs="宋体"/>
          <w:b w:val="0"/>
          <w:bCs/>
          <w:color w:val="auto"/>
          <w:sz w:val="28"/>
          <w:szCs w:val="28"/>
          <w:highlight w:val="none"/>
          <w:lang w:val="en-US" w:eastAsia="zh-CN"/>
        </w:rPr>
        <w:t>2.2时间要求：</w:t>
      </w:r>
      <w:r>
        <w:rPr>
          <w:rFonts w:hint="eastAsia" w:ascii="宋体" w:hAnsi="宋体" w:cs="宋体"/>
          <w:b w:val="0"/>
          <w:bCs/>
          <w:color w:val="auto"/>
          <w:sz w:val="28"/>
          <w:szCs w:val="28"/>
          <w:highlight w:val="none"/>
          <w:u w:val="single"/>
          <w:lang w:val="en-US" w:eastAsia="zh-CN"/>
        </w:rPr>
        <w:t>2025</w:t>
      </w:r>
      <w:r>
        <w:rPr>
          <w:rFonts w:hint="eastAsia" w:ascii="宋体" w:hAnsi="宋体" w:eastAsia="宋体" w:cs="宋体"/>
          <w:b w:val="0"/>
          <w:bCs/>
          <w:color w:val="auto"/>
          <w:sz w:val="28"/>
          <w:szCs w:val="28"/>
          <w:highlight w:val="none"/>
          <w:u w:val="single"/>
          <w:lang w:val="en-US" w:eastAsia="zh-CN"/>
        </w:rPr>
        <w:t>年</w:t>
      </w:r>
      <w:r>
        <w:rPr>
          <w:rFonts w:hint="eastAsia" w:ascii="宋体" w:hAnsi="宋体" w:cs="宋体"/>
          <w:b w:val="0"/>
          <w:bCs/>
          <w:color w:val="auto"/>
          <w:sz w:val="28"/>
          <w:szCs w:val="28"/>
          <w:highlight w:val="none"/>
          <w:u w:val="single"/>
          <w:lang w:val="en-US" w:eastAsia="zh-CN"/>
        </w:rPr>
        <w:t>12</w:t>
      </w:r>
      <w:r>
        <w:rPr>
          <w:rFonts w:hint="eastAsia" w:ascii="宋体" w:hAnsi="宋体" w:eastAsia="宋体" w:cs="宋体"/>
          <w:b w:val="0"/>
          <w:bCs/>
          <w:color w:val="auto"/>
          <w:sz w:val="28"/>
          <w:szCs w:val="28"/>
          <w:highlight w:val="none"/>
          <w:u w:val="single"/>
          <w:lang w:val="en-US" w:eastAsia="zh-CN"/>
        </w:rPr>
        <w:t>月</w:t>
      </w:r>
      <w:r>
        <w:rPr>
          <w:rFonts w:hint="eastAsia" w:ascii="宋体" w:hAnsi="宋体" w:cs="宋体"/>
          <w:b w:val="0"/>
          <w:bCs/>
          <w:color w:val="auto"/>
          <w:sz w:val="28"/>
          <w:szCs w:val="28"/>
          <w:highlight w:val="none"/>
          <w:u w:val="single"/>
          <w:lang w:val="en-US" w:eastAsia="zh-CN"/>
        </w:rPr>
        <w:t>31</w:t>
      </w:r>
      <w:r>
        <w:rPr>
          <w:rFonts w:hint="eastAsia" w:ascii="宋体" w:hAnsi="宋体" w:eastAsia="宋体" w:cs="宋体"/>
          <w:b w:val="0"/>
          <w:bCs/>
          <w:color w:val="auto"/>
          <w:sz w:val="28"/>
          <w:szCs w:val="28"/>
          <w:highlight w:val="none"/>
          <w:u w:val="single"/>
          <w:lang w:val="en-US" w:eastAsia="zh-CN"/>
        </w:rPr>
        <w:t>日前到货，若定标时间晚于到货时间，到货时间双方协商后调整</w:t>
      </w:r>
      <w:r>
        <w:rPr>
          <w:rFonts w:hint="eastAsia" w:ascii="宋体" w:hAnsi="宋体" w:cs="宋体"/>
          <w:b w:val="0"/>
          <w:bCs/>
          <w:color w:val="auto"/>
          <w:sz w:val="28"/>
          <w:szCs w:val="28"/>
          <w:highlight w:val="none"/>
          <w:u w:val="single"/>
          <w:lang w:val="en-US" w:eastAsia="zh-CN"/>
        </w:rPr>
        <w:t>，以双方函件为准</w:t>
      </w:r>
      <w:r>
        <w:rPr>
          <w:rFonts w:hint="eastAsia" w:ascii="宋体" w:hAnsi="宋体" w:eastAsia="宋体" w:cs="宋体"/>
          <w:b w:val="0"/>
          <w:bCs/>
          <w:color w:val="auto"/>
          <w:sz w:val="28"/>
          <w:szCs w:val="28"/>
          <w:highlight w:val="none"/>
          <w:u w:val="singl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2.3到货地点：</w:t>
      </w:r>
      <w:r>
        <w:rPr>
          <w:rFonts w:hint="eastAsia" w:ascii="宋体" w:hAnsi="宋体" w:cs="宋体"/>
          <w:color w:val="auto"/>
          <w:sz w:val="28"/>
          <w:szCs w:val="28"/>
          <w:highlight w:val="none"/>
          <w:u w:val="single"/>
          <w:lang w:val="en-US" w:eastAsia="zh-CN"/>
        </w:rPr>
        <w:t>云南省普洱市思茅区龙潭乡±800kV普洱换流站。</w:t>
      </w:r>
      <w:r>
        <w:rPr>
          <w:rFonts w:hint="eastAsia" w:ascii="宋体" w:hAnsi="宋体" w:eastAsia="宋体" w:cs="宋体"/>
          <w:b w:val="0"/>
          <w:bCs/>
          <w:color w:val="auto"/>
          <w:sz w:val="28"/>
          <w:szCs w:val="28"/>
          <w:highlight w:val="none"/>
          <w:lang w:val="en-US" w:eastAsia="zh-CN"/>
        </w:rPr>
        <w:t>2.4其他要求：</w:t>
      </w:r>
      <w:r>
        <w:rPr>
          <w:rFonts w:hint="eastAsia" w:ascii="宋体" w:hAnsi="宋体" w:cs="宋体"/>
          <w:b w:val="0"/>
          <w:bCs/>
          <w:color w:val="auto"/>
          <w:sz w:val="28"/>
          <w:szCs w:val="28"/>
          <w:highlight w:val="none"/>
          <w:u w:val="single"/>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2.5采购</w:t>
      </w:r>
      <w:r>
        <w:rPr>
          <w:rFonts w:hint="eastAsia" w:ascii="宋体" w:hAnsi="宋体" w:cs="宋体"/>
          <w:b w:val="0"/>
          <w:bCs/>
          <w:color w:val="auto"/>
          <w:sz w:val="28"/>
          <w:szCs w:val="28"/>
          <w:highlight w:val="none"/>
          <w:lang w:val="en-US" w:eastAsia="zh-CN"/>
        </w:rPr>
        <w:t>明细详见“六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pStyle w:val="2"/>
        <w:rPr>
          <w:rFonts w:hint="eastAsia" w:ascii="宋体" w:hAnsi="宋体" w:eastAsia="宋体" w:cs="宋体"/>
          <w:b w:val="0"/>
          <w:bCs/>
          <w:color w:val="auto"/>
          <w:sz w:val="28"/>
          <w:szCs w:val="28"/>
          <w:highlight w:val="yellow"/>
          <w:lang w:val="en-US" w:eastAsia="zh-CN"/>
        </w:rPr>
      </w:pPr>
    </w:p>
    <w:p>
      <w:pPr>
        <w:pStyle w:val="3"/>
        <w:rPr>
          <w:rFonts w:hint="eastAsia" w:ascii="宋体" w:hAnsi="宋体" w:eastAsia="宋体" w:cs="宋体"/>
          <w:b w:val="0"/>
          <w:bCs/>
          <w:color w:val="auto"/>
          <w:sz w:val="28"/>
          <w:szCs w:val="28"/>
          <w:highlight w:val="yellow"/>
          <w:lang w:val="en-US" w:eastAsia="zh-CN"/>
        </w:rPr>
      </w:pPr>
    </w:p>
    <w:p>
      <w:pPr>
        <w:rPr>
          <w:rFonts w:hint="eastAsia"/>
          <w:color w:val="auto"/>
          <w:lang w:val="en-US" w:eastAsia="zh-CN"/>
        </w:rPr>
      </w:pPr>
    </w:p>
    <w:p>
      <w:pPr>
        <w:adjustRightInd w:val="0"/>
        <w:snapToGrid w:val="0"/>
        <w:spacing w:before="156" w:beforeLines="50" w:line="360" w:lineRule="auto"/>
        <w:outlineLvl w:val="0"/>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三、 </w:t>
      </w:r>
      <w:r>
        <w:rPr>
          <w:rFonts w:hint="eastAsia" w:ascii="Times New Roman" w:hAnsi="Times New Roman" w:eastAsia="宋体" w:cs="Times New Roman"/>
          <w:b/>
          <w:color w:val="auto"/>
          <w:sz w:val="28"/>
          <w:szCs w:val="28"/>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w:t>
      </w:r>
      <w:r>
        <w:rPr>
          <w:rFonts w:hint="eastAsia" w:ascii="Times New Roman" w:hAnsi="Times New Roman" w:eastAsia="宋体" w:cs="Times New Roman"/>
          <w:b/>
          <w:color w:val="auto"/>
          <w:sz w:val="28"/>
          <w:szCs w:val="28"/>
          <w:highlight w:val="none"/>
        </w:rPr>
        <w:t>售后服务要求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w:t>
      </w:r>
      <w:r>
        <w:rPr>
          <w:rFonts w:hint="eastAsia" w:ascii="宋体" w:hAnsi="宋体" w:eastAsia="宋体" w:cs="宋体"/>
          <w:color w:val="auto"/>
          <w:sz w:val="28"/>
          <w:szCs w:val="28"/>
          <w:highlight w:val="none"/>
          <w:lang w:eastAsia="zh-CN"/>
        </w:rPr>
        <w:t>质量保证</w:t>
      </w:r>
      <w:r>
        <w:rPr>
          <w:rFonts w:hint="eastAsia" w:ascii="宋体" w:hAnsi="宋体" w:eastAsia="宋体" w:cs="宋体"/>
          <w:color w:val="auto"/>
          <w:sz w:val="28"/>
          <w:szCs w:val="28"/>
          <w:highlight w:val="none"/>
        </w:rPr>
        <w:t>及售后服务响应要求：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卖方应保证</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物的包装能满足长途运输、多次搬运、装卸、防潮、防震、防碎、箱内不留异物等各种包装要求，并按照</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货物的特点和需要分别加上防冲撞、防霉、防锈、防腐蚀、防冻、防盗的保护措施。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卖方用于</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物的包装材料，应符合国家相关环保标准；属应检验检疫的，应依法办理检验检疫手续并将相关资料移交给买方，否则，买方有权拒收。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卖方负责将</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运至</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约定的交货地点</w:t>
      </w:r>
      <w:r>
        <w:rPr>
          <w:rFonts w:hint="eastAsia" w:ascii="宋体" w:hAnsi="宋体" w:eastAsia="宋体" w:cs="宋体"/>
          <w:color w:val="auto"/>
          <w:sz w:val="28"/>
          <w:szCs w:val="28"/>
          <w:highlight w:val="none"/>
          <w:lang w:eastAsia="zh-CN"/>
        </w:rPr>
        <w:t>（另有约定除外）</w:t>
      </w:r>
      <w:r>
        <w:rPr>
          <w:rFonts w:hint="eastAsia" w:ascii="宋体" w:hAnsi="宋体" w:eastAsia="宋体" w:cs="宋体"/>
          <w:color w:val="auto"/>
          <w:sz w:val="28"/>
          <w:szCs w:val="28"/>
          <w:highlight w:val="none"/>
        </w:rPr>
        <w:t>并完成车板交货，在到货同时提交书面文件及电子文档。在货物送达后三日内，卖方应到货物交接地点办理交接手续。</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备妥发出前</w:t>
      </w:r>
      <w:r>
        <w:rPr>
          <w:rFonts w:hint="eastAsia" w:ascii="宋体" w:hAnsi="宋体" w:eastAsia="宋体" w:cs="宋体"/>
          <w:color w:val="auto"/>
          <w:sz w:val="28"/>
          <w:szCs w:val="28"/>
          <w:highlight w:val="none"/>
          <w:lang w:val="en-US" w:eastAsia="zh-CN"/>
        </w:rPr>
        <w:t>24小时</w:t>
      </w:r>
      <w:r>
        <w:rPr>
          <w:rFonts w:hint="eastAsia" w:ascii="宋体" w:hAnsi="宋体" w:eastAsia="宋体" w:cs="宋体"/>
          <w:color w:val="auto"/>
          <w:sz w:val="28"/>
          <w:szCs w:val="28"/>
          <w:highlight w:val="none"/>
        </w:rPr>
        <w:t>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买方有权对</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进行抽检和到货验收，卖方应积极配合并提供抽检所需的资料和必要条件。卖方人员未按时赶赴现场，买方自行实施或委托具备相应资质的检验机构做出的抽检结果或验收结果，卖方应认可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买方有权拒收</w:t>
      </w:r>
      <w:r>
        <w:rPr>
          <w:rFonts w:hint="eastAsia" w:ascii="宋体" w:hAnsi="宋体" w:eastAsia="宋体" w:cs="宋体"/>
          <w:color w:val="auto"/>
          <w:sz w:val="28"/>
          <w:szCs w:val="28"/>
          <w:highlight w:val="none"/>
          <w:lang w:eastAsia="zh-CN"/>
        </w:rPr>
        <w:t>验收不合格货物。</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的质量保证期和使用寿命应当符合国家标准或行业标准的要求。没有相关标准时，各类物资的质保期和使用寿命应当满足产品设计要求。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.7卖方完成本次投标活动视为接受并认可本采购文件所有条款。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lang w:eastAsia="zh-CN"/>
        </w:rPr>
        <w:t>质保期自验收合格日期起计算，质保期为</w:t>
      </w:r>
      <w:r>
        <w:rPr>
          <w:rFonts w:hint="eastAsia" w:ascii="宋体" w:hAnsi="宋体" w:cs="宋体"/>
          <w:color w:val="auto"/>
          <w:sz w:val="28"/>
          <w:szCs w:val="28"/>
          <w:highlight w:val="none"/>
          <w:u w:val="single"/>
          <w:lang w:val="en-US" w:eastAsia="zh-CN"/>
        </w:rPr>
        <w:t>6</w:t>
      </w:r>
      <w:r>
        <w:rPr>
          <w:rFonts w:hint="eastAsia" w:ascii="宋体" w:hAnsi="宋体" w:eastAsia="宋体" w:cs="宋体"/>
          <w:color w:val="auto"/>
          <w:sz w:val="28"/>
          <w:szCs w:val="28"/>
          <w:highlight w:val="none"/>
          <w:lang w:val="en-US" w:eastAsia="zh-CN"/>
        </w:rPr>
        <w:t>个月。</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eastAsia="zh-CN"/>
        </w:rPr>
        <w:t>质保期内有任何质量问题将免费进行修理、更换；售后服</w:t>
      </w:r>
      <w:r>
        <w:rPr>
          <w:rFonts w:hint="eastAsia" w:ascii="宋体" w:hAnsi="宋体" w:eastAsia="宋体" w:cs="宋体"/>
          <w:color w:val="auto"/>
          <w:sz w:val="28"/>
          <w:szCs w:val="28"/>
          <w:highlight w:val="none"/>
          <w:lang w:val="en-US" w:eastAsia="zh-CN"/>
        </w:rPr>
        <w:t>务的响应时间在48小时内。</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4.3.0</w:t>
      </w:r>
      <w:r>
        <w:rPr>
          <w:rFonts w:hint="eastAsia" w:ascii="宋体" w:hAnsi="宋体" w:eastAsia="宋体" w:cs="宋体"/>
          <w:color w:val="auto"/>
          <w:sz w:val="28"/>
          <w:szCs w:val="28"/>
          <w:highlight w:val="none"/>
          <w:u w:val="none"/>
          <w:lang w:val="en-US" w:eastAsia="zh-CN"/>
        </w:rPr>
        <w:t>其他要求：</w:t>
      </w:r>
      <w:r>
        <w:rPr>
          <w:rFonts w:hint="eastAsia" w:ascii="宋体" w:hAnsi="宋体" w:cs="宋体"/>
          <w:color w:val="auto"/>
          <w:sz w:val="28"/>
          <w:szCs w:val="28"/>
          <w:highlight w:val="none"/>
          <w:u w:val="none"/>
          <w:lang w:val="en-US" w:eastAsia="zh-CN"/>
        </w:rPr>
        <w:t>无。</w:t>
      </w:r>
    </w:p>
    <w:p>
      <w:pPr>
        <w:pStyle w:val="2"/>
        <w:rPr>
          <w:rFonts w:hint="default"/>
          <w:lang w:val="en-US" w:eastAsia="zh-CN"/>
        </w:rPr>
      </w:pPr>
    </w:p>
    <w:p>
      <w:pPr>
        <w:pStyle w:val="4"/>
        <w:pageBreakBefore w:val="0"/>
        <w:widowControl w:val="0"/>
        <w:numPr>
          <w:ilvl w:val="0"/>
          <w:numId w:val="0"/>
        </w:numPr>
        <w:kinsoku/>
        <w:wordWrap/>
        <w:overflowPunct/>
        <w:topLinePunct w:val="0"/>
        <w:autoSpaceDE/>
        <w:autoSpaceDN/>
        <w:bidi w:val="0"/>
        <w:spacing w:line="400" w:lineRule="exact"/>
        <w:textAlignment w:val="auto"/>
        <w:rPr>
          <w:rFonts w:hint="eastAsia" w:ascii="Times New Roman" w:hAnsi="Times New Roman" w:eastAsia="宋体" w:cs="Times New Roman"/>
          <w:b/>
          <w:bCs w:val="0"/>
          <w:color w:val="auto"/>
          <w:kern w:val="2"/>
          <w:sz w:val="28"/>
          <w:szCs w:val="28"/>
          <w:highlight w:val="none"/>
          <w:lang w:val="en-US" w:eastAsia="zh-CN" w:bidi="ar-SA"/>
        </w:rPr>
      </w:pPr>
      <w:r>
        <w:rPr>
          <w:rFonts w:hint="eastAsia" w:ascii="Times New Roman" w:hAnsi="Times New Roman" w:eastAsia="宋体" w:cs="Times New Roman"/>
          <w:b/>
          <w:color w:val="auto"/>
          <w:sz w:val="28"/>
          <w:szCs w:val="28"/>
          <w:highlight w:val="none"/>
          <w:lang w:val="en-US" w:eastAsia="zh-CN"/>
        </w:rPr>
        <w:t>五、</w:t>
      </w:r>
      <w:bookmarkEnd w:id="2"/>
      <w:bookmarkStart w:id="3" w:name="_Toc11675"/>
      <w:r>
        <w:rPr>
          <w:rFonts w:hint="eastAsia" w:ascii="Times New Roman" w:hAnsi="Times New Roman" w:eastAsia="宋体" w:cs="Times New Roman"/>
          <w:b/>
          <w:bCs w:val="0"/>
          <w:color w:val="auto"/>
          <w:kern w:val="2"/>
          <w:sz w:val="28"/>
          <w:szCs w:val="28"/>
          <w:highlight w:val="none"/>
          <w:lang w:val="en-US" w:eastAsia="zh-CN" w:bidi="ar-SA"/>
        </w:rPr>
        <w:t>违约责任</w:t>
      </w:r>
      <w:bookmarkEnd w:id="3"/>
    </w:p>
    <w:p>
      <w:pPr>
        <w:widowControl/>
        <w:snapToGrid w:val="0"/>
        <w:spacing w:line="240" w:lineRule="exact"/>
        <w:rPr>
          <w:b/>
          <w:color w:val="auto"/>
          <w:kern w:val="0"/>
          <w:sz w:val="24"/>
          <w:highlight w:val="none"/>
        </w:rPr>
      </w:pP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5.3卖方应妥善作好买方所提供的文件资料的保存、回收及保密工作，不得泄漏、传播与监造设备有关的技术秘密和商业秘密。造成损失由卖方承担。</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5.4卖方与买方若存在纠纷，应友好协商解决，若存在诉讼，应在买方所在地提起诉讼或仲裁。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5.6</w:t>
      </w:r>
      <w:r>
        <w:rPr>
          <w:rFonts w:hint="eastAsia" w:ascii="宋体" w:hAnsi="宋体" w:eastAsia="宋体" w:cs="宋体"/>
          <w:color w:val="auto"/>
          <w:sz w:val="28"/>
          <w:szCs w:val="28"/>
        </w:rPr>
        <w:t>合同货物质保期届满前，如发现卖方提供的货物有缺陷，不符合</w:t>
      </w:r>
      <w:r>
        <w:rPr>
          <w:rFonts w:hint="eastAsia" w:ascii="宋体" w:hAnsi="宋体" w:eastAsia="宋体" w:cs="宋体"/>
          <w:color w:val="auto"/>
          <w:sz w:val="28"/>
          <w:szCs w:val="28"/>
          <w:lang w:eastAsia="zh-CN"/>
        </w:rPr>
        <w:t>采购文件</w:t>
      </w:r>
      <w:r>
        <w:rPr>
          <w:rFonts w:hint="eastAsia" w:ascii="宋体" w:hAnsi="宋体" w:eastAsia="宋体" w:cs="宋体"/>
          <w:color w:val="auto"/>
          <w:sz w:val="28"/>
          <w:szCs w:val="28"/>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lang w:val="en-US" w:eastAsia="zh-CN"/>
        </w:rPr>
        <w:t>5.7</w:t>
      </w:r>
      <w:r>
        <w:rPr>
          <w:rFonts w:hint="eastAsia" w:ascii="宋体" w:hAnsi="宋体" w:eastAsia="宋体" w:cs="宋体"/>
          <w:color w:val="auto"/>
          <w:sz w:val="28"/>
          <w:szCs w:val="28"/>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lang w:val="en-US" w:eastAsia="zh-CN"/>
        </w:rPr>
        <w:t>买方有权单方面解除合同</w:t>
      </w:r>
      <w:r>
        <w:rPr>
          <w:rFonts w:hint="eastAsia" w:ascii="宋体" w:hAnsi="宋体" w:eastAsia="宋体" w:cs="宋体"/>
          <w:color w:val="auto"/>
          <w:sz w:val="28"/>
          <w:szCs w:val="28"/>
          <w:highlight w:val="none"/>
          <w:lang w:val="en-US" w:eastAsia="zh-CN"/>
        </w:rPr>
        <w:t>且不承担相关责任。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5.8其他责任：</w:t>
      </w:r>
      <w:r>
        <w:rPr>
          <w:rFonts w:hint="eastAsia" w:ascii="宋体" w:hAnsi="宋体" w:cs="宋体"/>
          <w:color w:val="auto"/>
          <w:sz w:val="28"/>
          <w:szCs w:val="28"/>
          <w:highlight w:val="none"/>
          <w:u w:val="none"/>
          <w:lang w:val="en-US" w:eastAsia="zh-CN"/>
        </w:rPr>
        <w:t>无。</w:t>
      </w:r>
    </w:p>
    <w:p>
      <w:pPr>
        <w:pStyle w:val="2"/>
        <w:rPr>
          <w:rFonts w:hint="eastAsia"/>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六、设备附图</w:t>
      </w:r>
      <w:r>
        <w:rPr>
          <w:rFonts w:hint="eastAsia" w:cs="Times New Roman"/>
          <w:b/>
          <w:color w:val="auto"/>
          <w:sz w:val="28"/>
          <w:szCs w:val="28"/>
          <w:highlight w:val="none"/>
          <w:lang w:val="en-US" w:eastAsia="zh-CN"/>
        </w:rPr>
        <w:t>及参数</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5079"/>
        <w:gridCol w:w="1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bCs/>
                <w:color w:val="auto"/>
                <w:kern w:val="0"/>
                <w:sz w:val="18"/>
                <w:szCs w:val="20"/>
                <w:highlight w:val="none"/>
                <w:lang w:val="en-US" w:eastAsia="zh-CN"/>
              </w:rPr>
            </w:pPr>
            <w:r>
              <w:rPr>
                <w:rFonts w:hint="eastAsia" w:ascii="宋体" w:hAnsi="宋体" w:eastAsia="宋体"/>
                <w:b/>
                <w:color w:val="auto"/>
                <w:kern w:val="0"/>
                <w:sz w:val="18"/>
                <w:szCs w:val="21"/>
                <w:highlight w:val="none"/>
                <w:lang w:eastAsia="zh-CN"/>
              </w:rPr>
              <w:t>型号</w:t>
            </w:r>
            <w:r>
              <w:rPr>
                <w:rFonts w:hint="eastAsia" w:ascii="宋体" w:hAnsi="宋体"/>
                <w:b/>
                <w:color w:val="auto"/>
                <w:kern w:val="0"/>
                <w:sz w:val="18"/>
                <w:szCs w:val="21"/>
                <w:highlight w:val="none"/>
                <w:lang w:val="en-US" w:eastAsia="zh-CN"/>
              </w:rPr>
              <w:t>及参数</w:t>
            </w:r>
          </w:p>
        </w:tc>
        <w:tc>
          <w:tcPr>
            <w:tcW w:w="5079"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1388"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yellow"/>
              </w:rPr>
            </w:pPr>
            <w:r>
              <w:rPr>
                <w:rFonts w:hint="default" w:ascii="宋体" w:hAnsi="宋体" w:eastAsia="宋体"/>
                <w:color w:val="auto"/>
                <w:kern w:val="0"/>
                <w:sz w:val="18"/>
                <w:szCs w:val="21"/>
                <w:highlight w:val="none"/>
                <w:shd w:val="clear" w:fill="FFFFFF" w:themeFill="background1"/>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yellow"/>
                <w:u w:val="none"/>
                <w:lang w:val="en-US" w:eastAsia="zh-CN" w:bidi="ar"/>
              </w:rPr>
            </w:pPr>
            <w:r>
              <w:rPr>
                <w:rFonts w:hint="eastAsia" w:ascii="宋体" w:hAnsi="宋体" w:eastAsia="宋体" w:cs="宋体"/>
                <w:b w:val="0"/>
                <w:bCs w:val="0"/>
                <w:color w:val="auto"/>
                <w:kern w:val="0"/>
                <w:sz w:val="18"/>
                <w:szCs w:val="18"/>
                <w:highlight w:val="none"/>
                <w:lang w:val="en-US" w:eastAsia="zh-CN"/>
              </w:rPr>
              <w:t>MD户内高压带电显示闭锁装置</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yellow"/>
                <w:u w:val="none"/>
                <w:lang w:val="en-US" w:eastAsia="zh-CN" w:bidi="ar"/>
              </w:rPr>
            </w:pPr>
            <w:r>
              <w:rPr>
                <w:rFonts w:hint="default" w:ascii="宋体" w:hAnsi="宋体" w:eastAsia="宋体" w:cs="宋体"/>
                <w:b w:val="0"/>
                <w:bCs w:val="0"/>
                <w:color w:val="auto"/>
                <w:kern w:val="0"/>
                <w:sz w:val="18"/>
                <w:szCs w:val="18"/>
                <w:highlight w:val="none"/>
                <w:lang w:val="en-US" w:eastAsia="zh-CN"/>
              </w:rPr>
              <w:t>额定电压：AC/DC110~220V，额定频率：50~60Hz</w:t>
            </w:r>
          </w:p>
        </w:tc>
        <w:tc>
          <w:tcPr>
            <w:tcW w:w="5079"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yellow"/>
                <w:lang w:val="en-US" w:eastAsia="zh-CN" w:bidi="ar-SA"/>
              </w:rPr>
            </w:pPr>
            <w:r>
              <w:rPr>
                <w:rFonts w:hint="eastAsia" w:ascii="宋体" w:hAnsi="宋体" w:eastAsia="宋体" w:cs="宋体"/>
                <w:color w:val="auto"/>
                <w:kern w:val="2"/>
                <w:sz w:val="18"/>
                <w:szCs w:val="18"/>
                <w:highlight w:val="yellow"/>
                <w:lang w:val="en-US" w:eastAsia="zh-CN" w:bidi="ar-SA"/>
              </w:rPr>
              <w:drawing>
                <wp:inline distT="0" distB="0" distL="114300" distR="114300">
                  <wp:extent cx="2218690" cy="2958465"/>
                  <wp:effectExtent l="0" t="0" r="10160" b="13335"/>
                  <wp:docPr id="4" name="图片 4" descr="实物照片-带电显示闭锁装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实物照片-带电显示闭锁装置"/>
                          <pic:cNvPicPr>
                            <a:picLocks noChangeAspect="1"/>
                          </pic:cNvPicPr>
                        </pic:nvPicPr>
                        <pic:blipFill>
                          <a:blip r:embed="rId9"/>
                          <a:stretch>
                            <a:fillRect/>
                          </a:stretch>
                        </pic:blipFill>
                        <pic:spPr>
                          <a:xfrm>
                            <a:off x="0" y="0"/>
                            <a:ext cx="2218690" cy="2958465"/>
                          </a:xfrm>
                          <a:prstGeom prst="rect">
                            <a:avLst/>
                          </a:prstGeom>
                          <a:ln>
                            <a:noFill/>
                          </a:ln>
                        </pic:spPr>
                      </pic:pic>
                    </a:graphicData>
                  </a:graphic>
                </wp:inline>
              </w:drawing>
            </w:r>
          </w:p>
        </w:tc>
        <w:tc>
          <w:tcPr>
            <w:tcW w:w="1388" w:type="dxa"/>
            <w:noWrap w:val="0"/>
            <w:vAlign w:val="center"/>
          </w:tcPr>
          <w:p>
            <w:pPr>
              <w:adjustRightInd w:val="0"/>
              <w:snapToGrid w:val="0"/>
              <w:spacing w:line="360" w:lineRule="auto"/>
              <w:jc w:val="both"/>
              <w:rPr>
                <w:rFonts w:hint="default" w:ascii="宋体" w:hAnsi="宋体" w:eastAsia="宋体" w:cs="宋体"/>
                <w:b w:val="0"/>
                <w:bCs w:val="0"/>
                <w:color w:val="FF0000"/>
                <w:kern w:val="0"/>
                <w:sz w:val="18"/>
                <w:szCs w:val="18"/>
                <w:highlight w:val="yellow"/>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eastAsia="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2</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直流滤波器拉力显示器</w:t>
            </w: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val="0"/>
                <w:bCs w:val="0"/>
                <w:color w:val="auto"/>
                <w:kern w:val="0"/>
                <w:sz w:val="18"/>
                <w:szCs w:val="18"/>
                <w:highlight w:val="none"/>
                <w:u w:val="single"/>
                <w:lang w:val="en-US" w:eastAsia="zh-CN"/>
              </w:rPr>
            </w:pPr>
            <w:r>
              <w:rPr>
                <w:rFonts w:hint="eastAsia" w:ascii="宋体" w:hAnsi="宋体" w:eastAsia="宋体" w:cs="宋体"/>
                <w:b w:val="0"/>
                <w:bCs w:val="0"/>
                <w:color w:val="auto"/>
                <w:kern w:val="0"/>
                <w:sz w:val="18"/>
                <w:szCs w:val="18"/>
                <w:highlight w:val="none"/>
                <w:u w:val="none"/>
                <w:lang w:val="en-US" w:eastAsia="zh-CN"/>
              </w:rPr>
              <w:t>GL-XSR21A-4V0</w:t>
            </w:r>
          </w:p>
        </w:tc>
        <w:tc>
          <w:tcPr>
            <w:tcW w:w="5079"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drawing>
                <wp:inline distT="0" distB="0" distL="114300" distR="114300">
                  <wp:extent cx="3086100" cy="4114800"/>
                  <wp:effectExtent l="0" t="0" r="0" b="0"/>
                  <wp:docPr id="6" name="图片 6" descr="实物照片-显示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实物照片-显示仪"/>
                          <pic:cNvPicPr>
                            <a:picLocks noChangeAspect="1"/>
                          </pic:cNvPicPr>
                        </pic:nvPicPr>
                        <pic:blipFill>
                          <a:blip r:embed="rId10"/>
                          <a:stretch>
                            <a:fillRect/>
                          </a:stretch>
                        </pic:blipFill>
                        <pic:spPr>
                          <a:xfrm>
                            <a:off x="0" y="0"/>
                            <a:ext cx="3086100" cy="4114800"/>
                          </a:xfrm>
                          <a:prstGeom prst="rect">
                            <a:avLst/>
                          </a:prstGeom>
                        </pic:spPr>
                      </pic:pic>
                    </a:graphicData>
                  </a:graphic>
                </wp:inline>
              </w:drawing>
            </w:r>
          </w:p>
        </w:tc>
        <w:tc>
          <w:tcPr>
            <w:tcW w:w="1388"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none"/>
                <w:lang w:val="en-US" w:eastAsia="zh-CN"/>
              </w:rPr>
            </w:pPr>
          </w:p>
        </w:tc>
      </w:tr>
    </w:tbl>
    <w:p>
      <w:pPr>
        <w:pStyle w:val="2"/>
        <w:jc w:val="both"/>
        <w:rPr>
          <w:rFonts w:hint="eastAsia"/>
          <w:color w:val="auto"/>
          <w:lang w:val="en-US" w:eastAsia="zh-CN"/>
        </w:rPr>
      </w:pPr>
    </w:p>
    <w:p>
      <w:pPr>
        <w:pStyle w:val="3"/>
        <w:rPr>
          <w:rFonts w:hint="eastAsia"/>
          <w:color w:val="auto"/>
          <w:lang w:val="en-US" w:eastAsia="zh-CN"/>
        </w:rPr>
      </w:pPr>
    </w:p>
    <w:p>
      <w:pPr>
        <w:rPr>
          <w:rFonts w:hint="eastAsia"/>
          <w:color w:val="auto"/>
          <w:lang w:val="en-US" w:eastAsia="zh-CN"/>
        </w:rPr>
      </w:pPr>
    </w:p>
    <w:p>
      <w:pPr>
        <w:pStyle w:val="2"/>
        <w:rPr>
          <w:rFonts w:hint="eastAsia"/>
          <w:color w:val="auto"/>
          <w:lang w:val="en-US" w:eastAsia="zh-CN"/>
        </w:rPr>
      </w:pPr>
    </w:p>
    <w:p>
      <w:pPr>
        <w:pStyle w:val="3"/>
        <w:rPr>
          <w:rFonts w:hint="eastAsia"/>
          <w:color w:val="auto"/>
          <w:lang w:val="en-US" w:eastAsia="zh-CN"/>
        </w:rPr>
      </w:pPr>
    </w:p>
    <w:p>
      <w:pPr>
        <w:rPr>
          <w:rFonts w:hint="eastAsia"/>
          <w:color w:val="auto"/>
          <w:lang w:val="en-US" w:eastAsia="zh-CN"/>
        </w:rPr>
      </w:pPr>
    </w:p>
    <w:p>
      <w:pPr>
        <w:pStyle w:val="3"/>
        <w:rPr>
          <w:rFonts w:hint="eastAsia"/>
          <w:lang w:val="en-US" w:eastAsia="zh-CN"/>
        </w:rPr>
      </w:pPr>
    </w:p>
    <w:p/>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lang w:eastAsia="zh-CN"/>
      </w:rPr>
      <w:t>第</w:t>
    </w: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rFonts w:hint="eastAsia"/>
        <w:lang w:val="zh-CN" w:eastAsia="zh-CN"/>
      </w:rPr>
      <w:t>页</w:t>
    </w:r>
    <w:r>
      <w:rPr>
        <w:lang w:val="zh-CN" w:eastAsia="zh-CN"/>
      </w:rPr>
      <w:t xml:space="preserve"> /</w:t>
    </w:r>
    <w:r>
      <w:rPr>
        <w:rFonts w:hint="eastAsia"/>
        <w:lang w:val="zh-CN" w:eastAsia="zh-CN"/>
      </w:rPr>
      <w:t>共</w:t>
    </w:r>
    <w:r>
      <w:rPr>
        <w:b/>
        <w:bCs/>
        <w:sz w:val="24"/>
        <w:szCs w:val="24"/>
      </w:rPr>
      <w:fldChar w:fldCharType="begin"/>
    </w:r>
    <w:r>
      <w:rPr>
        <w:b/>
        <w:bCs/>
      </w:rPr>
      <w:instrText xml:space="preserve">NUMPAGES</w:instrText>
    </w:r>
    <w:r>
      <w:rPr>
        <w:b/>
        <w:bCs/>
        <w:sz w:val="24"/>
        <w:szCs w:val="24"/>
      </w:rPr>
      <w:fldChar w:fldCharType="separate"/>
    </w:r>
    <w:r>
      <w:rPr>
        <w:b/>
        <w:bCs/>
      </w:rPr>
      <w:t>15</w:t>
    </w:r>
    <w:r>
      <w:rPr>
        <w:b/>
        <w:bCs/>
        <w:sz w:val="24"/>
        <w:szCs w:val="24"/>
      </w:rPr>
      <w:fldChar w:fldCharType="end"/>
    </w:r>
    <w:r>
      <w:rPr>
        <w:rFonts w:hint="eastAsia"/>
        <w:lang w:val="zh-CN" w:eastAsia="zh-CN"/>
      </w:rPr>
      <w:t>页</w: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08511A"/>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C711D"/>
    <w:rsid w:val="0B7F40B4"/>
    <w:rsid w:val="0B8348EE"/>
    <w:rsid w:val="0BB909EB"/>
    <w:rsid w:val="0BC87409"/>
    <w:rsid w:val="0BD0477F"/>
    <w:rsid w:val="0BD33980"/>
    <w:rsid w:val="0BD62A7D"/>
    <w:rsid w:val="0BE57AEE"/>
    <w:rsid w:val="0C23558B"/>
    <w:rsid w:val="0C40504F"/>
    <w:rsid w:val="0C5B4095"/>
    <w:rsid w:val="0C6A35C6"/>
    <w:rsid w:val="0C7B6761"/>
    <w:rsid w:val="0C9E47DF"/>
    <w:rsid w:val="0CA92493"/>
    <w:rsid w:val="0CB414E2"/>
    <w:rsid w:val="0CBA1D90"/>
    <w:rsid w:val="0CBC3C74"/>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20479"/>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094621"/>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DF4D82"/>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00ABE"/>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A049B"/>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B27C52"/>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55E6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29773C"/>
    <w:rsid w:val="2B3A41B6"/>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63C9E"/>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627D3D"/>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13CE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A2351"/>
    <w:rsid w:val="41DB145C"/>
    <w:rsid w:val="41F71EDB"/>
    <w:rsid w:val="41FD491F"/>
    <w:rsid w:val="42012231"/>
    <w:rsid w:val="420153BA"/>
    <w:rsid w:val="42463CF2"/>
    <w:rsid w:val="424E7592"/>
    <w:rsid w:val="42745D96"/>
    <w:rsid w:val="42812AB4"/>
    <w:rsid w:val="42A47BF0"/>
    <w:rsid w:val="42A70B14"/>
    <w:rsid w:val="42B14241"/>
    <w:rsid w:val="42C51575"/>
    <w:rsid w:val="4307269F"/>
    <w:rsid w:val="43253A48"/>
    <w:rsid w:val="432B47C2"/>
    <w:rsid w:val="432C1F9E"/>
    <w:rsid w:val="434945A5"/>
    <w:rsid w:val="436D627C"/>
    <w:rsid w:val="437F587F"/>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295484"/>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56E20"/>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492AD9"/>
    <w:rsid w:val="54586003"/>
    <w:rsid w:val="545D0932"/>
    <w:rsid w:val="545F1B52"/>
    <w:rsid w:val="5468342F"/>
    <w:rsid w:val="549439E0"/>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F4C9C"/>
    <w:rsid w:val="56EF724A"/>
    <w:rsid w:val="56F624D0"/>
    <w:rsid w:val="572E17D9"/>
    <w:rsid w:val="573B6221"/>
    <w:rsid w:val="574526C2"/>
    <w:rsid w:val="574F4D30"/>
    <w:rsid w:val="576E4B41"/>
    <w:rsid w:val="57703552"/>
    <w:rsid w:val="577210B5"/>
    <w:rsid w:val="5774636B"/>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DB149A"/>
    <w:rsid w:val="67E45C01"/>
    <w:rsid w:val="67E9310A"/>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C63A92"/>
    <w:rsid w:val="6BDC1E93"/>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FB6D13"/>
    <w:rsid w:val="6EFD5BBE"/>
    <w:rsid w:val="6F1B486A"/>
    <w:rsid w:val="6F211D2D"/>
    <w:rsid w:val="6F281BA4"/>
    <w:rsid w:val="6F327323"/>
    <w:rsid w:val="6F333990"/>
    <w:rsid w:val="6F4540F7"/>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3E131A"/>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8F411B"/>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6E4089"/>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BEE1F1B"/>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8A95ABB2A23E4EE0871AD19BFF64E3A4</cp:lastModifiedBy>
  <dcterms:modified xsi:type="dcterms:W3CDTF">2025-10-09T06:57:55Z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223E4CD44A94439B9814F2FB18CF13C2</vt:lpwstr>
  </property>
</Properties>
</file>