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autoSpaceDE/>
        <w:autoSpaceDN/>
        <w:bidi w:val="0"/>
        <w:adjustRightInd/>
        <w:snapToGrid/>
        <w:spacing w:line="240" w:lineRule="auto"/>
        <w:jc w:val="center"/>
        <w:textAlignment w:val="auto"/>
        <w:rPr>
          <w:rFonts w:hint="eastAsia" w:ascii="Times New Roman" w:hAnsi="Times New Roman" w:eastAsia="宋体" w:cs="Times New Roman"/>
          <w:b/>
          <w:bCs/>
          <w:snapToGrid/>
          <w:kern w:val="2"/>
          <w:sz w:val="28"/>
          <w:szCs w:val="24"/>
          <w:lang w:val="en-US" w:eastAsia="zh-CN"/>
        </w:rPr>
      </w:pPr>
      <w:r>
        <w:rPr>
          <w:rFonts w:hint="eastAsia" w:ascii="Times New Roman" w:hAnsi="Times New Roman" w:eastAsia="宋体" w:cs="Times New Roman"/>
          <w:b/>
          <w:bCs/>
          <w:snapToGrid/>
          <w:kern w:val="2"/>
          <w:sz w:val="28"/>
          <w:szCs w:val="24"/>
          <w:lang w:val="en-US" w:eastAsia="zh-CN"/>
        </w:rPr>
        <w:t>南网技术公司2025年第一批检测工器具零星采购技术附件</w:t>
      </w:r>
    </w:p>
    <w:p>
      <w:pPr>
        <w:spacing w:beforeLines="0" w:afterLines="0"/>
        <w:jc w:val="left"/>
        <w:rPr>
          <w:rFonts w:hint="eastAsia" w:ascii="宋体" w:hAnsi="宋体" w:eastAsia="宋体"/>
          <w:b/>
          <w:bCs/>
          <w:color w:val="000000"/>
          <w:sz w:val="28"/>
          <w:szCs w:val="36"/>
        </w:rPr>
      </w:pPr>
    </w:p>
    <w:p>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cs="宋体"/>
          <w:b/>
          <w:bCs/>
          <w:sz w:val="32"/>
          <w:szCs w:val="32"/>
        </w:rPr>
      </w:pPr>
      <w:r>
        <w:rPr>
          <w:rFonts w:hint="eastAsia" w:ascii="宋体" w:hAnsi="宋体" w:eastAsia="宋体"/>
          <w:b/>
          <w:bCs/>
          <w:color w:val="000000"/>
          <w:sz w:val="28"/>
          <w:szCs w:val="36"/>
        </w:rPr>
        <w:t>一、采购范围及要求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宋体" w:hAnsi="宋体" w:eastAsia="宋体"/>
          <w:b/>
          <w:bCs/>
          <w:color w:val="000000"/>
          <w:sz w:val="28"/>
          <w:szCs w:val="36"/>
        </w:rPr>
      </w:pPr>
      <w:r>
        <w:rPr>
          <w:rFonts w:hint="eastAsia" w:ascii="仿宋_GB2312" w:hAnsi="仿宋_GB2312" w:eastAsia="仿宋_GB2312" w:cs="仿宋_GB2312"/>
          <w:snapToGrid/>
          <w:kern w:val="2"/>
          <w:sz w:val="24"/>
          <w:szCs w:val="32"/>
          <w:lang w:val="en-US" w:eastAsia="zh-CN"/>
        </w:rPr>
        <w:t>为保障南网技术公司智能配网及智能监测产品及装置的测试工作顺利开展，新能源事业部拟发起南网技术公司2025年第一批检测工器具零星采购，补充采购一批检测工器具。具体内容为：</w:t>
      </w:r>
      <w:r>
        <w:rPr>
          <w:rFonts w:hint="eastAsia" w:ascii="仿宋_GB2312" w:hAnsi="仿宋_GB2312" w:eastAsia="仿宋_GB2312" w:cs="仿宋_GB2312"/>
          <w:snapToGrid/>
          <w:kern w:val="2"/>
          <w:sz w:val="24"/>
          <w:szCs w:val="32"/>
          <w:lang w:val="en-US" w:eastAsia="zh-CN"/>
        </w:rPr>
        <w:br w:type="textWrapping"/>
      </w:r>
      <w:r>
        <w:rPr>
          <w:rFonts w:hint="eastAsia" w:ascii="仿宋_GB2312" w:hAnsi="仿宋_GB2312" w:eastAsia="仿宋_GB2312" w:cs="仿宋_GB2312"/>
          <w:snapToGrid/>
          <w:kern w:val="2"/>
          <w:sz w:val="24"/>
          <w:szCs w:val="32"/>
          <w:lang w:val="en-US" w:eastAsia="zh-CN"/>
        </w:rPr>
        <w:tab/>
      </w:r>
      <w:r>
        <w:rPr>
          <w:rFonts w:hint="eastAsia" w:ascii="仿宋_GB2312" w:hAnsi="仿宋_GB2312" w:eastAsia="仿宋_GB2312" w:cs="仿宋_GB2312"/>
          <w:snapToGrid/>
          <w:kern w:val="2"/>
          <w:sz w:val="24"/>
          <w:szCs w:val="32"/>
          <w:lang w:val="en-US" w:eastAsia="zh-CN"/>
        </w:rPr>
        <w:t>电热恒温培养箱1台、土壤电阻率测试仪1套、直流负载1套、干燥箱1台、显微镜1台、电导率仪1台、滑动变阻器3台。</w:t>
      </w:r>
      <w:r>
        <w:rPr>
          <w:rFonts w:hint="eastAsia" w:ascii="仿宋_GB2312" w:hAnsi="仿宋_GB2312" w:eastAsia="仿宋_GB2312" w:cs="仿宋_GB2312"/>
          <w:snapToGrid/>
          <w:kern w:val="2"/>
          <w:sz w:val="24"/>
          <w:szCs w:val="32"/>
          <w:lang w:val="en-US" w:eastAsia="zh-CN"/>
        </w:rPr>
        <w:br w:type="textWrapping"/>
      </w:r>
      <w:r>
        <w:rPr>
          <w:rFonts w:hint="eastAsia" w:ascii="仿宋_GB2312" w:hAnsi="仿宋_GB2312" w:eastAsia="仿宋_GB2312" w:cs="仿宋_GB2312"/>
          <w:snapToGrid/>
          <w:kern w:val="2"/>
          <w:sz w:val="24"/>
          <w:szCs w:val="32"/>
          <w:lang w:val="en-US" w:eastAsia="zh-CN"/>
        </w:rPr>
        <w:tab/>
      </w:r>
      <w:r>
        <w:rPr>
          <w:rFonts w:hint="eastAsia" w:ascii="仿宋_GB2312" w:hAnsi="仿宋_GB2312" w:eastAsia="仿宋_GB2312" w:cs="仿宋_GB2312"/>
          <w:snapToGrid/>
          <w:kern w:val="2"/>
          <w:sz w:val="24"/>
          <w:szCs w:val="32"/>
          <w:lang w:val="en-US" w:eastAsia="zh-CN"/>
        </w:rPr>
        <w:t>本项目为零星采购，有效期为自合同签订之日起</w:t>
      </w:r>
      <w:r>
        <w:rPr>
          <w:rFonts w:hint="eastAsia" w:ascii="仿宋_GB2312" w:hAnsi="仿宋_GB2312" w:eastAsia="仿宋_GB2312" w:cs="仿宋_GB2312"/>
          <w:snapToGrid/>
          <w:kern w:val="2"/>
          <w:sz w:val="24"/>
          <w:szCs w:val="32"/>
          <w:highlight w:val="none"/>
          <w:lang w:val="en-US" w:eastAsia="zh-CN"/>
        </w:rPr>
        <w:t>一个月</w:t>
      </w:r>
      <w:r>
        <w:rPr>
          <w:rFonts w:hint="eastAsia" w:ascii="仿宋_GB2312" w:hAnsi="仿宋_GB2312" w:eastAsia="仿宋_GB2312" w:cs="仿宋_GB2312"/>
          <w:snapToGrid/>
          <w:kern w:val="2"/>
          <w:sz w:val="24"/>
          <w:szCs w:val="32"/>
          <w:lang w:val="en-US" w:eastAsia="zh-CN"/>
        </w:rPr>
        <w:t>，项目概算金额</w:t>
      </w:r>
      <w:r>
        <w:rPr>
          <w:rFonts w:hint="eastAsia" w:ascii="仿宋_GB2312" w:hAnsi="仿宋_GB2312" w:eastAsia="仿宋_GB2312" w:cs="仿宋_GB2312"/>
          <w:snapToGrid/>
          <w:kern w:val="2"/>
          <w:sz w:val="24"/>
          <w:szCs w:val="32"/>
          <w:highlight w:val="none"/>
          <w:lang w:val="en-US" w:eastAsia="zh-CN"/>
        </w:rPr>
        <w:t>1.35</w:t>
      </w:r>
      <w:bookmarkStart w:id="0" w:name="_GoBack"/>
      <w:bookmarkEnd w:id="0"/>
      <w:r>
        <w:rPr>
          <w:rFonts w:hint="eastAsia" w:ascii="仿宋_GB2312" w:hAnsi="仿宋_GB2312" w:eastAsia="仿宋_GB2312" w:cs="仿宋_GB2312"/>
          <w:snapToGrid/>
          <w:kern w:val="2"/>
          <w:sz w:val="24"/>
          <w:szCs w:val="32"/>
          <w:lang w:val="en-US" w:eastAsia="zh-CN"/>
        </w:rPr>
        <w:t>万元，在有效期内报价单位依据设备清单向南网技术公司提供所有设备，以及配套的安装调试、技术支持、培训等服务。</w:t>
      </w:r>
    </w:p>
    <w:p>
      <w:pPr>
        <w:pStyle w:val="2"/>
        <w:rPr>
          <w:rFonts w:hint="eastAsia"/>
        </w:rPr>
      </w:pPr>
    </w:p>
    <w:p>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b/>
          <w:bCs/>
          <w:color w:val="000000"/>
          <w:sz w:val="28"/>
          <w:szCs w:val="36"/>
        </w:rPr>
      </w:pPr>
      <w:r>
        <w:rPr>
          <w:rFonts w:hint="eastAsia" w:ascii="宋体" w:hAnsi="宋体" w:eastAsia="宋体"/>
          <w:b/>
          <w:bCs/>
          <w:color w:val="000000"/>
          <w:sz w:val="28"/>
          <w:szCs w:val="36"/>
          <w:lang w:val="en-US" w:eastAsia="zh-CN"/>
        </w:rPr>
        <w:t>二、</w:t>
      </w:r>
      <w:r>
        <w:rPr>
          <w:rFonts w:hint="eastAsia" w:ascii="宋体" w:hAnsi="宋体" w:eastAsia="宋体"/>
          <w:b/>
          <w:bCs/>
          <w:color w:val="000000"/>
          <w:sz w:val="28"/>
          <w:szCs w:val="36"/>
        </w:rPr>
        <w:t>资格条件</w:t>
      </w:r>
    </w:p>
    <w:tbl>
      <w:tblPr>
        <w:tblStyle w:val="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7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序号</w:t>
            </w:r>
          </w:p>
        </w:tc>
        <w:tc>
          <w:tcPr>
            <w:tcW w:w="4583"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1</w:t>
            </w:r>
          </w:p>
        </w:tc>
        <w:tc>
          <w:tcPr>
            <w:tcW w:w="4583"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2</w:t>
            </w:r>
          </w:p>
        </w:tc>
        <w:tc>
          <w:tcPr>
            <w:tcW w:w="4583"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pPr>
              <w:widowControl w:val="0"/>
              <w:numPr>
                <w:ilvl w:val="0"/>
                <w:numId w:val="0"/>
              </w:numPr>
              <w:jc w:val="center"/>
              <w:rPr>
                <w:rFonts w:hint="default"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3</w:t>
            </w:r>
          </w:p>
        </w:tc>
        <w:tc>
          <w:tcPr>
            <w:tcW w:w="4583"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报价单位没有被中国南方电网有限责任公司暂停或取消其投标资格的。</w:t>
            </w:r>
          </w:p>
        </w:tc>
      </w:tr>
    </w:tbl>
    <w:p>
      <w:pPr>
        <w:numPr>
          <w:ilvl w:val="0"/>
          <w:numId w:val="0"/>
        </w:numPr>
        <w:rPr>
          <w:rFonts w:hint="eastAsia" w:ascii="宋体" w:hAnsi="宋体" w:eastAsia="宋体"/>
          <w:b/>
          <w:bCs/>
          <w:color w:val="000000"/>
          <w:sz w:val="28"/>
          <w:szCs w:val="36"/>
        </w:rPr>
      </w:pPr>
    </w:p>
    <w:p>
      <w:pPr>
        <w:rPr>
          <w:rFonts w:hint="eastAsia"/>
        </w:rPr>
      </w:pPr>
      <w:r>
        <w:rPr>
          <w:rFonts w:hint="eastAsia"/>
        </w:rPr>
        <w:br w:type="page"/>
      </w:r>
    </w:p>
    <w:p>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b/>
          <w:bCs/>
          <w:color w:val="000000"/>
          <w:sz w:val="28"/>
          <w:szCs w:val="36"/>
          <w:lang w:val="en-US" w:eastAsia="zh-CN"/>
        </w:rPr>
      </w:pPr>
      <w:r>
        <w:rPr>
          <w:rFonts w:hint="eastAsia" w:ascii="宋体" w:hAnsi="宋体" w:eastAsia="宋体"/>
          <w:b/>
          <w:bCs/>
          <w:color w:val="000000"/>
          <w:sz w:val="28"/>
          <w:szCs w:val="36"/>
          <w:lang w:val="en-US" w:eastAsia="zh-CN"/>
        </w:rPr>
        <w:t>三、报价表</w:t>
      </w:r>
    </w:p>
    <w:p>
      <w:pPr>
        <w:kinsoku/>
        <w:autoSpaceDE/>
        <w:autoSpaceDN/>
        <w:adjustRightInd/>
        <w:snapToGrid/>
        <w:spacing w:line="240" w:lineRule="auto"/>
        <w:jc w:val="center"/>
        <w:textAlignment w:val="auto"/>
        <w:rPr>
          <w:rFonts w:hint="eastAsia" w:ascii="仿宋_GB2312" w:hAnsi="仿宋_GB2312" w:eastAsia="仿宋_GB2312" w:cs="仿宋_GB2312"/>
          <w:b/>
          <w:bCs/>
          <w:snapToGrid/>
          <w:kern w:val="2"/>
          <w:sz w:val="24"/>
          <w:szCs w:val="24"/>
          <w:lang w:val="en-US" w:eastAsia="zh-CN"/>
        </w:rPr>
      </w:pPr>
      <w:r>
        <w:rPr>
          <w:rFonts w:hint="eastAsia" w:ascii="仿宋_GB2312" w:hAnsi="仿宋_GB2312" w:eastAsia="仿宋_GB2312" w:cs="仿宋_GB2312"/>
          <w:b/>
          <w:bCs/>
          <w:snapToGrid/>
          <w:kern w:val="2"/>
          <w:sz w:val="24"/>
          <w:szCs w:val="24"/>
          <w:lang w:val="en-US" w:eastAsia="zh-CN"/>
        </w:rPr>
        <w:t>表1 报价明细表</w:t>
      </w:r>
    </w:p>
    <w:tbl>
      <w:tblPr>
        <w:tblStyle w:val="6"/>
        <w:tblW w:w="8319" w:type="dxa"/>
        <w:jc w:val="center"/>
        <w:tblLayout w:type="fixed"/>
        <w:tblCellMar>
          <w:top w:w="0" w:type="dxa"/>
          <w:left w:w="0" w:type="dxa"/>
          <w:bottom w:w="0" w:type="dxa"/>
          <w:right w:w="0" w:type="dxa"/>
        </w:tblCellMar>
      </w:tblPr>
      <w:tblGrid>
        <w:gridCol w:w="342"/>
        <w:gridCol w:w="1048"/>
        <w:gridCol w:w="2130"/>
        <w:gridCol w:w="1856"/>
        <w:gridCol w:w="685"/>
        <w:gridCol w:w="633"/>
        <w:gridCol w:w="814"/>
        <w:gridCol w:w="811"/>
      </w:tblGrid>
      <w:tr>
        <w:tblPrEx>
          <w:tblCellMar>
            <w:top w:w="0" w:type="dxa"/>
            <w:left w:w="0" w:type="dxa"/>
            <w:bottom w:w="0" w:type="dxa"/>
            <w:right w:w="0" w:type="dxa"/>
          </w:tblCellMar>
        </w:tblPrEx>
        <w:trPr>
          <w:trHeight w:val="511" w:hRule="atLeast"/>
          <w:jc w:val="center"/>
        </w:trPr>
        <w:tc>
          <w:tcPr>
            <w:tcW w:w="3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r>
              <w:rPr>
                <w:rFonts w:hint="eastAsia" w:ascii="仿宋_GB2312" w:hAnsi="仿宋_GB2312" w:eastAsia="仿宋_GB2312" w:cs="仿宋_GB2312"/>
                <w:b/>
                <w:bCs/>
                <w:snapToGrid/>
                <w:color w:val="000000"/>
                <w:kern w:val="2"/>
                <w:sz w:val="21"/>
                <w:szCs w:val="21"/>
              </w:rPr>
              <w:t>序号</w:t>
            </w:r>
          </w:p>
        </w:tc>
        <w:tc>
          <w:tcPr>
            <w:tcW w:w="1048"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r>
              <w:rPr>
                <w:rFonts w:hint="eastAsia" w:ascii="仿宋_GB2312" w:hAnsi="仿宋_GB2312" w:eastAsia="仿宋_GB2312" w:cs="仿宋_GB2312"/>
                <w:b/>
                <w:bCs/>
                <w:snapToGrid/>
                <w:color w:val="000000"/>
                <w:kern w:val="2"/>
                <w:sz w:val="21"/>
                <w:szCs w:val="21"/>
              </w:rPr>
              <w:t>报价项目</w:t>
            </w:r>
          </w:p>
        </w:tc>
        <w:tc>
          <w:tcPr>
            <w:tcW w:w="2130"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zh-CN"/>
              </w:rPr>
            </w:pPr>
            <w:r>
              <w:rPr>
                <w:rFonts w:hint="eastAsia" w:ascii="仿宋_GB2312" w:hAnsi="仿宋_GB2312" w:eastAsia="仿宋_GB2312" w:cs="仿宋_GB2312"/>
                <w:b/>
                <w:bCs/>
                <w:snapToGrid/>
                <w:color w:val="000000"/>
                <w:kern w:val="2"/>
                <w:sz w:val="21"/>
                <w:szCs w:val="21"/>
                <w:lang w:val="en-US" w:eastAsia="zh-CN"/>
              </w:rPr>
              <w:t>功能</w:t>
            </w:r>
          </w:p>
        </w:tc>
        <w:tc>
          <w:tcPr>
            <w:tcW w:w="1856"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default" w:ascii="仿宋_GB2312" w:hAnsi="仿宋_GB2312" w:eastAsia="仿宋_GB2312" w:cs="仿宋_GB2312"/>
                <w:b/>
                <w:bCs/>
                <w:snapToGrid/>
                <w:color w:val="000000"/>
                <w:kern w:val="2"/>
                <w:sz w:val="21"/>
                <w:szCs w:val="21"/>
                <w:lang w:val="en-US" w:eastAsia="zh-CN"/>
              </w:rPr>
            </w:pPr>
            <w:r>
              <w:rPr>
                <w:rFonts w:hint="eastAsia" w:ascii="仿宋_GB2312" w:hAnsi="仿宋_GB2312" w:eastAsia="仿宋_GB2312" w:cs="仿宋_GB2312"/>
                <w:b/>
                <w:bCs/>
                <w:snapToGrid/>
                <w:color w:val="000000"/>
                <w:kern w:val="2"/>
                <w:sz w:val="21"/>
                <w:szCs w:val="21"/>
                <w:lang w:val="en-US" w:eastAsia="zh-CN"/>
              </w:rPr>
              <w:t>主要参数</w:t>
            </w:r>
          </w:p>
        </w:tc>
        <w:tc>
          <w:tcPr>
            <w:tcW w:w="68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default" w:ascii="仿宋_GB2312" w:hAnsi="仿宋_GB2312" w:eastAsia="仿宋_GB2312" w:cs="仿宋_GB2312"/>
                <w:b/>
                <w:bCs/>
                <w:snapToGrid/>
                <w:color w:val="000000"/>
                <w:kern w:val="2"/>
                <w:sz w:val="21"/>
                <w:szCs w:val="21"/>
                <w:lang w:val="en-US"/>
              </w:rPr>
            </w:pPr>
            <w:r>
              <w:rPr>
                <w:rFonts w:hint="eastAsia" w:ascii="仿宋_GB2312" w:hAnsi="仿宋_GB2312" w:eastAsia="仿宋_GB2312" w:cs="仿宋_GB2312"/>
                <w:b/>
                <w:bCs/>
                <w:snapToGrid/>
                <w:color w:val="000000"/>
                <w:kern w:val="2"/>
                <w:sz w:val="21"/>
                <w:szCs w:val="21"/>
                <w:lang w:val="en-US" w:eastAsia="zh-CN"/>
              </w:rPr>
              <w:t>单价限价（元）</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default" w:ascii="仿宋_GB2312" w:hAnsi="仿宋_GB2312" w:eastAsia="仿宋_GB2312" w:cs="仿宋_GB2312"/>
                <w:b/>
                <w:bCs/>
                <w:snapToGrid/>
                <w:color w:val="000000"/>
                <w:kern w:val="2"/>
                <w:sz w:val="21"/>
                <w:szCs w:val="21"/>
                <w:lang w:val="en-US" w:eastAsia="zh-CN"/>
              </w:rPr>
            </w:pPr>
            <w:r>
              <w:rPr>
                <w:rFonts w:hint="eastAsia" w:ascii="仿宋_GB2312" w:hAnsi="仿宋_GB2312" w:eastAsia="仿宋_GB2312" w:cs="仿宋_GB2312"/>
                <w:b/>
                <w:bCs/>
                <w:snapToGrid/>
                <w:color w:val="000000"/>
                <w:kern w:val="2"/>
                <w:sz w:val="21"/>
                <w:szCs w:val="21"/>
                <w:lang w:val="en-US" w:eastAsia="zh-CN"/>
              </w:rPr>
              <w:t>数量</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eastAsia="zh-CN"/>
              </w:rPr>
            </w:pPr>
            <w:r>
              <w:rPr>
                <w:rFonts w:hint="eastAsia" w:ascii="仿宋_GB2312" w:hAnsi="仿宋_GB2312" w:eastAsia="仿宋_GB2312" w:cs="仿宋_GB2312"/>
                <w:b/>
                <w:bCs/>
                <w:snapToGrid/>
                <w:color w:val="000000"/>
                <w:kern w:val="2"/>
                <w:sz w:val="21"/>
                <w:szCs w:val="21"/>
              </w:rPr>
              <w:t>单价</w:t>
            </w:r>
            <w:r>
              <w:rPr>
                <w:rFonts w:hint="eastAsia" w:ascii="仿宋_GB2312" w:hAnsi="仿宋_GB2312" w:eastAsia="仿宋_GB2312" w:cs="仿宋_GB2312"/>
                <w:b/>
                <w:bCs/>
                <w:snapToGrid/>
                <w:color w:val="000000"/>
                <w:kern w:val="2"/>
                <w:sz w:val="21"/>
                <w:szCs w:val="21"/>
                <w:lang w:eastAsia="zh-CN"/>
              </w:rPr>
              <w:t>（元）</w:t>
            </w: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eastAsia="zh-CN"/>
              </w:rPr>
            </w:pPr>
            <w:r>
              <w:rPr>
                <w:rFonts w:hint="eastAsia" w:ascii="仿宋_GB2312" w:hAnsi="仿宋_GB2312" w:eastAsia="仿宋_GB2312" w:cs="仿宋_GB2312"/>
                <w:b/>
                <w:bCs/>
                <w:snapToGrid/>
                <w:color w:val="000000"/>
                <w:kern w:val="2"/>
                <w:sz w:val="21"/>
                <w:szCs w:val="21"/>
              </w:rPr>
              <w:t>合价</w:t>
            </w:r>
            <w:r>
              <w:rPr>
                <w:rFonts w:hint="eastAsia" w:ascii="仿宋_GB2312" w:hAnsi="仿宋_GB2312" w:eastAsia="仿宋_GB2312" w:cs="仿宋_GB2312"/>
                <w:b/>
                <w:bCs/>
                <w:snapToGrid/>
                <w:color w:val="000000"/>
                <w:kern w:val="2"/>
                <w:sz w:val="21"/>
                <w:szCs w:val="21"/>
                <w:lang w:eastAsia="zh-CN"/>
              </w:rPr>
              <w:t>（元）</w:t>
            </w:r>
          </w:p>
        </w:tc>
      </w:tr>
      <w:tr>
        <w:tblPrEx>
          <w:tblCellMar>
            <w:top w:w="0" w:type="dxa"/>
            <w:left w:w="0" w:type="dxa"/>
            <w:bottom w:w="0" w:type="dxa"/>
            <w:right w:w="0" w:type="dxa"/>
          </w:tblCellMar>
        </w:tblPrEx>
        <w:trPr>
          <w:trHeight w:val="511" w:hRule="atLeast"/>
          <w:jc w:val="center"/>
        </w:trPr>
        <w:tc>
          <w:tcPr>
            <w:tcW w:w="3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zh-CN" w:bidi="ar-SA"/>
              </w:rPr>
            </w:pPr>
            <w:r>
              <w:rPr>
                <w:rFonts w:hint="eastAsia" w:ascii="宋体" w:hAnsi="宋体" w:eastAsia="宋体" w:cs="宋体"/>
                <w:i w:val="0"/>
                <w:iCs w:val="0"/>
                <w:snapToGrid w:val="0"/>
                <w:color w:val="000000"/>
                <w:kern w:val="0"/>
                <w:sz w:val="22"/>
                <w:szCs w:val="22"/>
                <w:u w:val="none"/>
                <w:lang w:val="en-US" w:eastAsia="zh-CN" w:bidi="ar"/>
              </w:rPr>
              <w:t>1</w:t>
            </w:r>
          </w:p>
        </w:tc>
        <w:tc>
          <w:tcPr>
            <w:tcW w:w="1048"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zh-CN" w:bidi="ar-SA"/>
              </w:rPr>
            </w:pPr>
            <w:r>
              <w:rPr>
                <w:rFonts w:hint="eastAsia" w:ascii="仿宋" w:hAnsi="仿宋" w:eastAsia="仿宋" w:cs="仿宋"/>
                <w:i w:val="0"/>
                <w:iCs w:val="0"/>
                <w:snapToGrid w:val="0"/>
                <w:color w:val="000000"/>
                <w:kern w:val="0"/>
                <w:sz w:val="24"/>
                <w:szCs w:val="24"/>
                <w:u w:val="none"/>
                <w:lang w:val="en-US" w:eastAsia="zh-CN" w:bidi="ar"/>
              </w:rPr>
              <w:t>电热恒温培养箱</w:t>
            </w:r>
          </w:p>
        </w:tc>
        <w:tc>
          <w:tcPr>
            <w:tcW w:w="2130"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 w:hAnsi="仿宋" w:eastAsia="仿宋" w:cs="仿宋"/>
                <w:i w:val="0"/>
                <w:iCs w:val="0"/>
                <w:snapToGrid w:val="0"/>
                <w:color w:val="000000"/>
                <w:kern w:val="0"/>
                <w:sz w:val="24"/>
                <w:szCs w:val="24"/>
                <w:u w:val="none"/>
                <w:lang w:val="en-US" w:eastAsia="zh-CN" w:bidi="ar-SA"/>
              </w:rPr>
            </w:pPr>
            <w:r>
              <w:rPr>
                <w:rFonts w:hint="eastAsia" w:ascii="仿宋" w:hAnsi="仿宋" w:eastAsia="仿宋" w:cs="仿宋"/>
                <w:i w:val="0"/>
                <w:iCs w:val="0"/>
                <w:snapToGrid w:val="0"/>
                <w:color w:val="000000"/>
                <w:kern w:val="0"/>
                <w:sz w:val="24"/>
                <w:szCs w:val="24"/>
                <w:u w:val="none"/>
                <w:lang w:val="en-US" w:eastAsia="zh-CN" w:bidi="ar"/>
              </w:rPr>
              <w:t>储存电子元器件</w:t>
            </w:r>
          </w:p>
        </w:tc>
        <w:tc>
          <w:tcPr>
            <w:tcW w:w="1856"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内尺寸：60*50*75cm，控温范围：10-65℃</w:t>
            </w:r>
          </w:p>
        </w:tc>
        <w:tc>
          <w:tcPr>
            <w:tcW w:w="68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2000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zh-CN" w:bidi="ar-SA"/>
              </w:rPr>
            </w:pPr>
          </w:p>
        </w:tc>
      </w:tr>
      <w:tr>
        <w:tblPrEx>
          <w:tblCellMar>
            <w:top w:w="0" w:type="dxa"/>
            <w:left w:w="0" w:type="dxa"/>
            <w:bottom w:w="0" w:type="dxa"/>
            <w:right w:w="0" w:type="dxa"/>
          </w:tblCellMar>
        </w:tblPrEx>
        <w:trPr>
          <w:trHeight w:val="511" w:hRule="atLeast"/>
          <w:jc w:val="center"/>
        </w:trPr>
        <w:tc>
          <w:tcPr>
            <w:tcW w:w="3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宋体" w:hAnsi="宋体" w:eastAsia="宋体" w:cs="宋体"/>
                <w:i w:val="0"/>
                <w:iCs w:val="0"/>
                <w:snapToGrid w:val="0"/>
                <w:color w:val="000000"/>
                <w:kern w:val="0"/>
                <w:sz w:val="22"/>
                <w:szCs w:val="22"/>
                <w:u w:val="none"/>
                <w:lang w:val="en-US" w:eastAsia="zh-CN" w:bidi="ar"/>
              </w:rPr>
              <w:t>2</w:t>
            </w:r>
          </w:p>
        </w:tc>
        <w:tc>
          <w:tcPr>
            <w:tcW w:w="1048"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仿宋" w:hAnsi="仿宋" w:eastAsia="仿宋" w:cs="仿宋"/>
                <w:i w:val="0"/>
                <w:iCs w:val="0"/>
                <w:snapToGrid w:val="0"/>
                <w:color w:val="000000"/>
                <w:kern w:val="0"/>
                <w:sz w:val="24"/>
                <w:szCs w:val="24"/>
                <w:u w:val="none"/>
                <w:lang w:val="en-US" w:eastAsia="zh-CN" w:bidi="ar"/>
              </w:rPr>
              <w:t>土壤电阻率测试仪</w:t>
            </w:r>
          </w:p>
        </w:tc>
        <w:tc>
          <w:tcPr>
            <w:tcW w:w="2130"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lang w:val="en-US" w:eastAsia="zh-CN"/>
              </w:rPr>
            </w:pPr>
            <w:r>
              <w:rPr>
                <w:rFonts w:hint="eastAsia" w:ascii="仿宋" w:hAnsi="仿宋" w:eastAsia="仿宋" w:cs="仿宋"/>
                <w:i w:val="0"/>
                <w:iCs w:val="0"/>
                <w:snapToGrid w:val="0"/>
                <w:color w:val="000000"/>
                <w:kern w:val="0"/>
                <w:sz w:val="24"/>
                <w:szCs w:val="24"/>
                <w:u w:val="none"/>
                <w:lang w:val="en-US" w:eastAsia="zh-CN" w:bidi="ar"/>
              </w:rPr>
              <w:t>测量土壤导电能力</w:t>
            </w:r>
          </w:p>
        </w:tc>
        <w:tc>
          <w:tcPr>
            <w:tcW w:w="1856"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土壤电阻率测试：0-30KΩ，测量精度：1.5%</w:t>
            </w:r>
          </w:p>
        </w:tc>
        <w:tc>
          <w:tcPr>
            <w:tcW w:w="68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2000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p>
        </w:tc>
      </w:tr>
      <w:tr>
        <w:tblPrEx>
          <w:tblCellMar>
            <w:top w:w="0" w:type="dxa"/>
            <w:left w:w="0" w:type="dxa"/>
            <w:bottom w:w="0" w:type="dxa"/>
            <w:right w:w="0" w:type="dxa"/>
          </w:tblCellMar>
        </w:tblPrEx>
        <w:trPr>
          <w:trHeight w:val="511" w:hRule="atLeast"/>
          <w:jc w:val="center"/>
        </w:trPr>
        <w:tc>
          <w:tcPr>
            <w:tcW w:w="3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宋体" w:hAnsi="宋体" w:eastAsia="宋体" w:cs="宋体"/>
                <w:i w:val="0"/>
                <w:iCs w:val="0"/>
                <w:snapToGrid w:val="0"/>
                <w:color w:val="000000"/>
                <w:kern w:val="0"/>
                <w:sz w:val="22"/>
                <w:szCs w:val="22"/>
                <w:u w:val="none"/>
                <w:lang w:val="en-US" w:eastAsia="zh-CN" w:bidi="ar"/>
              </w:rPr>
              <w:t>3</w:t>
            </w:r>
          </w:p>
        </w:tc>
        <w:tc>
          <w:tcPr>
            <w:tcW w:w="1048"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仿宋" w:hAnsi="仿宋" w:eastAsia="仿宋" w:cs="仿宋"/>
                <w:i w:val="0"/>
                <w:iCs w:val="0"/>
                <w:snapToGrid w:val="0"/>
                <w:color w:val="000000"/>
                <w:kern w:val="0"/>
                <w:sz w:val="24"/>
                <w:szCs w:val="24"/>
                <w:u w:val="none"/>
                <w:lang w:val="en-US" w:eastAsia="zh-CN" w:bidi="ar"/>
              </w:rPr>
              <w:t>直流负载</w:t>
            </w:r>
          </w:p>
        </w:tc>
        <w:tc>
          <w:tcPr>
            <w:tcW w:w="2130"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b/>
                <w:bCs/>
                <w:snapToGrid/>
                <w:color w:val="000000"/>
                <w:kern w:val="2"/>
                <w:sz w:val="21"/>
                <w:szCs w:val="21"/>
                <w:lang w:val="en-US" w:eastAsia="zh-CN"/>
              </w:rPr>
            </w:pPr>
            <w:r>
              <w:rPr>
                <w:rFonts w:hint="eastAsia" w:ascii="仿宋" w:hAnsi="仿宋" w:eastAsia="仿宋" w:cs="仿宋"/>
                <w:i w:val="0"/>
                <w:iCs w:val="0"/>
                <w:snapToGrid w:val="0"/>
                <w:color w:val="000000"/>
                <w:kern w:val="0"/>
                <w:sz w:val="24"/>
                <w:szCs w:val="24"/>
                <w:u w:val="none"/>
                <w:lang w:val="en-US" w:eastAsia="zh-CN" w:bidi="ar"/>
              </w:rPr>
              <w:t>配合直流电源测试</w:t>
            </w:r>
          </w:p>
        </w:tc>
        <w:tc>
          <w:tcPr>
            <w:tcW w:w="1856"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直流电压0-500V，功率400W，电流0-15A</w:t>
            </w:r>
          </w:p>
        </w:tc>
        <w:tc>
          <w:tcPr>
            <w:tcW w:w="68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b/>
                <w:bCs/>
                <w:snapToGrid/>
                <w:color w:val="000000"/>
                <w:kern w:val="2"/>
                <w:sz w:val="21"/>
                <w:szCs w:val="21"/>
                <w:lang w:val="en-US"/>
              </w:rPr>
            </w:pPr>
            <w:r>
              <w:rPr>
                <w:rFonts w:hint="eastAsia" w:ascii="宋体" w:hAnsi="宋体" w:eastAsia="宋体" w:cs="宋体"/>
                <w:i w:val="0"/>
                <w:iCs w:val="0"/>
                <w:snapToGrid w:val="0"/>
                <w:color w:val="000000"/>
                <w:kern w:val="0"/>
                <w:sz w:val="22"/>
                <w:szCs w:val="22"/>
                <w:u w:val="none"/>
                <w:lang w:val="en-US" w:eastAsia="zh-CN" w:bidi="ar"/>
              </w:rPr>
              <w:t>2000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p>
        </w:tc>
      </w:tr>
      <w:tr>
        <w:tblPrEx>
          <w:tblCellMar>
            <w:top w:w="0" w:type="dxa"/>
            <w:left w:w="0" w:type="dxa"/>
            <w:bottom w:w="0" w:type="dxa"/>
            <w:right w:w="0" w:type="dxa"/>
          </w:tblCellMar>
        </w:tblPrEx>
        <w:trPr>
          <w:trHeight w:val="511" w:hRule="atLeast"/>
          <w:jc w:val="center"/>
        </w:trPr>
        <w:tc>
          <w:tcPr>
            <w:tcW w:w="3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宋体" w:hAnsi="宋体" w:eastAsia="宋体" w:cs="宋体"/>
                <w:i w:val="0"/>
                <w:iCs w:val="0"/>
                <w:snapToGrid w:val="0"/>
                <w:color w:val="000000"/>
                <w:kern w:val="0"/>
                <w:sz w:val="22"/>
                <w:szCs w:val="22"/>
                <w:u w:val="none"/>
                <w:lang w:val="en-US" w:eastAsia="zh-CN" w:bidi="ar"/>
              </w:rPr>
              <w:t>4</w:t>
            </w:r>
          </w:p>
        </w:tc>
        <w:tc>
          <w:tcPr>
            <w:tcW w:w="1048"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仿宋" w:hAnsi="仿宋" w:eastAsia="仿宋" w:cs="仿宋"/>
                <w:i w:val="0"/>
                <w:iCs w:val="0"/>
                <w:snapToGrid w:val="0"/>
                <w:color w:val="000000"/>
                <w:kern w:val="0"/>
                <w:sz w:val="24"/>
                <w:szCs w:val="24"/>
                <w:u w:val="none"/>
                <w:lang w:val="en-US" w:eastAsia="zh-CN" w:bidi="ar"/>
              </w:rPr>
              <w:t>干燥箱</w:t>
            </w:r>
          </w:p>
        </w:tc>
        <w:tc>
          <w:tcPr>
            <w:tcW w:w="2130"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lang w:val="en-US" w:eastAsia="zh-CN"/>
              </w:rPr>
            </w:pPr>
            <w:r>
              <w:rPr>
                <w:rFonts w:hint="eastAsia" w:ascii="仿宋" w:hAnsi="仿宋" w:eastAsia="仿宋" w:cs="仿宋"/>
                <w:i w:val="0"/>
                <w:iCs w:val="0"/>
                <w:snapToGrid w:val="0"/>
                <w:color w:val="000000"/>
                <w:kern w:val="0"/>
                <w:sz w:val="24"/>
                <w:szCs w:val="24"/>
                <w:u w:val="none"/>
                <w:lang w:val="en-US" w:eastAsia="zh-CN" w:bidi="ar"/>
              </w:rPr>
              <w:t>干燥、热处理、灭菌或恒温储存</w:t>
            </w:r>
          </w:p>
        </w:tc>
        <w:tc>
          <w:tcPr>
            <w:tcW w:w="1856"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 xml:space="preserve">控温范围：20-280℃；控温精度1.5℃，内尺寸：60*50*75cm </w:t>
            </w:r>
          </w:p>
        </w:tc>
        <w:tc>
          <w:tcPr>
            <w:tcW w:w="68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宋体" w:hAnsi="宋体" w:eastAsia="宋体" w:cs="宋体"/>
                <w:i w:val="0"/>
                <w:iCs w:val="0"/>
                <w:snapToGrid w:val="0"/>
                <w:color w:val="000000"/>
                <w:kern w:val="0"/>
                <w:sz w:val="22"/>
                <w:szCs w:val="22"/>
                <w:u w:val="none"/>
                <w:lang w:val="en-US" w:eastAsia="zh-CN" w:bidi="ar"/>
              </w:rPr>
              <w:t>2000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p>
        </w:tc>
      </w:tr>
      <w:tr>
        <w:tblPrEx>
          <w:tblCellMar>
            <w:top w:w="0" w:type="dxa"/>
            <w:left w:w="0" w:type="dxa"/>
            <w:bottom w:w="0" w:type="dxa"/>
            <w:right w:w="0" w:type="dxa"/>
          </w:tblCellMar>
        </w:tblPrEx>
        <w:trPr>
          <w:trHeight w:val="511" w:hRule="atLeast"/>
          <w:jc w:val="center"/>
        </w:trPr>
        <w:tc>
          <w:tcPr>
            <w:tcW w:w="3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宋体" w:hAnsi="宋体" w:eastAsia="宋体" w:cs="宋体"/>
                <w:i w:val="0"/>
                <w:iCs w:val="0"/>
                <w:snapToGrid w:val="0"/>
                <w:color w:val="000000"/>
                <w:kern w:val="0"/>
                <w:sz w:val="22"/>
                <w:szCs w:val="22"/>
                <w:u w:val="none"/>
                <w:lang w:val="en-US" w:eastAsia="zh-CN" w:bidi="ar"/>
              </w:rPr>
              <w:t>5</w:t>
            </w:r>
          </w:p>
        </w:tc>
        <w:tc>
          <w:tcPr>
            <w:tcW w:w="1048"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仿宋" w:hAnsi="仿宋" w:eastAsia="仿宋" w:cs="仿宋"/>
                <w:i w:val="0"/>
                <w:iCs w:val="0"/>
                <w:snapToGrid w:val="0"/>
                <w:color w:val="000000"/>
                <w:kern w:val="0"/>
                <w:sz w:val="24"/>
                <w:szCs w:val="24"/>
                <w:u w:val="none"/>
                <w:lang w:val="en-US" w:eastAsia="zh-CN" w:bidi="ar"/>
              </w:rPr>
              <w:t>显微镜</w:t>
            </w:r>
          </w:p>
        </w:tc>
        <w:tc>
          <w:tcPr>
            <w:tcW w:w="2130"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lang w:val="en-US" w:eastAsia="zh-CN"/>
              </w:rPr>
            </w:pPr>
            <w:r>
              <w:rPr>
                <w:rFonts w:hint="eastAsia" w:ascii="仿宋" w:hAnsi="仿宋" w:eastAsia="仿宋" w:cs="仿宋"/>
                <w:i w:val="0"/>
                <w:iCs w:val="0"/>
                <w:snapToGrid w:val="0"/>
                <w:color w:val="000000"/>
                <w:kern w:val="0"/>
                <w:sz w:val="24"/>
                <w:szCs w:val="24"/>
                <w:u w:val="none"/>
                <w:lang w:val="en-US" w:eastAsia="zh-CN" w:bidi="ar"/>
              </w:rPr>
              <w:t>观察金属材料的组织、缺陷等。</w:t>
            </w:r>
          </w:p>
        </w:tc>
        <w:tc>
          <w:tcPr>
            <w:tcW w:w="1856"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7至50倍三目显微镜,目镜10X，相机接头标准0.5XX相机</w:t>
            </w:r>
          </w:p>
        </w:tc>
        <w:tc>
          <w:tcPr>
            <w:tcW w:w="68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b/>
                <w:bCs/>
                <w:snapToGrid/>
                <w:color w:val="000000"/>
                <w:kern w:val="2"/>
                <w:sz w:val="21"/>
                <w:szCs w:val="21"/>
                <w:lang w:val="en-US"/>
              </w:rPr>
            </w:pPr>
            <w:r>
              <w:rPr>
                <w:rFonts w:hint="eastAsia" w:ascii="宋体" w:hAnsi="宋体" w:eastAsia="宋体" w:cs="宋体"/>
                <w:i w:val="0"/>
                <w:iCs w:val="0"/>
                <w:snapToGrid w:val="0"/>
                <w:color w:val="000000"/>
                <w:kern w:val="0"/>
                <w:sz w:val="22"/>
                <w:szCs w:val="22"/>
                <w:u w:val="none"/>
                <w:lang w:val="en-US" w:eastAsia="zh-CN" w:bidi="ar"/>
              </w:rPr>
              <w:t>2000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p>
        </w:tc>
      </w:tr>
      <w:tr>
        <w:tblPrEx>
          <w:tblCellMar>
            <w:top w:w="0" w:type="dxa"/>
            <w:left w:w="0" w:type="dxa"/>
            <w:bottom w:w="0" w:type="dxa"/>
            <w:right w:w="0" w:type="dxa"/>
          </w:tblCellMar>
        </w:tblPrEx>
        <w:trPr>
          <w:trHeight w:val="511" w:hRule="atLeast"/>
          <w:jc w:val="center"/>
        </w:trPr>
        <w:tc>
          <w:tcPr>
            <w:tcW w:w="3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宋体" w:hAnsi="宋体" w:eastAsia="宋体" w:cs="宋体"/>
                <w:i w:val="0"/>
                <w:iCs w:val="0"/>
                <w:snapToGrid w:val="0"/>
                <w:color w:val="000000"/>
                <w:kern w:val="0"/>
                <w:sz w:val="22"/>
                <w:szCs w:val="22"/>
                <w:u w:val="none"/>
                <w:lang w:val="en-US" w:eastAsia="zh-CN" w:bidi="ar"/>
              </w:rPr>
              <w:t>6</w:t>
            </w:r>
          </w:p>
        </w:tc>
        <w:tc>
          <w:tcPr>
            <w:tcW w:w="1048"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rPr>
            </w:pPr>
            <w:r>
              <w:rPr>
                <w:rFonts w:hint="eastAsia" w:ascii="仿宋" w:hAnsi="仿宋" w:eastAsia="仿宋" w:cs="仿宋"/>
                <w:i w:val="0"/>
                <w:iCs w:val="0"/>
                <w:snapToGrid w:val="0"/>
                <w:color w:val="000000"/>
                <w:kern w:val="0"/>
                <w:sz w:val="24"/>
                <w:szCs w:val="24"/>
                <w:u w:val="none"/>
                <w:lang w:val="en-US" w:eastAsia="zh-CN" w:bidi="ar"/>
              </w:rPr>
              <w:t>电导率仪</w:t>
            </w:r>
          </w:p>
        </w:tc>
        <w:tc>
          <w:tcPr>
            <w:tcW w:w="2130"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lang w:val="en-US" w:eastAsia="zh-CN"/>
              </w:rPr>
            </w:pPr>
            <w:r>
              <w:rPr>
                <w:rFonts w:hint="eastAsia" w:ascii="仿宋" w:hAnsi="仿宋" w:eastAsia="仿宋" w:cs="仿宋"/>
                <w:i w:val="0"/>
                <w:iCs w:val="0"/>
                <w:snapToGrid w:val="0"/>
                <w:color w:val="000000"/>
                <w:kern w:val="0"/>
                <w:sz w:val="24"/>
                <w:szCs w:val="24"/>
                <w:u w:val="none"/>
                <w:lang w:val="en-US" w:eastAsia="zh-CN" w:bidi="ar"/>
              </w:rPr>
              <w:t>测量电导率</w:t>
            </w:r>
          </w:p>
        </w:tc>
        <w:tc>
          <w:tcPr>
            <w:tcW w:w="1856"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电导率范围：0-100mS/cm，精度：±1%FS</w:t>
            </w:r>
          </w:p>
        </w:tc>
        <w:tc>
          <w:tcPr>
            <w:tcW w:w="68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b/>
                <w:bCs/>
                <w:snapToGrid/>
                <w:color w:val="000000"/>
                <w:kern w:val="2"/>
                <w:sz w:val="21"/>
                <w:szCs w:val="21"/>
                <w:lang w:val="en-US"/>
              </w:rPr>
            </w:pPr>
            <w:r>
              <w:rPr>
                <w:rFonts w:hint="eastAsia" w:ascii="宋体" w:hAnsi="宋体" w:eastAsia="宋体" w:cs="宋体"/>
                <w:i w:val="0"/>
                <w:iCs w:val="0"/>
                <w:snapToGrid w:val="0"/>
                <w:color w:val="000000"/>
                <w:kern w:val="0"/>
                <w:sz w:val="22"/>
                <w:szCs w:val="22"/>
                <w:u w:val="none"/>
                <w:lang w:val="en-US" w:eastAsia="zh-CN" w:bidi="ar"/>
              </w:rPr>
              <w:t>2000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p>
        </w:tc>
      </w:tr>
      <w:tr>
        <w:tblPrEx>
          <w:tblCellMar>
            <w:top w:w="0" w:type="dxa"/>
            <w:left w:w="0" w:type="dxa"/>
            <w:bottom w:w="0" w:type="dxa"/>
            <w:right w:w="0" w:type="dxa"/>
          </w:tblCellMar>
        </w:tblPrEx>
        <w:trPr>
          <w:trHeight w:val="511" w:hRule="atLeast"/>
          <w:jc w:val="center"/>
        </w:trPr>
        <w:tc>
          <w:tcPr>
            <w:tcW w:w="3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snapToGrid/>
                <w:color w:val="000000"/>
                <w:kern w:val="2"/>
                <w:sz w:val="21"/>
                <w:szCs w:val="21"/>
                <w:lang w:val="en-US" w:eastAsia="zh-CN"/>
              </w:rPr>
            </w:pPr>
            <w:r>
              <w:rPr>
                <w:rFonts w:hint="eastAsia" w:ascii="仿宋" w:hAnsi="仿宋" w:eastAsia="仿宋" w:cs="仿宋"/>
                <w:i w:val="0"/>
                <w:iCs w:val="0"/>
                <w:snapToGrid w:val="0"/>
                <w:color w:val="000000"/>
                <w:kern w:val="0"/>
                <w:sz w:val="24"/>
                <w:szCs w:val="24"/>
                <w:u w:val="none"/>
                <w:lang w:val="en-US" w:eastAsia="zh-CN" w:bidi="ar"/>
              </w:rPr>
              <w:t>7</w:t>
            </w:r>
          </w:p>
        </w:tc>
        <w:tc>
          <w:tcPr>
            <w:tcW w:w="1048"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snapToGrid/>
                <w:color w:val="000000"/>
                <w:kern w:val="2"/>
                <w:sz w:val="21"/>
                <w:szCs w:val="21"/>
                <w:lang w:val="en-US" w:eastAsia="zh-CN"/>
              </w:rPr>
            </w:pPr>
            <w:r>
              <w:rPr>
                <w:rFonts w:hint="eastAsia" w:ascii="仿宋" w:hAnsi="仿宋" w:eastAsia="仿宋" w:cs="仿宋"/>
                <w:i w:val="0"/>
                <w:iCs w:val="0"/>
                <w:snapToGrid w:val="0"/>
                <w:color w:val="000000"/>
                <w:kern w:val="0"/>
                <w:sz w:val="24"/>
                <w:szCs w:val="24"/>
                <w:u w:val="none"/>
                <w:lang w:val="en-US" w:eastAsia="zh-CN" w:bidi="ar"/>
              </w:rPr>
              <w:t>滑动变阻器</w:t>
            </w:r>
          </w:p>
        </w:tc>
        <w:tc>
          <w:tcPr>
            <w:tcW w:w="2130"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snapToGrid/>
                <w:color w:val="000000"/>
                <w:kern w:val="2"/>
                <w:sz w:val="21"/>
                <w:szCs w:val="21"/>
                <w:lang w:val="en-US" w:eastAsia="zh-CN"/>
              </w:rPr>
            </w:pPr>
            <w:r>
              <w:rPr>
                <w:rFonts w:hint="eastAsia" w:ascii="仿宋" w:hAnsi="仿宋" w:eastAsia="仿宋" w:cs="仿宋"/>
                <w:i w:val="0"/>
                <w:iCs w:val="0"/>
                <w:snapToGrid w:val="0"/>
                <w:color w:val="000000"/>
                <w:kern w:val="0"/>
                <w:sz w:val="24"/>
                <w:szCs w:val="24"/>
                <w:u w:val="none"/>
                <w:lang w:val="en-US" w:eastAsia="zh-CN" w:bidi="ar"/>
              </w:rPr>
              <w:t>负载测试</w:t>
            </w:r>
          </w:p>
        </w:tc>
        <w:tc>
          <w:tcPr>
            <w:tcW w:w="1856"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电阻范围0-20Ω，功率5kw</w:t>
            </w:r>
          </w:p>
        </w:tc>
        <w:tc>
          <w:tcPr>
            <w:tcW w:w="68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snapToGrid/>
                <w:color w:val="000000"/>
                <w:kern w:val="2"/>
                <w:sz w:val="21"/>
                <w:szCs w:val="21"/>
                <w:lang w:val="en-US" w:eastAsia="zh-CN"/>
              </w:rPr>
            </w:pPr>
            <w:r>
              <w:rPr>
                <w:rFonts w:hint="eastAsia" w:ascii="宋体" w:hAnsi="宋体" w:eastAsia="宋体" w:cs="宋体"/>
                <w:i w:val="0"/>
                <w:iCs w:val="0"/>
                <w:snapToGrid w:val="0"/>
                <w:color w:val="000000"/>
                <w:kern w:val="0"/>
                <w:sz w:val="22"/>
                <w:szCs w:val="22"/>
                <w:u w:val="none"/>
                <w:lang w:val="en-US" w:eastAsia="zh-CN" w:bidi="ar"/>
              </w:rPr>
              <w:t>500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3</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jc w:val="center"/>
              <w:textAlignment w:val="auto"/>
              <w:rPr>
                <w:rFonts w:hint="eastAsia" w:ascii="仿宋_GB2312" w:hAnsi="仿宋_GB2312" w:eastAsia="仿宋_GB2312" w:cs="仿宋_GB2312"/>
                <w:snapToGrid/>
                <w:color w:val="000000"/>
                <w:kern w:val="2"/>
                <w:sz w:val="21"/>
                <w:szCs w:val="21"/>
                <w:lang w:val="en-US" w:eastAsia="zh-CN"/>
              </w:rPr>
            </w:pPr>
          </w:p>
        </w:tc>
      </w:tr>
      <w:tr>
        <w:tblPrEx>
          <w:tblCellMar>
            <w:top w:w="0" w:type="dxa"/>
            <w:left w:w="0" w:type="dxa"/>
            <w:bottom w:w="0" w:type="dxa"/>
            <w:right w:w="0" w:type="dxa"/>
          </w:tblCellMar>
        </w:tblPrEx>
        <w:trPr>
          <w:trHeight w:val="511" w:hRule="atLeast"/>
          <w:jc w:val="center"/>
        </w:trPr>
        <w:tc>
          <w:tcPr>
            <w:tcW w:w="1390" w:type="dxa"/>
            <w:gridSpan w:val="2"/>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wordWrap/>
              <w:autoSpaceDE/>
              <w:autoSpaceDN/>
              <w:adjustRightInd/>
              <w:snapToGrid/>
              <w:spacing w:line="240" w:lineRule="auto"/>
              <w:jc w:val="center"/>
              <w:textAlignment w:val="auto"/>
              <w:rPr>
                <w:rFonts w:hint="eastAsia" w:ascii="仿宋_GB2312" w:hAnsi="仿宋_GB2312" w:eastAsia="仿宋_GB2312" w:cs="仿宋_GB2312"/>
                <w:snapToGrid/>
                <w:color w:val="000000"/>
                <w:kern w:val="2"/>
                <w:sz w:val="21"/>
                <w:szCs w:val="21"/>
                <w:lang w:val="en-US" w:eastAsia="zh-CN"/>
              </w:rPr>
            </w:pPr>
            <w:r>
              <w:rPr>
                <w:rFonts w:hint="eastAsia" w:ascii="仿宋_GB2312" w:hAnsi="仿宋_GB2312" w:eastAsia="仿宋_GB2312" w:cs="仿宋_GB2312"/>
                <w:snapToGrid/>
                <w:color w:val="000000"/>
                <w:kern w:val="2"/>
                <w:sz w:val="21"/>
                <w:szCs w:val="21"/>
                <w:lang w:val="en-US" w:eastAsia="zh-CN"/>
              </w:rPr>
              <w:t>合计</w:t>
            </w:r>
          </w:p>
        </w:tc>
        <w:tc>
          <w:tcPr>
            <w:tcW w:w="2130"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wordWrap w:val="0"/>
              <w:autoSpaceDE/>
              <w:autoSpaceDN/>
              <w:adjustRightInd/>
              <w:snapToGrid/>
              <w:spacing w:line="240" w:lineRule="auto"/>
              <w:jc w:val="right"/>
              <w:textAlignment w:val="auto"/>
              <w:rPr>
                <w:rFonts w:hint="eastAsia" w:ascii="仿宋_GB2312" w:hAnsi="仿宋_GB2312" w:eastAsia="仿宋_GB2312" w:cs="仿宋_GB2312"/>
                <w:snapToGrid/>
                <w:color w:val="000000"/>
                <w:kern w:val="2"/>
                <w:sz w:val="21"/>
                <w:szCs w:val="21"/>
                <w:lang w:val="en-US" w:eastAsia="zh-CN"/>
              </w:rPr>
            </w:pPr>
          </w:p>
        </w:tc>
        <w:tc>
          <w:tcPr>
            <w:tcW w:w="4799" w:type="dxa"/>
            <w:gridSpan w:val="5"/>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wordWrap w:val="0"/>
              <w:autoSpaceDE/>
              <w:autoSpaceDN/>
              <w:adjustRightInd/>
              <w:snapToGrid/>
              <w:spacing w:line="240" w:lineRule="auto"/>
              <w:jc w:val="right"/>
              <w:textAlignment w:val="auto"/>
              <w:rPr>
                <w:rFonts w:hint="default" w:ascii="仿宋_GB2312" w:hAnsi="仿宋_GB2312" w:eastAsia="仿宋_GB2312" w:cs="仿宋_GB2312"/>
                <w:snapToGrid/>
                <w:color w:val="000000"/>
                <w:kern w:val="2"/>
                <w:sz w:val="21"/>
                <w:szCs w:val="21"/>
                <w:lang w:val="en-US" w:eastAsia="zh-CN"/>
              </w:rPr>
            </w:pPr>
            <w:r>
              <w:rPr>
                <w:rFonts w:hint="eastAsia" w:ascii="仿宋_GB2312" w:hAnsi="仿宋_GB2312" w:eastAsia="仿宋_GB2312" w:cs="仿宋_GB2312"/>
                <w:snapToGrid/>
                <w:color w:val="000000"/>
                <w:kern w:val="2"/>
                <w:sz w:val="21"/>
                <w:szCs w:val="21"/>
                <w:lang w:val="en-US" w:eastAsia="zh-CN"/>
              </w:rPr>
              <w:t xml:space="preserve">小写：￥           元，    大写：                          </w:t>
            </w:r>
          </w:p>
        </w:tc>
      </w:tr>
    </w:tbl>
    <w:p>
      <w:pPr>
        <w:spacing w:line="360" w:lineRule="auto"/>
        <w:jc w:val="left"/>
        <w:rPr>
          <w:rFonts w:hint="eastAsia" w:ascii="仿宋_GB2312" w:hAnsi="Times New Roman" w:eastAsia="仿宋_GB2312"/>
          <w:sz w:val="24"/>
          <w:szCs w:val="24"/>
          <w:lang w:eastAsia="zh-CN"/>
        </w:rPr>
      </w:pPr>
      <w:r>
        <w:rPr>
          <w:rFonts w:hint="eastAsia" w:ascii="仿宋_GB2312" w:hAnsi="Times New Roman" w:eastAsia="仿宋_GB2312"/>
          <w:sz w:val="24"/>
          <w:szCs w:val="24"/>
          <w:lang w:eastAsia="zh-CN"/>
        </w:rPr>
        <w:t>备注：报价明细表的价格须与平台上填报价格严格一致。</w:t>
      </w:r>
    </w:p>
    <w:p>
      <w:pPr>
        <w:pStyle w:val="2"/>
        <w:rPr>
          <w:rFonts w:hint="eastAsia"/>
          <w:lang w:eastAsia="zh-CN"/>
        </w:rPr>
      </w:pPr>
    </w:p>
    <w:p>
      <w:pPr>
        <w:spacing w:line="360" w:lineRule="auto"/>
        <w:ind w:left="5950" w:firstLine="425"/>
        <w:rPr>
          <w:rFonts w:ascii="仿宋_GB2312" w:eastAsia="仿宋_GB2312" w:cs="宋体"/>
          <w:sz w:val="28"/>
          <w:szCs w:val="28"/>
        </w:rPr>
      </w:pPr>
      <w:r>
        <w:rPr>
          <w:rFonts w:hint="eastAsia" w:ascii="仿宋_GB2312" w:hAnsi="Times New Roman" w:eastAsia="仿宋_GB2312"/>
          <w:sz w:val="28"/>
          <w:szCs w:val="28"/>
          <w:lang w:eastAsia="zh-CN"/>
        </w:rPr>
        <w:t>报价</w:t>
      </w:r>
      <w:r>
        <w:rPr>
          <w:rFonts w:hint="eastAsia" w:ascii="仿宋_GB2312" w:hAnsi="Times New Roman" w:eastAsia="仿宋_GB2312"/>
          <w:sz w:val="28"/>
          <w:szCs w:val="28"/>
        </w:rPr>
        <w:t>人（盖章)</w:t>
      </w:r>
    </w:p>
    <w:p>
      <w:pPr>
        <w:jc w:val="right"/>
        <w:rPr>
          <w:rFonts w:hint="eastAsia" w:ascii="仿宋_GB2312" w:hAnsi="Times New Roman" w:eastAsia="仿宋_GB2312"/>
          <w:sz w:val="28"/>
          <w:szCs w:val="28"/>
        </w:rPr>
      </w:pPr>
      <w:r>
        <w:rPr>
          <w:rFonts w:ascii="仿宋_GB2312" w:eastAsia="仿宋_GB2312"/>
          <w:snapToGrid w:val="0"/>
          <w:kern w:val="24"/>
          <w:sz w:val="28"/>
          <w:szCs w:val="28"/>
        </w:rPr>
        <w:t xml:space="preserve">     </w:t>
      </w:r>
      <w:r>
        <w:rPr>
          <w:rFonts w:hint="eastAsia" w:ascii="仿宋_GB2312" w:hAnsi="Times New Roman" w:eastAsia="仿宋_GB2312"/>
          <w:sz w:val="28"/>
          <w:szCs w:val="28"/>
        </w:rPr>
        <w:t xml:space="preserve"> </w:t>
      </w:r>
      <w:r>
        <w:rPr>
          <w:rFonts w:hint="eastAsia" w:ascii="仿宋_GB2312" w:hAnsi="Times New Roman" w:eastAsia="仿宋_GB2312"/>
          <w:sz w:val="28"/>
          <w:szCs w:val="28"/>
          <w:u w:val="single"/>
        </w:rPr>
        <w:t xml:space="preserve">     </w:t>
      </w:r>
      <w:r>
        <w:rPr>
          <w:rFonts w:hint="eastAsia" w:ascii="仿宋_GB2312" w:hAnsi="Times New Roman" w:eastAsia="仿宋_GB2312"/>
          <w:sz w:val="28"/>
          <w:szCs w:val="28"/>
        </w:rPr>
        <w:t>年</w:t>
      </w:r>
      <w:r>
        <w:rPr>
          <w:rFonts w:hint="eastAsia" w:ascii="仿宋_GB2312" w:hAnsi="Times New Roman" w:eastAsia="仿宋_GB2312"/>
          <w:sz w:val="28"/>
          <w:szCs w:val="28"/>
          <w:u w:val="single"/>
        </w:rPr>
        <w:t xml:space="preserve">    </w:t>
      </w:r>
      <w:r>
        <w:rPr>
          <w:rFonts w:hint="eastAsia" w:ascii="仿宋_GB2312" w:hAnsi="Times New Roman" w:eastAsia="仿宋_GB2312"/>
          <w:sz w:val="28"/>
          <w:szCs w:val="28"/>
        </w:rPr>
        <w:t>月</w:t>
      </w:r>
      <w:r>
        <w:rPr>
          <w:rFonts w:hint="eastAsia" w:ascii="仿宋_GB2312" w:hAnsi="Times New Roman" w:eastAsia="仿宋_GB2312"/>
          <w:sz w:val="28"/>
          <w:szCs w:val="28"/>
          <w:u w:val="single"/>
        </w:rPr>
        <w:t xml:space="preserve">   </w:t>
      </w:r>
      <w:r>
        <w:rPr>
          <w:rFonts w:hint="eastAsia" w:ascii="仿宋_GB2312" w:hAnsi="Times New Roman" w:eastAsia="仿宋_GB2312"/>
          <w:sz w:val="28"/>
          <w:szCs w:val="28"/>
        </w:rPr>
        <w:t>日</w:t>
      </w:r>
    </w:p>
    <w:p>
      <w:pPr>
        <w:rPr>
          <w:rFonts w:hint="eastAsia" w:ascii="仿宋_GB2312" w:hAnsi="Times New Roman" w:eastAsia="仿宋_GB2312"/>
          <w:kern w:val="2"/>
          <w:sz w:val="28"/>
          <w:szCs w:val="28"/>
          <w:lang w:val="en-US" w:eastAsia="zh-CN" w:bidi="ar-SA"/>
        </w:rPr>
      </w:pPr>
    </w:p>
    <w:p>
      <w:pPr>
        <w:bidi w:val="0"/>
        <w:spacing w:line="360" w:lineRule="auto"/>
      </w:pPr>
    </w:p>
    <w:p>
      <w:pPr>
        <w:rPr>
          <w:rFonts w:hint="default" w:eastAsia="宋体"/>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6100AC"/>
    <w:rsid w:val="00BC2D44"/>
    <w:rsid w:val="00E83326"/>
    <w:rsid w:val="00E91852"/>
    <w:rsid w:val="01C81549"/>
    <w:rsid w:val="02554FB2"/>
    <w:rsid w:val="055B3B66"/>
    <w:rsid w:val="058E4EA5"/>
    <w:rsid w:val="064A1761"/>
    <w:rsid w:val="06780FAB"/>
    <w:rsid w:val="06D41534"/>
    <w:rsid w:val="071C7E5F"/>
    <w:rsid w:val="07905320"/>
    <w:rsid w:val="088074B9"/>
    <w:rsid w:val="08890B54"/>
    <w:rsid w:val="08A46B7E"/>
    <w:rsid w:val="09012BD3"/>
    <w:rsid w:val="0955751E"/>
    <w:rsid w:val="095E1B17"/>
    <w:rsid w:val="09BA4874"/>
    <w:rsid w:val="0A247833"/>
    <w:rsid w:val="0B3E28FE"/>
    <w:rsid w:val="0C8B7A9C"/>
    <w:rsid w:val="0DC66D88"/>
    <w:rsid w:val="0E4E309A"/>
    <w:rsid w:val="0F2F153E"/>
    <w:rsid w:val="108E4749"/>
    <w:rsid w:val="113E3458"/>
    <w:rsid w:val="120F1B19"/>
    <w:rsid w:val="12A3721F"/>
    <w:rsid w:val="135375C3"/>
    <w:rsid w:val="137978B4"/>
    <w:rsid w:val="13814968"/>
    <w:rsid w:val="13B42C90"/>
    <w:rsid w:val="13EE74BE"/>
    <w:rsid w:val="142E3B2B"/>
    <w:rsid w:val="15532609"/>
    <w:rsid w:val="15996E27"/>
    <w:rsid w:val="15F45D6C"/>
    <w:rsid w:val="176F4492"/>
    <w:rsid w:val="17D50129"/>
    <w:rsid w:val="18101182"/>
    <w:rsid w:val="18565610"/>
    <w:rsid w:val="18E51432"/>
    <w:rsid w:val="1911682C"/>
    <w:rsid w:val="19B95D40"/>
    <w:rsid w:val="19FC1357"/>
    <w:rsid w:val="1A087F78"/>
    <w:rsid w:val="1A186D43"/>
    <w:rsid w:val="1A610913"/>
    <w:rsid w:val="1AC8397F"/>
    <w:rsid w:val="1B1F0B0A"/>
    <w:rsid w:val="1B412344"/>
    <w:rsid w:val="1B5473DD"/>
    <w:rsid w:val="1B650A8B"/>
    <w:rsid w:val="1B751477"/>
    <w:rsid w:val="1BC77652"/>
    <w:rsid w:val="1C260C75"/>
    <w:rsid w:val="1C403981"/>
    <w:rsid w:val="1CA25D75"/>
    <w:rsid w:val="1DA72513"/>
    <w:rsid w:val="1DDF07A3"/>
    <w:rsid w:val="1EA71815"/>
    <w:rsid w:val="1EE86E63"/>
    <w:rsid w:val="1F1A0416"/>
    <w:rsid w:val="1F3211FE"/>
    <w:rsid w:val="201A2537"/>
    <w:rsid w:val="206B03A0"/>
    <w:rsid w:val="20C429D0"/>
    <w:rsid w:val="21495F3F"/>
    <w:rsid w:val="22185880"/>
    <w:rsid w:val="22343B10"/>
    <w:rsid w:val="228F6A51"/>
    <w:rsid w:val="22BA24C0"/>
    <w:rsid w:val="23431AEA"/>
    <w:rsid w:val="24D2144A"/>
    <w:rsid w:val="25CC0A1E"/>
    <w:rsid w:val="25CD1194"/>
    <w:rsid w:val="25D72B4E"/>
    <w:rsid w:val="265E0329"/>
    <w:rsid w:val="2670099D"/>
    <w:rsid w:val="26A06F6E"/>
    <w:rsid w:val="273D00F1"/>
    <w:rsid w:val="274403BD"/>
    <w:rsid w:val="286C74DE"/>
    <w:rsid w:val="29686D03"/>
    <w:rsid w:val="2B02041C"/>
    <w:rsid w:val="2BC37160"/>
    <w:rsid w:val="2BE025AD"/>
    <w:rsid w:val="2BFE6AE3"/>
    <w:rsid w:val="2C5E380E"/>
    <w:rsid w:val="2D2E11B0"/>
    <w:rsid w:val="2DA54273"/>
    <w:rsid w:val="2E034121"/>
    <w:rsid w:val="2E97127C"/>
    <w:rsid w:val="2F8463E4"/>
    <w:rsid w:val="2FCE691E"/>
    <w:rsid w:val="30090737"/>
    <w:rsid w:val="30533046"/>
    <w:rsid w:val="30832044"/>
    <w:rsid w:val="30A226BE"/>
    <w:rsid w:val="30A722E1"/>
    <w:rsid w:val="30B24E77"/>
    <w:rsid w:val="310D1C85"/>
    <w:rsid w:val="312176B5"/>
    <w:rsid w:val="312C21FD"/>
    <w:rsid w:val="31611710"/>
    <w:rsid w:val="318232C0"/>
    <w:rsid w:val="31B47C77"/>
    <w:rsid w:val="324259A0"/>
    <w:rsid w:val="32DF1F4B"/>
    <w:rsid w:val="33030EB6"/>
    <w:rsid w:val="334E101F"/>
    <w:rsid w:val="33521EC0"/>
    <w:rsid w:val="33A8380B"/>
    <w:rsid w:val="33E2181E"/>
    <w:rsid w:val="3448372B"/>
    <w:rsid w:val="344B2560"/>
    <w:rsid w:val="35344697"/>
    <w:rsid w:val="35410CCD"/>
    <w:rsid w:val="35840EDB"/>
    <w:rsid w:val="35D74E22"/>
    <w:rsid w:val="35E54BA2"/>
    <w:rsid w:val="36BE5EAC"/>
    <w:rsid w:val="36E175BE"/>
    <w:rsid w:val="37C13D08"/>
    <w:rsid w:val="38BA0CF6"/>
    <w:rsid w:val="3A323F34"/>
    <w:rsid w:val="3A717D6E"/>
    <w:rsid w:val="3B457E59"/>
    <w:rsid w:val="3BDE6B90"/>
    <w:rsid w:val="3BE802E5"/>
    <w:rsid w:val="3C050408"/>
    <w:rsid w:val="3C1D582B"/>
    <w:rsid w:val="3C75051A"/>
    <w:rsid w:val="3CC67D92"/>
    <w:rsid w:val="3D690EA2"/>
    <w:rsid w:val="3E3816FC"/>
    <w:rsid w:val="3E602803"/>
    <w:rsid w:val="3F310B59"/>
    <w:rsid w:val="403B5FBE"/>
    <w:rsid w:val="414D717A"/>
    <w:rsid w:val="41566D3D"/>
    <w:rsid w:val="42826579"/>
    <w:rsid w:val="42915696"/>
    <w:rsid w:val="443E41B9"/>
    <w:rsid w:val="45B90994"/>
    <w:rsid w:val="46BA0199"/>
    <w:rsid w:val="46F91E7C"/>
    <w:rsid w:val="47356E70"/>
    <w:rsid w:val="47964EC2"/>
    <w:rsid w:val="47A40956"/>
    <w:rsid w:val="486453C9"/>
    <w:rsid w:val="4AD551CD"/>
    <w:rsid w:val="4C741464"/>
    <w:rsid w:val="4C7E4397"/>
    <w:rsid w:val="4CDF47AB"/>
    <w:rsid w:val="4D1625A3"/>
    <w:rsid w:val="4D1976C6"/>
    <w:rsid w:val="4D583DE0"/>
    <w:rsid w:val="4EDF70BF"/>
    <w:rsid w:val="4F586138"/>
    <w:rsid w:val="4F974DC0"/>
    <w:rsid w:val="50496D46"/>
    <w:rsid w:val="504E6A51"/>
    <w:rsid w:val="50780C10"/>
    <w:rsid w:val="50D5692A"/>
    <w:rsid w:val="510C4885"/>
    <w:rsid w:val="513308B8"/>
    <w:rsid w:val="517B7BEB"/>
    <w:rsid w:val="527135D1"/>
    <w:rsid w:val="52C40EB5"/>
    <w:rsid w:val="540478B9"/>
    <w:rsid w:val="55955967"/>
    <w:rsid w:val="55A4276E"/>
    <w:rsid w:val="561C4BD2"/>
    <w:rsid w:val="56490020"/>
    <w:rsid w:val="570A74B7"/>
    <w:rsid w:val="571D387C"/>
    <w:rsid w:val="573726C7"/>
    <w:rsid w:val="57FA5FD2"/>
    <w:rsid w:val="58620690"/>
    <w:rsid w:val="587D0EF4"/>
    <w:rsid w:val="58CA4480"/>
    <w:rsid w:val="597B335B"/>
    <w:rsid w:val="597F0492"/>
    <w:rsid w:val="59DF4762"/>
    <w:rsid w:val="59FF13B5"/>
    <w:rsid w:val="5A866D10"/>
    <w:rsid w:val="5ABE39D6"/>
    <w:rsid w:val="5B74628A"/>
    <w:rsid w:val="5B84766C"/>
    <w:rsid w:val="5C1B076F"/>
    <w:rsid w:val="5C4C447D"/>
    <w:rsid w:val="5CAB1AF3"/>
    <w:rsid w:val="5E6F75FB"/>
    <w:rsid w:val="5F6B351D"/>
    <w:rsid w:val="5F8B593B"/>
    <w:rsid w:val="5FD421CC"/>
    <w:rsid w:val="60864543"/>
    <w:rsid w:val="6143039D"/>
    <w:rsid w:val="621A0401"/>
    <w:rsid w:val="62DF4795"/>
    <w:rsid w:val="62E87900"/>
    <w:rsid w:val="63D964A6"/>
    <w:rsid w:val="652B3002"/>
    <w:rsid w:val="667015FB"/>
    <w:rsid w:val="677123B9"/>
    <w:rsid w:val="682676EC"/>
    <w:rsid w:val="68525C1F"/>
    <w:rsid w:val="68616311"/>
    <w:rsid w:val="68D30B09"/>
    <w:rsid w:val="68FA2F47"/>
    <w:rsid w:val="6A7875F5"/>
    <w:rsid w:val="6BD33AB5"/>
    <w:rsid w:val="6C1E27F0"/>
    <w:rsid w:val="6C2F15A9"/>
    <w:rsid w:val="6C9E1B12"/>
    <w:rsid w:val="6D5B238A"/>
    <w:rsid w:val="6D743A98"/>
    <w:rsid w:val="6D7F36B1"/>
    <w:rsid w:val="6DDD14CC"/>
    <w:rsid w:val="6E2C0996"/>
    <w:rsid w:val="6FFA71FD"/>
    <w:rsid w:val="6FFB0F46"/>
    <w:rsid w:val="706459F2"/>
    <w:rsid w:val="706C5454"/>
    <w:rsid w:val="71A47476"/>
    <w:rsid w:val="71F75E09"/>
    <w:rsid w:val="72480D6B"/>
    <w:rsid w:val="725E1025"/>
    <w:rsid w:val="72FE3420"/>
    <w:rsid w:val="733F7E37"/>
    <w:rsid w:val="73994981"/>
    <w:rsid w:val="74EB70E0"/>
    <w:rsid w:val="75527D89"/>
    <w:rsid w:val="76B3570B"/>
    <w:rsid w:val="772067E2"/>
    <w:rsid w:val="772B3963"/>
    <w:rsid w:val="776D717F"/>
    <w:rsid w:val="77CE4501"/>
    <w:rsid w:val="78181816"/>
    <w:rsid w:val="78283CF7"/>
    <w:rsid w:val="78403E52"/>
    <w:rsid w:val="784142F4"/>
    <w:rsid w:val="797152CB"/>
    <w:rsid w:val="7A525252"/>
    <w:rsid w:val="7A57526B"/>
    <w:rsid w:val="7B653379"/>
    <w:rsid w:val="7C7742F7"/>
    <w:rsid w:val="7D0E5A5A"/>
    <w:rsid w:val="7D496E5F"/>
    <w:rsid w:val="7DFF25D6"/>
    <w:rsid w:val="7EA448D3"/>
    <w:rsid w:val="7EE70AFA"/>
    <w:rsid w:val="7F6D2FF3"/>
    <w:rsid w:val="7F8E0059"/>
    <w:rsid w:val="7FB43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5"/>
    <w:basedOn w:val="1"/>
    <w:next w:val="1"/>
    <w:qFormat/>
    <w:uiPriority w:val="0"/>
    <w:pPr>
      <w:tabs>
        <w:tab w:val="left" w:pos="800"/>
      </w:tabs>
      <w:outlineLvl w:val="4"/>
    </w:p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Body Text"/>
    <w:basedOn w:val="1"/>
    <w:next w:val="5"/>
    <w:semiHidden/>
    <w:qFormat/>
    <w:uiPriority w:val="0"/>
    <w:rPr>
      <w:rFonts w:ascii="仿宋" w:hAnsi="仿宋" w:eastAsia="仿宋" w:cs="仿宋"/>
      <w:sz w:val="28"/>
      <w:szCs w:val="28"/>
      <w:lang w:val="en-US" w:eastAsia="en-US" w:bidi="ar-SA"/>
    </w:rPr>
  </w:style>
  <w:style w:type="paragraph" w:styleId="5">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21"/>
    <w:basedOn w:val="8"/>
    <w:qFormat/>
    <w:uiPriority w:val="0"/>
    <w:rPr>
      <w:rFonts w:hint="eastAsia" w:ascii="宋体" w:hAnsi="宋体" w:eastAsia="宋体" w:cs="宋体"/>
      <w:color w:val="000000"/>
      <w:sz w:val="21"/>
      <w:szCs w:val="21"/>
      <w:u w:val="none"/>
    </w:rPr>
  </w:style>
  <w:style w:type="character" w:customStyle="1" w:styleId="10">
    <w:name w:val="font31"/>
    <w:basedOn w:val="8"/>
    <w:qFormat/>
    <w:uiPriority w:val="0"/>
    <w:rPr>
      <w:rFonts w:hint="default" w:ascii="Arial" w:hAnsi="Arial" w:cs="Arial"/>
      <w:color w:val="000000"/>
      <w:sz w:val="21"/>
      <w:szCs w:val="21"/>
      <w:u w:val="none"/>
    </w:rPr>
  </w:style>
  <w:style w:type="character" w:customStyle="1" w:styleId="11">
    <w:name w:val="font61"/>
    <w:basedOn w:val="8"/>
    <w:qFormat/>
    <w:uiPriority w:val="0"/>
    <w:rPr>
      <w:rFonts w:ascii="Arial" w:hAnsi="Arial" w:cs="Arial"/>
      <w:color w:val="000000"/>
      <w:sz w:val="21"/>
      <w:szCs w:val="21"/>
      <w:u w:val="none"/>
    </w:rPr>
  </w:style>
  <w:style w:type="paragraph" w:customStyle="1" w:styleId="12">
    <w:name w:val="中等深浅网格 2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3">
    <w:name w:val="font01"/>
    <w:basedOn w:val="8"/>
    <w:qFormat/>
    <w:uiPriority w:val="0"/>
    <w:rPr>
      <w:rFonts w:hint="eastAsia" w:ascii="宋体" w:hAnsi="宋体" w:eastAsia="宋体" w:cs="宋体"/>
      <w:color w:val="000000"/>
      <w:sz w:val="22"/>
      <w:szCs w:val="22"/>
      <w:u w:val="none"/>
    </w:rPr>
  </w:style>
  <w:style w:type="character" w:customStyle="1" w:styleId="14">
    <w:name w:val="font11"/>
    <w:basedOn w:val="8"/>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2023-11-08T00:53:00Z</dcterms:created>
  <dc:creator>syb05</dc:creator>
  <cp:lastModifiedBy>邓柏荣</cp:lastModifiedBy>
  <dcterms:modified xsi:type="dcterms:W3CDTF">2025-10-21T01:03:59Z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3E82B4BC322E485993F731E1439EAC86</vt:lpwstr>
  </property>
</Properties>
</file>