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A1D1AC">
      <w:r>
        <w:rPr>
          <w:rFonts w:hint="eastAsia" w:ascii="宋体" w:hAnsi="Calibri"/>
          <w:spacing w:val="10"/>
          <w:kern w:val="0"/>
          <w:sz w:val="44"/>
          <w:szCs w:val="44"/>
          <w:highlight w:val="yellow"/>
          <w:lang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-2617470</wp:posOffset>
            </wp:positionV>
            <wp:extent cx="7964805" cy="2985770"/>
            <wp:effectExtent l="0" t="0" r="5715" b="1270"/>
            <wp:wrapThrough wrapText="bothSides">
              <wp:wrapPolygon>
                <wp:start x="0" y="0"/>
                <wp:lineTo x="0" y="21499"/>
                <wp:lineTo x="21574" y="21499"/>
                <wp:lineTo x="21574" y="0"/>
                <wp:lineTo x="0" y="0"/>
              </wp:wrapPolygon>
            </wp:wrapThrough>
            <wp:docPr id="2"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模板-3"/>
                    <pic:cNvPicPr>
                      <a:picLocks noChangeAspect="1"/>
                    </pic:cNvPicPr>
                  </pic:nvPicPr>
                  <pic:blipFill>
                    <a:blip r:embed="rId4"/>
                    <a:stretch>
                      <a:fillRect/>
                    </a:stretch>
                  </pic:blipFill>
                  <pic:spPr>
                    <a:xfrm>
                      <a:off x="0" y="0"/>
                      <a:ext cx="7964805" cy="2985770"/>
                    </a:xfrm>
                    <a:prstGeom prst="rect">
                      <a:avLst/>
                    </a:prstGeom>
                    <a:noFill/>
                    <a:ln>
                      <a:noFill/>
                    </a:ln>
                  </pic:spPr>
                </pic:pic>
              </a:graphicData>
            </a:graphic>
          </wp:anchor>
        </w:drawing>
      </w:r>
    </w:p>
    <w:p w14:paraId="699EB9C4"/>
    <w:p w14:paraId="14D2FF51">
      <w:pPr>
        <w:spacing w:line="360" w:lineRule="auto"/>
        <w:jc w:val="center"/>
        <w:rPr>
          <w:rFonts w:hint="eastAsia" w:ascii="黑体" w:hAnsi="黑体" w:eastAsia="黑体" w:cs="黑体"/>
          <w:b/>
          <w:spacing w:val="10"/>
          <w:kern w:val="0"/>
          <w:sz w:val="44"/>
          <w:szCs w:val="44"/>
          <w:lang w:bidi="ar"/>
        </w:rPr>
      </w:pPr>
      <w:bookmarkStart w:id="0" w:name="_Hlk167087612"/>
      <w:r>
        <w:rPr>
          <w:rFonts w:hint="eastAsia" w:ascii="黑体" w:hAnsi="黑体" w:eastAsia="黑体" w:cs="黑体"/>
          <w:b/>
          <w:spacing w:val="10"/>
          <w:kern w:val="0"/>
          <w:sz w:val="44"/>
          <w:szCs w:val="44"/>
          <w:lang w:val="en-US" w:eastAsia="zh-CN" w:bidi="ar"/>
        </w:rPr>
        <w:t>林卡～青岩220kV线路工程（林卡220kV变220kV出线间隔扩建工程）起重设备技术服务</w:t>
      </w:r>
      <w:r>
        <w:rPr>
          <w:rFonts w:hint="eastAsia" w:ascii="黑体" w:hAnsi="黑体" w:eastAsia="黑体" w:cs="黑体"/>
          <w:b/>
          <w:spacing w:val="10"/>
          <w:kern w:val="0"/>
          <w:sz w:val="44"/>
          <w:szCs w:val="44"/>
          <w:lang w:bidi="ar"/>
        </w:rPr>
        <w:t>技术规范书</w:t>
      </w:r>
    </w:p>
    <w:bookmarkEnd w:id="0"/>
    <w:p w14:paraId="3E777444">
      <w:pPr>
        <w:spacing w:before="624" w:beforeLines="200" w:line="360" w:lineRule="auto"/>
        <w:jc w:val="center"/>
        <w:rPr>
          <w:rFonts w:eastAsia="黑体"/>
          <w:b/>
          <w:sz w:val="36"/>
          <w:szCs w:val="20"/>
        </w:rPr>
      </w:pPr>
    </w:p>
    <w:p w14:paraId="4967E744">
      <w:pPr>
        <w:spacing w:before="624" w:beforeLines="200" w:line="360" w:lineRule="auto"/>
        <w:jc w:val="center"/>
        <w:rPr>
          <w:rFonts w:eastAsia="黑体"/>
          <w:b/>
          <w:sz w:val="36"/>
          <w:szCs w:val="20"/>
        </w:rPr>
      </w:pPr>
    </w:p>
    <w:p w14:paraId="1BE35C7C">
      <w:pPr>
        <w:spacing w:before="624" w:beforeLines="200" w:line="360" w:lineRule="auto"/>
        <w:jc w:val="center"/>
        <w:rPr>
          <w:rFonts w:eastAsia="黑体"/>
          <w:b/>
          <w:sz w:val="36"/>
          <w:szCs w:val="20"/>
        </w:rPr>
      </w:pPr>
    </w:p>
    <w:p w14:paraId="6C94EDAF">
      <w:pPr>
        <w:spacing w:before="624" w:beforeLines="200" w:line="360" w:lineRule="auto"/>
        <w:jc w:val="both"/>
        <w:rPr>
          <w:rFonts w:eastAsia="黑体"/>
          <w:b/>
          <w:sz w:val="36"/>
          <w:szCs w:val="20"/>
        </w:rPr>
      </w:pPr>
    </w:p>
    <w:p w14:paraId="60418659">
      <w:pPr>
        <w:spacing w:line="600" w:lineRule="exact"/>
        <w:ind w:firstLine="2389" w:firstLineChars="700"/>
        <w:outlineLvl w:val="9"/>
        <w:rPr>
          <w:rFonts w:hint="eastAsia" w:ascii="黑体" w:hAnsi="黑体" w:eastAsia="黑体" w:cs="黑体"/>
          <w:b/>
          <w:spacing w:val="10"/>
          <w:kern w:val="0"/>
          <w:sz w:val="32"/>
          <w:szCs w:val="32"/>
          <w:lang w:bidi="ar"/>
        </w:rPr>
      </w:pPr>
      <w:bookmarkStart w:id="1" w:name="_Toc24392"/>
      <w:bookmarkStart w:id="2" w:name="_Toc12623"/>
      <w:r>
        <w:rPr>
          <w:rFonts w:hint="eastAsia" w:ascii="黑体" w:hAnsi="黑体" w:eastAsia="黑体" w:cs="黑体"/>
          <w:b/>
          <w:spacing w:val="10"/>
          <w:kern w:val="0"/>
          <w:sz w:val="32"/>
          <w:szCs w:val="32"/>
          <w:lang w:bidi="ar"/>
        </w:rPr>
        <w:t>贵州送变电有限责任公司</w:t>
      </w:r>
      <w:bookmarkEnd w:id="1"/>
      <w:bookmarkEnd w:id="2"/>
    </w:p>
    <w:p w14:paraId="52DAF211">
      <w:pPr>
        <w:spacing w:line="600" w:lineRule="exact"/>
        <w:jc w:val="center"/>
        <w:rPr>
          <w:rFonts w:hint="default" w:ascii="方正小标宋_GBK" w:hAnsi="方正小标宋_GBK" w:eastAsia="黑体" w:cs="方正小标宋_GBK"/>
          <w:b/>
          <w:bCs/>
          <w:sz w:val="32"/>
          <w:szCs w:val="32"/>
          <w:lang w:val="en-US" w:eastAsia="zh-CN"/>
        </w:rPr>
      </w:pPr>
      <w:r>
        <w:rPr>
          <w:rFonts w:hint="eastAsia" w:ascii="黑体" w:hAnsi="黑体" w:eastAsia="黑体" w:cs="黑体"/>
          <w:b/>
          <w:spacing w:val="10"/>
          <w:kern w:val="0"/>
          <w:sz w:val="32"/>
          <w:szCs w:val="32"/>
          <w:lang w:bidi="ar"/>
        </w:rPr>
        <w:t>202</w:t>
      </w:r>
      <w:r>
        <w:rPr>
          <w:rFonts w:hint="eastAsia" w:ascii="黑体" w:hAnsi="黑体" w:eastAsia="黑体" w:cs="黑体"/>
          <w:b/>
          <w:spacing w:val="10"/>
          <w:kern w:val="0"/>
          <w:sz w:val="32"/>
          <w:szCs w:val="32"/>
          <w:lang w:val="en-US" w:eastAsia="zh-CN" w:bidi="ar"/>
        </w:rPr>
        <w:t>5</w:t>
      </w:r>
      <w:r>
        <w:rPr>
          <w:rFonts w:hint="eastAsia" w:ascii="黑体" w:hAnsi="黑体" w:eastAsia="黑体" w:cs="黑体"/>
          <w:b/>
          <w:spacing w:val="10"/>
          <w:kern w:val="0"/>
          <w:sz w:val="32"/>
          <w:szCs w:val="32"/>
          <w:lang w:bidi="ar"/>
        </w:rPr>
        <w:t>年</w:t>
      </w:r>
      <w:r>
        <w:rPr>
          <w:rFonts w:hint="eastAsia" w:ascii="黑体" w:hAnsi="黑体" w:eastAsia="黑体" w:cs="黑体"/>
          <w:b/>
          <w:spacing w:val="10"/>
          <w:kern w:val="0"/>
          <w:sz w:val="32"/>
          <w:szCs w:val="32"/>
          <w:lang w:val="en-US" w:eastAsia="zh-CN" w:bidi="ar"/>
        </w:rPr>
        <w:t>10月</w:t>
      </w:r>
    </w:p>
    <w:p w14:paraId="3964DB60">
      <w:pPr>
        <w:widowControl/>
        <w:jc w:val="left"/>
        <w:rPr>
          <w:rFonts w:hint="eastAsia" w:ascii="宋体" w:hAnsi="宋体" w:eastAsia="宋体" w:cs="宋体"/>
          <w:b/>
          <w:bCs/>
          <w:color w:val="000000"/>
          <w:kern w:val="0"/>
          <w:sz w:val="31"/>
          <w:szCs w:val="31"/>
          <w:lang w:bidi="ar"/>
        </w:rPr>
      </w:pPr>
    </w:p>
    <w:p w14:paraId="0D31E6C4">
      <w:pPr>
        <w:widowControl/>
        <w:jc w:val="left"/>
        <w:rPr>
          <w:rFonts w:hint="eastAsia" w:ascii="宋体" w:hAnsi="宋体" w:eastAsia="宋体" w:cs="宋体"/>
          <w:b/>
          <w:bCs/>
          <w:color w:val="000000"/>
          <w:kern w:val="0"/>
          <w:sz w:val="31"/>
          <w:szCs w:val="31"/>
          <w:lang w:bidi="ar"/>
        </w:rPr>
      </w:pPr>
    </w:p>
    <w:p w14:paraId="054FBC37">
      <w:pPr>
        <w:widowControl/>
        <w:jc w:val="left"/>
        <w:rPr>
          <w:rFonts w:hint="eastAsia" w:ascii="宋体" w:hAnsi="宋体" w:eastAsia="宋体" w:cs="宋体"/>
          <w:b/>
          <w:bCs/>
          <w:color w:val="000000"/>
          <w:kern w:val="0"/>
          <w:sz w:val="31"/>
          <w:szCs w:val="31"/>
          <w:lang w:bidi="ar"/>
        </w:rPr>
      </w:pPr>
    </w:p>
    <w:p w14:paraId="549A0A0B">
      <w:pPr>
        <w:widowControl/>
        <w:jc w:val="left"/>
        <w:rPr>
          <w:rFonts w:hint="eastAsia" w:ascii="宋体" w:hAnsi="宋体" w:eastAsia="宋体" w:cs="宋体"/>
          <w:b/>
          <w:bCs/>
          <w:color w:val="000000"/>
          <w:kern w:val="0"/>
          <w:sz w:val="31"/>
          <w:szCs w:val="31"/>
          <w:lang w:bidi="ar"/>
        </w:rPr>
      </w:pPr>
    </w:p>
    <w:p w14:paraId="11738363">
      <w:pPr>
        <w:widowControl/>
        <w:jc w:val="left"/>
        <w:rPr>
          <w:rFonts w:hint="eastAsia" w:ascii="宋体" w:hAnsi="宋体" w:eastAsia="宋体" w:cs="宋体"/>
          <w:b/>
          <w:bCs/>
          <w:color w:val="000000"/>
          <w:kern w:val="0"/>
          <w:sz w:val="31"/>
          <w:szCs w:val="31"/>
          <w:lang w:bidi="ar"/>
        </w:rPr>
      </w:pPr>
    </w:p>
    <w:sdt>
      <w:sdtPr>
        <w:rPr>
          <w:rFonts w:ascii="宋体" w:hAnsi="宋体" w:eastAsia="宋体"/>
        </w:rPr>
        <w:id w:val="147461999"/>
        <w15:color w:val="DBDBDB"/>
        <w:docPartObj>
          <w:docPartGallery w:val="Table of Contents"/>
          <w:docPartUnique/>
        </w:docPartObj>
      </w:sdtPr>
      <w:sdtEndPr>
        <w:rPr>
          <w:rFonts w:hint="eastAsia" w:ascii="宋体" w:hAnsi="宋体" w:eastAsia="宋体" w:cs="宋体"/>
          <w:bCs/>
          <w:color w:val="000000"/>
          <w:kern w:val="0"/>
          <w:szCs w:val="31"/>
          <w:lang w:bidi="ar"/>
        </w:rPr>
      </w:sdtEndPr>
      <w:sdtContent>
        <w:p w14:paraId="778378AB">
          <w:pPr>
            <w:jc w:val="center"/>
            <w:rPr>
              <w:b/>
              <w:bCs/>
              <w:sz w:val="28"/>
              <w:szCs w:val="28"/>
            </w:rPr>
          </w:pPr>
          <w:r>
            <w:rPr>
              <w:rFonts w:ascii="宋体" w:hAnsi="宋体" w:eastAsia="宋体"/>
              <w:b/>
              <w:bCs/>
              <w:sz w:val="28"/>
              <w:szCs w:val="28"/>
            </w:rPr>
            <w:t>目录</w:t>
          </w:r>
        </w:p>
        <w:p w14:paraId="269F6E8F">
          <w:pPr>
            <w:pStyle w:val="6"/>
            <w:tabs>
              <w:tab w:val="right" w:leader="dot" w:pos="8306"/>
            </w:tabs>
            <w:rPr>
              <w:sz w:val="28"/>
              <w:szCs w:val="28"/>
            </w:rPr>
          </w:pPr>
          <w:r>
            <w:rPr>
              <w:rFonts w:hint="eastAsia" w:ascii="宋体" w:hAnsi="宋体" w:eastAsia="宋体" w:cs="宋体"/>
              <w:b/>
              <w:bCs/>
              <w:color w:val="000000"/>
              <w:kern w:val="0"/>
              <w:sz w:val="28"/>
              <w:szCs w:val="28"/>
              <w:lang w:bidi="ar"/>
            </w:rPr>
            <w:fldChar w:fldCharType="begin"/>
          </w:r>
          <w:r>
            <w:rPr>
              <w:rFonts w:hint="eastAsia" w:ascii="宋体" w:hAnsi="宋体" w:eastAsia="宋体" w:cs="宋体"/>
              <w:b/>
              <w:bCs/>
              <w:color w:val="000000"/>
              <w:kern w:val="0"/>
              <w:sz w:val="28"/>
              <w:szCs w:val="28"/>
              <w:lang w:bidi="ar"/>
            </w:rPr>
            <w:instrText xml:space="preserve">TOC \o "1-1" \h \u </w:instrText>
          </w:r>
          <w:r>
            <w:rPr>
              <w:rFonts w:hint="eastAsia" w:ascii="宋体" w:hAnsi="宋体" w:eastAsia="宋体" w:cs="宋体"/>
              <w:b/>
              <w:bCs/>
              <w:color w:val="000000"/>
              <w:kern w:val="0"/>
              <w:sz w:val="28"/>
              <w:szCs w:val="28"/>
              <w:lang w:bidi="ar"/>
            </w:rPr>
            <w:fldChar w:fldCharType="separate"/>
          </w:r>
        </w:p>
        <w:p w14:paraId="7E74F0C1">
          <w:pPr>
            <w:pStyle w:val="6"/>
            <w:tabs>
              <w:tab w:val="right" w:leader="dot" w:pos="8306"/>
            </w:tabs>
            <w:rPr>
              <w:sz w:val="28"/>
              <w:szCs w:val="28"/>
            </w:rPr>
          </w:pPr>
          <w:r>
            <w:fldChar w:fldCharType="begin"/>
          </w:r>
          <w:r>
            <w:instrText xml:space="preserve"> HYPERLINK \l "_Toc19176" </w:instrText>
          </w:r>
          <w:r>
            <w:fldChar w:fldCharType="separate"/>
          </w:r>
          <w:r>
            <w:rPr>
              <w:rFonts w:hint="eastAsia" w:ascii="宋体" w:hAnsi="宋体" w:eastAsia="宋体" w:cs="宋体"/>
              <w:kern w:val="0"/>
              <w:sz w:val="28"/>
              <w:szCs w:val="28"/>
              <w:lang w:bidi="ar"/>
            </w:rPr>
            <w:t>1总则</w:t>
          </w:r>
          <w:r>
            <w:rPr>
              <w:sz w:val="28"/>
              <w:szCs w:val="28"/>
            </w:rPr>
            <w:tab/>
          </w:r>
          <w:r>
            <w:rPr>
              <w:sz w:val="28"/>
              <w:szCs w:val="28"/>
            </w:rPr>
            <w:fldChar w:fldCharType="begin"/>
          </w:r>
          <w:r>
            <w:rPr>
              <w:sz w:val="28"/>
              <w:szCs w:val="28"/>
            </w:rPr>
            <w:instrText xml:space="preserve"> PAGEREF _Toc19176 \h </w:instrText>
          </w:r>
          <w:r>
            <w:rPr>
              <w:sz w:val="28"/>
              <w:szCs w:val="28"/>
            </w:rPr>
            <w:fldChar w:fldCharType="separate"/>
          </w:r>
          <w:r>
            <w:rPr>
              <w:sz w:val="28"/>
              <w:szCs w:val="28"/>
            </w:rPr>
            <w:t>2</w:t>
          </w:r>
          <w:r>
            <w:rPr>
              <w:sz w:val="28"/>
              <w:szCs w:val="28"/>
            </w:rPr>
            <w:fldChar w:fldCharType="end"/>
          </w:r>
          <w:r>
            <w:rPr>
              <w:sz w:val="28"/>
              <w:szCs w:val="28"/>
            </w:rPr>
            <w:fldChar w:fldCharType="end"/>
          </w:r>
        </w:p>
        <w:p w14:paraId="15F76E40">
          <w:pPr>
            <w:pStyle w:val="6"/>
            <w:tabs>
              <w:tab w:val="right" w:leader="dot" w:pos="8306"/>
            </w:tabs>
            <w:rPr>
              <w:sz w:val="28"/>
              <w:szCs w:val="28"/>
            </w:rPr>
          </w:pPr>
          <w:r>
            <w:fldChar w:fldCharType="begin"/>
          </w:r>
          <w:r>
            <w:instrText xml:space="preserve"> HYPERLINK \l "_Toc1627" </w:instrText>
          </w:r>
          <w:r>
            <w:fldChar w:fldCharType="separate"/>
          </w:r>
          <w:r>
            <w:rPr>
              <w:rFonts w:hint="eastAsia" w:ascii="宋体" w:hAnsi="宋体" w:eastAsia="宋体" w:cs="宋体"/>
              <w:bCs/>
              <w:kern w:val="0"/>
              <w:sz w:val="28"/>
              <w:szCs w:val="28"/>
              <w:lang w:bidi="ar"/>
            </w:rPr>
            <w:t>2应遵循的主要标准</w:t>
          </w:r>
          <w:r>
            <w:rPr>
              <w:sz w:val="28"/>
              <w:szCs w:val="28"/>
            </w:rPr>
            <w:tab/>
          </w:r>
          <w:r>
            <w:rPr>
              <w:sz w:val="28"/>
              <w:szCs w:val="28"/>
            </w:rPr>
            <w:fldChar w:fldCharType="begin"/>
          </w:r>
          <w:r>
            <w:rPr>
              <w:sz w:val="28"/>
              <w:szCs w:val="28"/>
            </w:rPr>
            <w:instrText xml:space="preserve"> PAGEREF _Toc1627 \h </w:instrText>
          </w:r>
          <w:r>
            <w:rPr>
              <w:sz w:val="28"/>
              <w:szCs w:val="28"/>
            </w:rPr>
            <w:fldChar w:fldCharType="separate"/>
          </w:r>
          <w:r>
            <w:rPr>
              <w:sz w:val="28"/>
              <w:szCs w:val="28"/>
            </w:rPr>
            <w:t>5</w:t>
          </w:r>
          <w:r>
            <w:rPr>
              <w:sz w:val="28"/>
              <w:szCs w:val="28"/>
            </w:rPr>
            <w:fldChar w:fldCharType="end"/>
          </w:r>
          <w:r>
            <w:rPr>
              <w:sz w:val="28"/>
              <w:szCs w:val="28"/>
            </w:rPr>
            <w:fldChar w:fldCharType="end"/>
          </w:r>
        </w:p>
        <w:p w14:paraId="5902813F">
          <w:pPr>
            <w:pStyle w:val="6"/>
            <w:tabs>
              <w:tab w:val="right" w:leader="dot" w:pos="8306"/>
            </w:tabs>
            <w:rPr>
              <w:sz w:val="28"/>
              <w:szCs w:val="28"/>
            </w:rPr>
          </w:pPr>
          <w:r>
            <w:rPr>
              <w:rFonts w:hint="eastAsia" w:ascii="宋体" w:hAnsi="宋体" w:eastAsia="宋体" w:cs="宋体"/>
              <w:bCs/>
              <w:kern w:val="0"/>
              <w:sz w:val="28"/>
              <w:szCs w:val="28"/>
              <w:lang w:bidi="ar"/>
            </w:rPr>
            <w:t>★</w:t>
          </w:r>
          <w:r>
            <w:fldChar w:fldCharType="begin"/>
          </w:r>
          <w:r>
            <w:instrText xml:space="preserve"> HYPERLINK \l "_Toc31224" </w:instrText>
          </w:r>
          <w:r>
            <w:fldChar w:fldCharType="separate"/>
          </w:r>
          <w:r>
            <w:rPr>
              <w:rFonts w:hint="eastAsia" w:ascii="宋体" w:hAnsi="宋体" w:eastAsia="宋体" w:cs="宋体"/>
              <w:bCs/>
              <w:kern w:val="0"/>
              <w:sz w:val="28"/>
              <w:szCs w:val="28"/>
              <w:lang w:bidi="ar"/>
            </w:rPr>
            <w:t>3项目的</w:t>
          </w:r>
          <w:r>
            <w:rPr>
              <w:rFonts w:hint="eastAsia" w:ascii="宋体" w:hAnsi="宋体" w:eastAsia="宋体" w:cs="宋体"/>
              <w:bCs/>
              <w:kern w:val="0"/>
              <w:sz w:val="28"/>
              <w:szCs w:val="28"/>
              <w:lang w:val="en-US" w:eastAsia="zh-CN" w:bidi="ar"/>
            </w:rPr>
            <w:t>背景、</w:t>
          </w:r>
          <w:r>
            <w:rPr>
              <w:rFonts w:hint="eastAsia" w:ascii="宋体" w:hAnsi="宋体" w:eastAsia="宋体" w:cs="宋体"/>
              <w:bCs/>
              <w:kern w:val="0"/>
              <w:sz w:val="28"/>
              <w:szCs w:val="28"/>
              <w:lang w:bidi="ar"/>
            </w:rPr>
            <w:t>内容与目的</w:t>
          </w:r>
          <w:r>
            <w:rPr>
              <w:sz w:val="28"/>
              <w:szCs w:val="28"/>
            </w:rPr>
            <w:tab/>
          </w:r>
          <w:r>
            <w:rPr>
              <w:sz w:val="28"/>
              <w:szCs w:val="28"/>
            </w:rPr>
            <w:fldChar w:fldCharType="begin"/>
          </w:r>
          <w:r>
            <w:rPr>
              <w:sz w:val="28"/>
              <w:szCs w:val="28"/>
            </w:rPr>
            <w:instrText xml:space="preserve"> PAGEREF _Toc31224 \h </w:instrText>
          </w:r>
          <w:r>
            <w:rPr>
              <w:sz w:val="28"/>
              <w:szCs w:val="28"/>
            </w:rPr>
            <w:fldChar w:fldCharType="separate"/>
          </w:r>
          <w:r>
            <w:rPr>
              <w:sz w:val="28"/>
              <w:szCs w:val="28"/>
            </w:rPr>
            <w:t>6</w:t>
          </w:r>
          <w:r>
            <w:rPr>
              <w:sz w:val="28"/>
              <w:szCs w:val="28"/>
            </w:rPr>
            <w:fldChar w:fldCharType="end"/>
          </w:r>
          <w:r>
            <w:rPr>
              <w:sz w:val="28"/>
              <w:szCs w:val="28"/>
            </w:rPr>
            <w:fldChar w:fldCharType="end"/>
          </w:r>
        </w:p>
        <w:p w14:paraId="63B5FA17">
          <w:pPr>
            <w:pStyle w:val="6"/>
            <w:tabs>
              <w:tab w:val="right" w:leader="dot" w:pos="8306"/>
            </w:tabs>
            <w:rPr>
              <w:sz w:val="28"/>
              <w:szCs w:val="28"/>
            </w:rPr>
          </w:pPr>
          <w:r>
            <w:fldChar w:fldCharType="begin"/>
          </w:r>
          <w:r>
            <w:instrText xml:space="preserve"> HYPERLINK \l "_Toc2674" </w:instrText>
          </w:r>
          <w:r>
            <w:fldChar w:fldCharType="separate"/>
          </w:r>
          <w:r>
            <w:rPr>
              <w:rFonts w:hint="eastAsia" w:ascii="宋体" w:hAnsi="宋体" w:eastAsia="宋体" w:cs="宋体"/>
              <w:bCs/>
              <w:kern w:val="0"/>
              <w:sz w:val="28"/>
              <w:szCs w:val="28"/>
              <w:lang w:bidi="ar"/>
            </w:rPr>
            <w:t>4项目的必要性</w:t>
          </w:r>
          <w:r>
            <w:rPr>
              <w:sz w:val="28"/>
              <w:szCs w:val="28"/>
            </w:rPr>
            <w:tab/>
          </w:r>
          <w:r>
            <w:rPr>
              <w:sz w:val="28"/>
              <w:szCs w:val="28"/>
            </w:rPr>
            <w:fldChar w:fldCharType="begin"/>
          </w:r>
          <w:r>
            <w:rPr>
              <w:sz w:val="28"/>
              <w:szCs w:val="28"/>
            </w:rPr>
            <w:instrText xml:space="preserve"> PAGEREF _Toc2674 \h </w:instrText>
          </w:r>
          <w:r>
            <w:rPr>
              <w:sz w:val="28"/>
              <w:szCs w:val="28"/>
            </w:rPr>
            <w:fldChar w:fldCharType="separate"/>
          </w:r>
          <w:r>
            <w:rPr>
              <w:sz w:val="28"/>
              <w:szCs w:val="28"/>
            </w:rPr>
            <w:t>7</w:t>
          </w:r>
          <w:r>
            <w:rPr>
              <w:sz w:val="28"/>
              <w:szCs w:val="28"/>
            </w:rPr>
            <w:fldChar w:fldCharType="end"/>
          </w:r>
          <w:r>
            <w:rPr>
              <w:sz w:val="28"/>
              <w:szCs w:val="28"/>
            </w:rPr>
            <w:fldChar w:fldCharType="end"/>
          </w:r>
        </w:p>
        <w:p w14:paraId="329329B5">
          <w:pPr>
            <w:pStyle w:val="6"/>
            <w:tabs>
              <w:tab w:val="right" w:leader="dot" w:pos="8306"/>
            </w:tabs>
            <w:rPr>
              <w:sz w:val="28"/>
              <w:szCs w:val="28"/>
            </w:rPr>
          </w:pPr>
          <w:r>
            <w:fldChar w:fldCharType="begin"/>
          </w:r>
          <w:r>
            <w:instrText xml:space="preserve"> HYPERLINK \l "_Toc16262" </w:instrText>
          </w:r>
          <w:r>
            <w:fldChar w:fldCharType="separate"/>
          </w:r>
          <w:r>
            <w:rPr>
              <w:rFonts w:hint="eastAsia" w:ascii="宋体" w:hAnsi="宋体" w:eastAsia="宋体" w:cs="宋体"/>
              <w:bCs/>
              <w:kern w:val="0"/>
              <w:sz w:val="28"/>
              <w:szCs w:val="28"/>
              <w:lang w:bidi="ar"/>
            </w:rPr>
            <w:t>★5技术服务的唯一性</w:t>
          </w:r>
          <w:r>
            <w:rPr>
              <w:sz w:val="28"/>
              <w:szCs w:val="28"/>
            </w:rPr>
            <w:tab/>
          </w:r>
          <w:r>
            <w:rPr>
              <w:sz w:val="28"/>
              <w:szCs w:val="28"/>
            </w:rPr>
            <w:fldChar w:fldCharType="begin"/>
          </w:r>
          <w:r>
            <w:rPr>
              <w:sz w:val="28"/>
              <w:szCs w:val="28"/>
            </w:rPr>
            <w:instrText xml:space="preserve"> PAGEREF _Toc16262 \h </w:instrText>
          </w:r>
          <w:r>
            <w:rPr>
              <w:sz w:val="28"/>
              <w:szCs w:val="28"/>
            </w:rPr>
            <w:fldChar w:fldCharType="separate"/>
          </w:r>
          <w:r>
            <w:rPr>
              <w:sz w:val="28"/>
              <w:szCs w:val="28"/>
            </w:rPr>
            <w:t>7</w:t>
          </w:r>
          <w:r>
            <w:rPr>
              <w:sz w:val="28"/>
              <w:szCs w:val="28"/>
            </w:rPr>
            <w:fldChar w:fldCharType="end"/>
          </w:r>
          <w:r>
            <w:rPr>
              <w:sz w:val="28"/>
              <w:szCs w:val="28"/>
            </w:rPr>
            <w:fldChar w:fldCharType="end"/>
          </w:r>
        </w:p>
        <w:p w14:paraId="6FE7C7AE">
          <w:pPr>
            <w:pStyle w:val="6"/>
            <w:tabs>
              <w:tab w:val="right" w:leader="dot" w:pos="8306"/>
            </w:tabs>
            <w:rPr>
              <w:sz w:val="28"/>
              <w:szCs w:val="28"/>
            </w:rPr>
          </w:pPr>
          <w:r>
            <w:fldChar w:fldCharType="begin"/>
          </w:r>
          <w:r>
            <w:instrText xml:space="preserve"> HYPERLINK \l "_Toc13172" </w:instrText>
          </w:r>
          <w:r>
            <w:fldChar w:fldCharType="separate"/>
          </w:r>
          <w:r>
            <w:rPr>
              <w:rFonts w:hint="eastAsia" w:ascii="宋体" w:hAnsi="宋体" w:eastAsia="宋体" w:cs="宋体"/>
              <w:bCs/>
              <w:kern w:val="0"/>
              <w:sz w:val="28"/>
              <w:szCs w:val="28"/>
              <w:lang w:bidi="ar"/>
            </w:rPr>
            <w:t>6安全要求</w:t>
          </w:r>
          <w:r>
            <w:rPr>
              <w:sz w:val="28"/>
              <w:szCs w:val="28"/>
            </w:rPr>
            <w:tab/>
          </w:r>
          <w:r>
            <w:rPr>
              <w:sz w:val="28"/>
              <w:szCs w:val="28"/>
            </w:rPr>
            <w:fldChar w:fldCharType="begin"/>
          </w:r>
          <w:r>
            <w:rPr>
              <w:sz w:val="28"/>
              <w:szCs w:val="28"/>
            </w:rPr>
            <w:instrText xml:space="preserve"> PAGEREF _Toc13172 \h </w:instrText>
          </w:r>
          <w:r>
            <w:rPr>
              <w:sz w:val="28"/>
              <w:szCs w:val="28"/>
            </w:rPr>
            <w:fldChar w:fldCharType="separate"/>
          </w:r>
          <w:r>
            <w:rPr>
              <w:sz w:val="28"/>
              <w:szCs w:val="28"/>
            </w:rPr>
            <w:t>7</w:t>
          </w:r>
          <w:r>
            <w:rPr>
              <w:sz w:val="28"/>
              <w:szCs w:val="28"/>
            </w:rPr>
            <w:fldChar w:fldCharType="end"/>
          </w:r>
          <w:r>
            <w:rPr>
              <w:sz w:val="28"/>
              <w:szCs w:val="28"/>
            </w:rPr>
            <w:fldChar w:fldCharType="end"/>
          </w:r>
        </w:p>
        <w:p w14:paraId="4492CB14">
          <w:pPr>
            <w:pStyle w:val="6"/>
            <w:tabs>
              <w:tab w:val="right" w:leader="dot" w:pos="8306"/>
            </w:tabs>
            <w:rPr>
              <w:sz w:val="28"/>
              <w:szCs w:val="28"/>
            </w:rPr>
          </w:pPr>
          <w:r>
            <w:fldChar w:fldCharType="begin"/>
          </w:r>
          <w:r>
            <w:instrText xml:space="preserve"> HYPERLINK \l "_Toc2586" </w:instrText>
          </w:r>
          <w:r>
            <w:fldChar w:fldCharType="separate"/>
          </w:r>
          <w:r>
            <w:rPr>
              <w:rFonts w:hint="eastAsia" w:ascii="宋体" w:hAnsi="宋体" w:eastAsia="宋体" w:cs="宋体"/>
              <w:bCs/>
              <w:kern w:val="0"/>
              <w:sz w:val="28"/>
              <w:szCs w:val="28"/>
              <w:lang w:bidi="ar"/>
            </w:rPr>
            <w:t>7服务验收</w:t>
          </w:r>
          <w:r>
            <w:rPr>
              <w:sz w:val="28"/>
              <w:szCs w:val="28"/>
            </w:rPr>
            <w:tab/>
          </w:r>
          <w:r>
            <w:rPr>
              <w:sz w:val="28"/>
              <w:szCs w:val="28"/>
            </w:rPr>
            <w:fldChar w:fldCharType="begin"/>
          </w:r>
          <w:r>
            <w:rPr>
              <w:sz w:val="28"/>
              <w:szCs w:val="28"/>
            </w:rPr>
            <w:instrText xml:space="preserve"> PAGEREF _Toc2586 \h </w:instrText>
          </w:r>
          <w:r>
            <w:rPr>
              <w:sz w:val="28"/>
              <w:szCs w:val="28"/>
            </w:rPr>
            <w:fldChar w:fldCharType="separate"/>
          </w:r>
          <w:r>
            <w:rPr>
              <w:sz w:val="28"/>
              <w:szCs w:val="28"/>
            </w:rPr>
            <w:t>8</w:t>
          </w:r>
          <w:r>
            <w:rPr>
              <w:sz w:val="28"/>
              <w:szCs w:val="28"/>
            </w:rPr>
            <w:fldChar w:fldCharType="end"/>
          </w:r>
          <w:r>
            <w:rPr>
              <w:sz w:val="28"/>
              <w:szCs w:val="28"/>
            </w:rPr>
            <w:fldChar w:fldCharType="end"/>
          </w:r>
        </w:p>
        <w:p w14:paraId="0AB9520A">
          <w:pPr>
            <w:pStyle w:val="6"/>
            <w:tabs>
              <w:tab w:val="right" w:leader="dot" w:pos="8306"/>
            </w:tabs>
            <w:rPr>
              <w:sz w:val="28"/>
              <w:szCs w:val="28"/>
            </w:rPr>
          </w:pPr>
          <w:r>
            <w:fldChar w:fldCharType="begin"/>
          </w:r>
          <w:r>
            <w:instrText xml:space="preserve"> HYPERLINK \l "_Toc27396" </w:instrText>
          </w:r>
          <w:r>
            <w:fldChar w:fldCharType="separate"/>
          </w:r>
          <w:r>
            <w:rPr>
              <w:rFonts w:hint="eastAsia" w:ascii="宋体" w:hAnsi="宋体" w:eastAsia="宋体" w:cs="宋体"/>
              <w:kern w:val="0"/>
              <w:sz w:val="28"/>
              <w:szCs w:val="28"/>
              <w:lang w:bidi="ar"/>
            </w:rPr>
            <w:t>8服务期限</w:t>
          </w:r>
          <w:r>
            <w:rPr>
              <w:sz w:val="28"/>
              <w:szCs w:val="28"/>
            </w:rPr>
            <w:tab/>
          </w:r>
          <w:r>
            <w:rPr>
              <w:sz w:val="28"/>
              <w:szCs w:val="28"/>
            </w:rPr>
            <w:fldChar w:fldCharType="begin"/>
          </w:r>
          <w:r>
            <w:rPr>
              <w:sz w:val="28"/>
              <w:szCs w:val="28"/>
            </w:rPr>
            <w:instrText xml:space="preserve"> PAGEREF _Toc27396 \h </w:instrText>
          </w:r>
          <w:r>
            <w:rPr>
              <w:sz w:val="28"/>
              <w:szCs w:val="28"/>
            </w:rPr>
            <w:fldChar w:fldCharType="separate"/>
          </w:r>
          <w:r>
            <w:rPr>
              <w:sz w:val="28"/>
              <w:szCs w:val="28"/>
            </w:rPr>
            <w:t>8</w:t>
          </w:r>
          <w:r>
            <w:rPr>
              <w:sz w:val="28"/>
              <w:szCs w:val="28"/>
            </w:rPr>
            <w:fldChar w:fldCharType="end"/>
          </w:r>
          <w:r>
            <w:rPr>
              <w:sz w:val="28"/>
              <w:szCs w:val="28"/>
            </w:rPr>
            <w:fldChar w:fldCharType="end"/>
          </w:r>
        </w:p>
        <w:p w14:paraId="43703735">
          <w:pPr>
            <w:pStyle w:val="6"/>
            <w:tabs>
              <w:tab w:val="right" w:leader="dot" w:pos="8306"/>
            </w:tabs>
            <w:rPr>
              <w:sz w:val="28"/>
              <w:szCs w:val="28"/>
            </w:rPr>
          </w:pPr>
        </w:p>
        <w:p w14:paraId="0696AF21">
          <w:pPr>
            <w:widowControl/>
            <w:jc w:val="left"/>
            <w:outlineLvl w:val="9"/>
            <w:rPr>
              <w:rFonts w:hint="eastAsia" w:ascii="宋体" w:hAnsi="宋体" w:eastAsia="宋体" w:cs="宋体"/>
              <w:bCs/>
              <w:color w:val="000000"/>
              <w:kern w:val="0"/>
              <w:sz w:val="28"/>
              <w:szCs w:val="28"/>
              <w:lang w:bidi="ar"/>
            </w:rPr>
          </w:pPr>
          <w:r>
            <w:rPr>
              <w:rFonts w:hint="eastAsia" w:ascii="宋体" w:hAnsi="宋体" w:eastAsia="宋体" w:cs="宋体"/>
              <w:bCs/>
              <w:color w:val="000000"/>
              <w:kern w:val="0"/>
              <w:sz w:val="28"/>
              <w:szCs w:val="28"/>
              <w:lang w:bidi="ar"/>
            </w:rPr>
            <w:fldChar w:fldCharType="end"/>
          </w:r>
        </w:p>
        <w:p w14:paraId="6E50329E">
          <w:pPr>
            <w:widowControl/>
            <w:jc w:val="left"/>
            <w:outlineLvl w:val="9"/>
            <w:rPr>
              <w:rFonts w:hint="eastAsia" w:ascii="宋体" w:hAnsi="宋体" w:eastAsia="宋体" w:cs="宋体"/>
              <w:bCs/>
              <w:color w:val="000000"/>
              <w:kern w:val="0"/>
              <w:sz w:val="28"/>
              <w:szCs w:val="28"/>
              <w:lang w:bidi="ar"/>
            </w:rPr>
          </w:pPr>
        </w:p>
        <w:p w14:paraId="2B90A651">
          <w:pPr>
            <w:widowControl/>
            <w:jc w:val="left"/>
            <w:outlineLvl w:val="9"/>
            <w:rPr>
              <w:rFonts w:hint="eastAsia" w:ascii="宋体" w:hAnsi="宋体" w:eastAsia="宋体" w:cs="宋体"/>
              <w:bCs/>
              <w:color w:val="000000"/>
              <w:kern w:val="0"/>
              <w:szCs w:val="28"/>
              <w:lang w:bidi="ar"/>
            </w:rPr>
          </w:pPr>
        </w:p>
        <w:p w14:paraId="5B185916">
          <w:pPr>
            <w:widowControl/>
            <w:jc w:val="left"/>
            <w:outlineLvl w:val="9"/>
            <w:rPr>
              <w:rFonts w:hint="eastAsia" w:ascii="宋体" w:hAnsi="宋体" w:eastAsia="宋体" w:cs="宋体"/>
              <w:bCs/>
              <w:color w:val="000000"/>
              <w:kern w:val="0"/>
              <w:szCs w:val="28"/>
              <w:lang w:bidi="ar"/>
            </w:rPr>
          </w:pPr>
        </w:p>
        <w:p w14:paraId="53937ED5">
          <w:pPr>
            <w:widowControl/>
            <w:jc w:val="left"/>
            <w:outlineLvl w:val="9"/>
            <w:rPr>
              <w:rFonts w:hint="eastAsia" w:ascii="宋体" w:hAnsi="宋体" w:eastAsia="宋体" w:cs="宋体"/>
              <w:bCs/>
              <w:color w:val="000000"/>
              <w:kern w:val="0"/>
              <w:szCs w:val="28"/>
              <w:lang w:bidi="ar"/>
            </w:rPr>
          </w:pPr>
        </w:p>
        <w:p w14:paraId="08928D41">
          <w:pPr>
            <w:widowControl/>
            <w:jc w:val="left"/>
            <w:outlineLvl w:val="9"/>
            <w:rPr>
              <w:rFonts w:hint="eastAsia" w:ascii="宋体" w:hAnsi="宋体" w:eastAsia="宋体" w:cs="宋体"/>
              <w:bCs/>
              <w:color w:val="000000"/>
              <w:kern w:val="0"/>
              <w:szCs w:val="28"/>
              <w:lang w:bidi="ar"/>
            </w:rPr>
          </w:pPr>
        </w:p>
        <w:p w14:paraId="4EFA7ECD">
          <w:pPr>
            <w:widowControl/>
            <w:jc w:val="left"/>
            <w:outlineLvl w:val="9"/>
            <w:rPr>
              <w:rFonts w:hint="eastAsia" w:ascii="宋体" w:hAnsi="宋体" w:eastAsia="宋体" w:cs="宋体"/>
              <w:bCs/>
              <w:color w:val="000000"/>
              <w:kern w:val="0"/>
              <w:szCs w:val="28"/>
              <w:lang w:bidi="ar"/>
            </w:rPr>
          </w:pPr>
        </w:p>
        <w:p w14:paraId="55967AF1">
          <w:pPr>
            <w:widowControl/>
            <w:jc w:val="left"/>
            <w:outlineLvl w:val="9"/>
            <w:rPr>
              <w:rFonts w:hint="eastAsia" w:ascii="宋体" w:hAnsi="宋体" w:eastAsia="宋体" w:cs="宋体"/>
              <w:bCs/>
              <w:color w:val="000000"/>
              <w:kern w:val="0"/>
              <w:szCs w:val="28"/>
              <w:lang w:bidi="ar"/>
            </w:rPr>
          </w:pPr>
        </w:p>
        <w:p w14:paraId="1FFCFFAF">
          <w:pPr>
            <w:widowControl/>
            <w:jc w:val="left"/>
            <w:outlineLvl w:val="9"/>
            <w:rPr>
              <w:rFonts w:hint="eastAsia" w:ascii="宋体" w:hAnsi="宋体" w:eastAsia="宋体" w:cs="宋体"/>
              <w:bCs/>
              <w:color w:val="000000"/>
              <w:kern w:val="0"/>
              <w:szCs w:val="28"/>
              <w:lang w:bidi="ar"/>
            </w:rPr>
          </w:pPr>
        </w:p>
        <w:p w14:paraId="6479D957">
          <w:pPr>
            <w:widowControl/>
            <w:jc w:val="left"/>
            <w:outlineLvl w:val="9"/>
            <w:rPr>
              <w:rFonts w:hint="eastAsia" w:ascii="宋体" w:hAnsi="宋体" w:eastAsia="宋体" w:cs="宋体"/>
              <w:bCs/>
              <w:color w:val="000000"/>
              <w:kern w:val="0"/>
              <w:szCs w:val="28"/>
              <w:lang w:bidi="ar"/>
            </w:rPr>
          </w:pPr>
        </w:p>
        <w:p w14:paraId="516610E2">
          <w:pPr>
            <w:widowControl/>
            <w:jc w:val="left"/>
            <w:outlineLvl w:val="9"/>
            <w:rPr>
              <w:rFonts w:hint="eastAsia" w:ascii="宋体" w:hAnsi="宋体" w:eastAsia="宋体" w:cs="宋体"/>
              <w:bCs/>
              <w:color w:val="000000"/>
              <w:kern w:val="0"/>
              <w:szCs w:val="28"/>
              <w:lang w:bidi="ar"/>
            </w:rPr>
          </w:pPr>
        </w:p>
        <w:p w14:paraId="02722B6D">
          <w:pPr>
            <w:widowControl/>
            <w:jc w:val="left"/>
            <w:outlineLvl w:val="9"/>
            <w:rPr>
              <w:rFonts w:hint="eastAsia" w:ascii="宋体" w:hAnsi="宋体" w:eastAsia="宋体" w:cs="宋体"/>
              <w:bCs/>
              <w:color w:val="000000"/>
              <w:kern w:val="0"/>
              <w:szCs w:val="28"/>
              <w:lang w:bidi="ar"/>
            </w:rPr>
          </w:pPr>
        </w:p>
        <w:p w14:paraId="13C322ED">
          <w:pPr>
            <w:widowControl/>
            <w:jc w:val="left"/>
            <w:outlineLvl w:val="9"/>
          </w:pPr>
          <w:bookmarkStart w:id="3" w:name="_Toc19176"/>
        </w:p>
      </w:sdtContent>
    </w:sdt>
    <w:p w14:paraId="1D2A7689">
      <w:pPr>
        <w:widowControl/>
        <w:jc w:val="left"/>
        <w:outlineLvl w:val="9"/>
        <w:rPr>
          <w:rFonts w:hint="eastAsia" w:ascii="宋体" w:hAnsi="宋体" w:eastAsia="宋体" w:cs="宋体"/>
          <w:color w:val="000000"/>
          <w:kern w:val="0"/>
          <w:sz w:val="28"/>
          <w:szCs w:val="28"/>
          <w:lang w:bidi="ar"/>
        </w:rPr>
      </w:pPr>
    </w:p>
    <w:p w14:paraId="7F6580A4">
      <w:pPr>
        <w:widowControl/>
        <w:jc w:val="left"/>
        <w:outlineLvl w:val="9"/>
        <w:rPr>
          <w:rFonts w:hint="eastAsia" w:ascii="宋体" w:hAnsi="宋体" w:eastAsia="宋体" w:cs="宋体"/>
          <w:color w:val="000000"/>
          <w:kern w:val="0"/>
          <w:sz w:val="28"/>
          <w:szCs w:val="28"/>
          <w:lang w:bidi="ar"/>
        </w:rPr>
      </w:pPr>
    </w:p>
    <w:p w14:paraId="320D76CB">
      <w:pPr>
        <w:widowControl/>
        <w:jc w:val="left"/>
        <w:outlineLvl w:val="0"/>
        <w:rPr>
          <w:rFonts w:hint="eastAsia" w:ascii="宋体" w:hAnsi="宋体" w:eastAsia="宋体" w:cs="宋体"/>
          <w:sz w:val="28"/>
          <w:szCs w:val="28"/>
        </w:rPr>
      </w:pPr>
      <w:r>
        <w:rPr>
          <w:rFonts w:hint="eastAsia" w:ascii="宋体" w:hAnsi="宋体" w:eastAsia="宋体" w:cs="宋体"/>
          <w:color w:val="000000"/>
          <w:kern w:val="0"/>
          <w:sz w:val="28"/>
          <w:szCs w:val="28"/>
          <w:lang w:bidi="ar"/>
        </w:rPr>
        <w:t>1总则</w:t>
      </w:r>
      <w:bookmarkEnd w:id="3"/>
    </w:p>
    <w:p w14:paraId="26CB5AB2">
      <w:pPr>
        <w:widowControl/>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1.1定义</w:t>
      </w:r>
    </w:p>
    <w:p w14:paraId="63CA3AB0">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bidi="ar"/>
        </w:rPr>
        <w:t>本技术规范书适用于贵州送变电有限责任公司</w:t>
      </w:r>
      <w:r>
        <w:rPr>
          <w:rFonts w:hint="eastAsia" w:ascii="宋体" w:hAnsi="宋体" w:eastAsia="宋体" w:cs="宋体"/>
          <w:color w:val="000000"/>
          <w:kern w:val="0"/>
          <w:sz w:val="28"/>
          <w:szCs w:val="28"/>
          <w:lang w:val="en-US" w:eastAsia="zh-CN" w:bidi="ar"/>
        </w:rPr>
        <w:t>林卡～青岩220kV线路工程（林卡220kV变220kV出线间隔扩建工程）起重设备技术服务。</w:t>
      </w:r>
    </w:p>
    <w:p w14:paraId="6E1C19C7">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招标方：贵州电网有限责任公司贵州送变电有限责任公司。</w:t>
      </w:r>
    </w:p>
    <w:p w14:paraId="3473691D">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合同签订方：贵州电网有限责任公司贵州送变电有限责任公司。</w:t>
      </w:r>
    </w:p>
    <w:p w14:paraId="26A757E2">
      <w:pPr>
        <w:widowControl/>
        <w:ind w:firstLine="560" w:firstLineChars="200"/>
        <w:jc w:val="left"/>
        <w:rPr>
          <w:rFonts w:hint="eastAsia" w:ascii="宋体" w:hAnsi="宋体" w:eastAsia="宋体" w:cs="宋体"/>
          <w:sz w:val="28"/>
          <w:szCs w:val="28"/>
        </w:rPr>
      </w:pPr>
      <w:bookmarkStart w:id="15" w:name="_GoBack"/>
      <w:bookmarkEnd w:id="15"/>
      <w:r>
        <w:rPr>
          <w:rFonts w:hint="eastAsia" w:ascii="宋体" w:hAnsi="宋体" w:eastAsia="宋体" w:cs="宋体"/>
          <w:color w:val="000000"/>
          <w:kern w:val="0"/>
          <w:sz w:val="28"/>
          <w:szCs w:val="28"/>
          <w:lang w:bidi="ar"/>
        </w:rPr>
        <w:t>本规范书提出的是最低限度的技术要求。凡本招标技术规范书中未规定，但在相关的行业标准、国家标准或IEC标准中有规定的规范条文，服务方应按相应标准的条文执行。对国家有关安全、环保等强制性标准，必须满足其要求。</w:t>
      </w:r>
    </w:p>
    <w:p w14:paraId="202B645B">
      <w:pPr>
        <w:widowControl/>
        <w:ind w:firstLine="560" w:firstLineChars="200"/>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如果投标方没有以书面形式对本技术规范书的条文提出异议，则意味着投标方提供的服务完全符合本技术规范书的要求。如有异议，不管是多么微小，都应以“对技术规范书的意见和同技术规范书的差异”为标题的专门章节中加以详细描述。</w:t>
      </w:r>
    </w:p>
    <w:p w14:paraId="2A770BF6">
      <w:pPr>
        <w:widowControl/>
        <w:ind w:firstLine="560" w:firstLineChars="200"/>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本技术规范书所使用的标准如遇与投标方所执行的标准不一致时，按较高标准执行。</w:t>
      </w:r>
    </w:p>
    <w:p w14:paraId="3E168D13">
      <w:pPr>
        <w:widowControl/>
        <w:ind w:firstLine="560" w:firstLineChars="200"/>
        <w:jc w:val="left"/>
        <w:rPr>
          <w:rFonts w:hint="eastAsia" w:ascii="宋体" w:hAnsi="宋体" w:eastAsia="宋体" w:cs="宋体"/>
          <w:color w:val="FF0000"/>
          <w:sz w:val="28"/>
          <w:szCs w:val="28"/>
          <w:highlight w:val="none"/>
        </w:rPr>
      </w:pPr>
      <w:r>
        <w:rPr>
          <w:rFonts w:hint="eastAsia" w:ascii="宋体" w:hAnsi="宋体" w:eastAsia="宋体" w:cs="宋体"/>
          <w:color w:val="auto"/>
          <w:kern w:val="0"/>
          <w:sz w:val="28"/>
          <w:szCs w:val="28"/>
          <w:highlight w:val="none"/>
          <w:lang w:bidi="ar"/>
        </w:rPr>
        <w:t>本技术规范书经双方确认后作为</w:t>
      </w:r>
      <w:r>
        <w:rPr>
          <w:rFonts w:hint="eastAsia" w:ascii="宋体" w:hAnsi="宋体" w:eastAsia="宋体" w:cs="宋体"/>
          <w:color w:val="000000"/>
          <w:kern w:val="0"/>
          <w:sz w:val="28"/>
          <w:szCs w:val="28"/>
          <w:lang w:val="en-US" w:eastAsia="zh-CN" w:bidi="ar"/>
        </w:rPr>
        <w:t>林卡～青岩220kV线路工程（林卡220kV变220kV出线间隔扩建工程）起重设备技术服务</w:t>
      </w:r>
      <w:r>
        <w:rPr>
          <w:rFonts w:hint="eastAsia" w:ascii="宋体" w:hAnsi="宋体" w:eastAsia="宋体" w:cs="宋体"/>
          <w:color w:val="auto"/>
          <w:kern w:val="0"/>
          <w:sz w:val="28"/>
          <w:szCs w:val="28"/>
          <w:highlight w:val="none"/>
          <w:lang w:bidi="ar"/>
        </w:rPr>
        <w:t>合同的技术附件，与合同正文具有同等的法律效力。</w:t>
      </w:r>
    </w:p>
    <w:p w14:paraId="50F4A65D">
      <w:pPr>
        <w:widowControl/>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1.2投标须知</w:t>
      </w:r>
    </w:p>
    <w:p w14:paraId="08154416">
      <w:pPr>
        <w:widowControl/>
        <w:numPr>
          <w:ilvl w:val="0"/>
          <w:numId w:val="2"/>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本招标文件仅适用于贵州送变电有限责任公司</w:t>
      </w:r>
      <w:r>
        <w:rPr>
          <w:rFonts w:hint="eastAsia" w:ascii="宋体" w:hAnsi="宋体" w:eastAsia="宋体" w:cs="宋体"/>
          <w:color w:val="000000"/>
          <w:kern w:val="0"/>
          <w:sz w:val="28"/>
          <w:szCs w:val="28"/>
          <w:lang w:val="en-US" w:eastAsia="zh-CN" w:bidi="ar"/>
        </w:rPr>
        <w:t>林卡～青岩220kV线路工程（林卡220kV变220kV出线间隔扩建工程）起重设备技术服务</w:t>
      </w:r>
      <w:r>
        <w:rPr>
          <w:rFonts w:hint="eastAsia" w:ascii="宋体" w:hAnsi="宋体" w:eastAsia="宋体" w:cs="宋体"/>
          <w:color w:val="000000"/>
          <w:kern w:val="0"/>
          <w:sz w:val="28"/>
          <w:szCs w:val="28"/>
          <w:lang w:bidi="ar"/>
        </w:rPr>
        <w:t>，本招标文件的最终解释权归贵州电网有限责任公司贵州送变电有限责任公司。</w:t>
      </w:r>
    </w:p>
    <w:p w14:paraId="777B5DE8">
      <w:pPr>
        <w:widowControl/>
        <w:numPr>
          <w:ilvl w:val="0"/>
          <w:numId w:val="2"/>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本招标文件描述了“</w:t>
      </w:r>
      <w:r>
        <w:rPr>
          <w:rFonts w:hint="eastAsia" w:ascii="宋体" w:hAnsi="宋体" w:eastAsia="宋体" w:cs="宋体"/>
          <w:color w:val="000000"/>
          <w:kern w:val="0"/>
          <w:sz w:val="28"/>
          <w:szCs w:val="28"/>
          <w:lang w:val="en-US" w:eastAsia="zh-CN" w:bidi="ar"/>
        </w:rPr>
        <w:t>林卡～青岩220kV线路工程（林卡220kV变220kV出线间隔扩建工程）起重设备技术服务</w:t>
      </w:r>
      <w:r>
        <w:rPr>
          <w:rFonts w:hint="eastAsia" w:ascii="宋体" w:hAnsi="宋体" w:eastAsia="宋体" w:cs="宋体"/>
          <w:color w:val="000000"/>
          <w:kern w:val="0"/>
          <w:sz w:val="28"/>
          <w:szCs w:val="28"/>
          <w:lang w:bidi="ar"/>
        </w:rPr>
        <w:t>”（简称本项目）工作目标、内容和要求，可供投标方编写投标文件之用。</w:t>
      </w:r>
    </w:p>
    <w:p w14:paraId="41BFC0A1">
      <w:pPr>
        <w:widowControl/>
        <w:numPr>
          <w:ilvl w:val="0"/>
          <w:numId w:val="2"/>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本项目由贵州电网有限责任公司组织招标，贵州送变电有限责任公司完成合同签订。</w:t>
      </w:r>
    </w:p>
    <w:p w14:paraId="1F85DB64">
      <w:pPr>
        <w:widowControl/>
        <w:numPr>
          <w:ilvl w:val="0"/>
          <w:numId w:val="2"/>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投标方应按照本招标文件的要求提供详细、完整的解决方案。该方案应完全满足或高于本招标文件要求，对于本招标文件中的某些部分，投标方如不能满足要求，或有其它替代方案，或有其它修改建议，应在方案中指出其必须进行修改的理由以及与原要求的差别，否则，招标方即认为投标方可以满足本招标文件的要求。</w:t>
      </w:r>
    </w:p>
    <w:p w14:paraId="1D7B48A3">
      <w:pPr>
        <w:widowControl/>
        <w:numPr>
          <w:ilvl w:val="0"/>
          <w:numId w:val="2"/>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所有招标方认为是本招标文件范围所要求而被遗漏的项目，都被认为是包含在本次招标范围内，投标方的报价被视为包含此遗漏项目的报价。投标方可以就投标方认为的遗漏项目提请招标方注意，并详细说明理由，招标方将就此进行澄清。</w:t>
      </w:r>
    </w:p>
    <w:p w14:paraId="71875D9F">
      <w:pPr>
        <w:widowControl/>
        <w:numPr>
          <w:ilvl w:val="0"/>
          <w:numId w:val="2"/>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投标方应保证所提供的所有资料真实、完整、准确无误，否则招标方将有权取消投标方的中标资格，由此产生的一切后果由投标方承担。</w:t>
      </w:r>
    </w:p>
    <w:p w14:paraId="72170B5E">
      <w:pPr>
        <w:widowControl/>
        <w:numPr>
          <w:ilvl w:val="0"/>
          <w:numId w:val="0"/>
        </w:numPr>
        <w:ind w:leftChars="0"/>
        <w:jc w:val="left"/>
        <w:rPr>
          <w:rFonts w:hint="eastAsia" w:ascii="宋体" w:hAnsi="宋体" w:eastAsia="宋体" w:cs="宋体"/>
          <w:sz w:val="28"/>
          <w:szCs w:val="28"/>
        </w:rPr>
      </w:pPr>
    </w:p>
    <w:p w14:paraId="7FA0C4E7">
      <w:pPr>
        <w:widowControl/>
        <w:jc w:val="left"/>
        <w:outlineLvl w:val="0"/>
        <w:rPr>
          <w:rFonts w:hint="eastAsia" w:ascii="宋体" w:hAnsi="宋体" w:eastAsia="宋体" w:cs="宋体"/>
          <w:b/>
          <w:bCs/>
          <w:color w:val="000000"/>
          <w:kern w:val="0"/>
          <w:sz w:val="28"/>
          <w:szCs w:val="28"/>
          <w:lang w:bidi="ar"/>
        </w:rPr>
      </w:pPr>
      <w:bookmarkStart w:id="4" w:name="_Toc1627"/>
      <w:r>
        <w:rPr>
          <w:rFonts w:hint="eastAsia" w:ascii="宋体" w:hAnsi="宋体" w:eastAsia="宋体" w:cs="宋体"/>
          <w:b/>
          <w:bCs/>
          <w:color w:val="000000"/>
          <w:kern w:val="0"/>
          <w:sz w:val="28"/>
          <w:szCs w:val="28"/>
          <w:lang w:bidi="ar"/>
        </w:rPr>
        <w:t>2应遵循的主要标准</w:t>
      </w:r>
      <w:bookmarkEnd w:id="4"/>
    </w:p>
    <w:p w14:paraId="466CFB1B">
      <w:pPr>
        <w:widowControl/>
        <w:ind w:firstLine="560" w:firstLineChars="200"/>
        <w:jc w:val="left"/>
        <w:rPr>
          <w:rFonts w:hint="eastAsia" w:ascii="宋体" w:hAnsi="宋体" w:eastAsia="宋体" w:cs="宋体"/>
          <w:b/>
          <w:bCs/>
          <w:color w:val="000000"/>
          <w:kern w:val="0"/>
          <w:sz w:val="28"/>
          <w:szCs w:val="28"/>
          <w:lang w:bidi="ar"/>
        </w:rPr>
      </w:pPr>
      <w:r>
        <w:rPr>
          <w:rFonts w:hint="eastAsia" w:ascii="宋体" w:hAnsi="宋体" w:eastAsia="宋体" w:cs="宋体"/>
          <w:color w:val="000000"/>
          <w:kern w:val="0"/>
          <w:sz w:val="28"/>
          <w:szCs w:val="28"/>
          <w:lang w:bidi="ar"/>
        </w:rPr>
        <w:t>为明确采购服务要求，保证采购服务质量，本采购服务中的工作标准及安全要求应遵循下列技术标准。</w:t>
      </w:r>
    </w:p>
    <w:p w14:paraId="3E39D12F">
      <w:pPr>
        <w:widowControl/>
        <w:ind w:firstLine="560" w:firstLineChars="200"/>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下列文件中的条款通过本标准的引用而成为本标准的条款。凡是注日期的引用文件，其随后所有的修改单（不包括勘误的内容）或修订版均不适用于本标准。</w:t>
      </w:r>
    </w:p>
    <w:p w14:paraId="0759D0B9">
      <w:pPr>
        <w:widowControl/>
        <w:ind w:firstLine="560" w:firstLineChars="200"/>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凡是不注日期的引用文件，其最新版本适用于本标准。</w:t>
      </w:r>
    </w:p>
    <w:p w14:paraId="74870073">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bookmarkStart w:id="5" w:name="_Hlk107126497"/>
      <w:r>
        <w:rPr>
          <w:rFonts w:hint="eastAsia" w:ascii="宋体" w:hAnsi="宋体" w:eastAsia="宋体" w:cs="宋体"/>
          <w:color w:val="000000" w:themeColor="text1"/>
          <w:kern w:val="0"/>
          <w:sz w:val="28"/>
          <w:szCs w:val="28"/>
          <w:lang w:bidi="ar"/>
          <w14:textFill>
            <w14:solidFill>
              <w14:schemeClr w14:val="tx1"/>
            </w14:solidFill>
          </w14:textFill>
        </w:rPr>
        <w:t>《电力建设安全工作规程，第3部分：变电站》DL5009.3-2013</w:t>
      </w:r>
    </w:p>
    <w:p w14:paraId="2A4AD98F">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《电气装置安装工程质量检验及评定规</w:t>
      </w:r>
      <w:r>
        <w:rPr>
          <w:rFonts w:hint="eastAsia" w:ascii="宋体" w:hAnsi="宋体" w:eastAsia="宋体" w:cs="宋体"/>
          <w:color w:val="000000" w:themeColor="text1"/>
          <w:kern w:val="0"/>
          <w:sz w:val="28"/>
          <w:szCs w:val="28"/>
          <w:lang w:eastAsia="zh-CN" w:bidi="ar"/>
          <w14:textFill>
            <w14:solidFill>
              <w14:schemeClr w14:val="tx1"/>
            </w14:solidFill>
          </w14:textFill>
        </w:rPr>
        <w:t>》</w:t>
      </w:r>
      <w:r>
        <w:rPr>
          <w:rFonts w:hint="eastAsia" w:ascii="宋体" w:hAnsi="宋体" w:eastAsia="宋体" w:cs="宋体"/>
          <w:color w:val="000000" w:themeColor="text1"/>
          <w:kern w:val="0"/>
          <w:sz w:val="28"/>
          <w:szCs w:val="28"/>
          <w:lang w:bidi="ar"/>
          <w14:textFill>
            <w14:solidFill>
              <w14:schemeClr w14:val="tx1"/>
            </w14:solidFill>
          </w14:textFill>
        </w:rPr>
        <w:t>（DL/T5161.1~5161.17-2018）</w:t>
      </w:r>
    </w:p>
    <w:p w14:paraId="64FB4E90">
      <w:pPr>
        <w:widowControl/>
        <w:jc w:val="left"/>
        <w:rPr>
          <w:rFonts w:hint="eastAsia" w:ascii="宋体" w:hAnsi="宋体" w:eastAsia="宋体" w:cs="宋体"/>
          <w:color w:val="FF0000"/>
          <w:kern w:val="0"/>
          <w:sz w:val="28"/>
          <w:szCs w:val="28"/>
          <w:highlight w:val="yellow"/>
          <w:lang w:bidi="ar"/>
        </w:rPr>
      </w:pPr>
      <w:r>
        <w:rPr>
          <w:rFonts w:hint="eastAsia" w:ascii="宋体" w:hAnsi="宋体" w:eastAsia="宋体" w:cs="宋体"/>
          <w:color w:val="auto"/>
          <w:kern w:val="0"/>
          <w:sz w:val="28"/>
          <w:szCs w:val="28"/>
          <w:highlight w:val="none"/>
          <w:lang w:bidi="ar"/>
        </w:rPr>
        <w:t>《</w:t>
      </w:r>
      <w:r>
        <w:rPr>
          <w:rFonts w:hint="eastAsia" w:ascii="宋体" w:hAnsi="宋体" w:eastAsia="宋体" w:cs="宋体"/>
          <w:color w:val="auto"/>
          <w:kern w:val="0"/>
          <w:sz w:val="28"/>
          <w:szCs w:val="28"/>
          <w:highlight w:val="none"/>
          <w:lang w:val="en-US" w:eastAsia="zh-CN" w:bidi="ar"/>
        </w:rPr>
        <w:t>电力设备检修试验规程</w:t>
      </w:r>
      <w:r>
        <w:rPr>
          <w:rFonts w:hint="eastAsia" w:ascii="宋体" w:hAnsi="宋体" w:eastAsia="宋体" w:cs="宋体"/>
          <w:color w:val="auto"/>
          <w:kern w:val="0"/>
          <w:sz w:val="28"/>
          <w:szCs w:val="28"/>
          <w:highlight w:val="none"/>
          <w:lang w:bidi="ar"/>
        </w:rPr>
        <w:t>》</w:t>
      </w:r>
      <w:r>
        <w:rPr>
          <w:rFonts w:hint="eastAsia" w:ascii="宋体" w:hAnsi="宋体" w:eastAsia="宋体" w:cs="宋体"/>
          <w:color w:val="auto"/>
          <w:kern w:val="0"/>
          <w:sz w:val="28"/>
          <w:szCs w:val="28"/>
          <w:highlight w:val="none"/>
          <w:lang w:val="en-US" w:eastAsia="zh-CN" w:bidi="ar"/>
        </w:rPr>
        <w:t>Q/CSG1206007-2017</w:t>
      </w:r>
    </w:p>
    <w:bookmarkEnd w:id="5"/>
    <w:p w14:paraId="3D42667A">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bookmarkStart w:id="6" w:name="_Hlk107126537"/>
      <w:r>
        <w:rPr>
          <w:rFonts w:hint="eastAsia" w:ascii="宋体" w:hAnsi="宋体" w:eastAsia="宋体" w:cs="宋体"/>
          <w:color w:val="000000" w:themeColor="text1"/>
          <w:kern w:val="0"/>
          <w:sz w:val="28"/>
          <w:szCs w:val="28"/>
          <w:lang w:bidi="ar"/>
          <w14:textFill>
            <w14:solidFill>
              <w14:schemeClr w14:val="tx1"/>
            </w14:solidFill>
          </w14:textFill>
        </w:rPr>
        <w:t>《输变电工程建设标准强制性条文实施管理规程》</w:t>
      </w:r>
      <w:bookmarkEnd w:id="6"/>
      <w:r>
        <w:rPr>
          <w:rFonts w:hint="eastAsia" w:ascii="宋体" w:hAnsi="宋体" w:eastAsia="宋体" w:cs="宋体"/>
          <w:color w:val="000000" w:themeColor="text1"/>
          <w:kern w:val="0"/>
          <w:sz w:val="28"/>
          <w:szCs w:val="28"/>
          <w:lang w:bidi="ar"/>
          <w14:textFill>
            <w14:solidFill>
              <w14:schemeClr w14:val="tx1"/>
            </w14:solidFill>
          </w14:textFill>
        </w:rPr>
        <w:t>(Q/GDW10248.1-2016)</w:t>
      </w:r>
    </w:p>
    <w:p w14:paraId="2A1E35D5">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《中国南方电网公司电力建设施工安全基准风险指南》（2022版）</w:t>
      </w:r>
    </w:p>
    <w:p w14:paraId="5C4EDFB3">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《中国南方电网有限责任公司电力安全工作规程》（2022版）</w:t>
      </w:r>
    </w:p>
    <w:p w14:paraId="552A6FBE">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《中国南方电网有限责任公司10kV～500kV输变电及配电工程质量验收与评定标准》Q/CSG 411002-2012</w:t>
      </w:r>
      <w:r>
        <w:rPr>
          <w:rFonts w:hint="eastAsia" w:ascii="宋体" w:hAnsi="宋体" w:eastAsia="宋体" w:cs="宋体"/>
          <w:color w:val="000000" w:themeColor="text1"/>
          <w:kern w:val="0"/>
          <w:sz w:val="28"/>
          <w:szCs w:val="28"/>
          <w:lang w:bidi="ar"/>
          <w14:textFill>
            <w14:solidFill>
              <w14:schemeClr w14:val="tx1"/>
            </w14:solidFill>
          </w14:textFill>
        </w:rPr>
        <w:br w:type="textWrapping"/>
      </w:r>
      <w:r>
        <w:rPr>
          <w:rFonts w:hint="eastAsia" w:ascii="宋体" w:hAnsi="宋体" w:eastAsia="宋体" w:cs="宋体"/>
          <w:color w:val="000000" w:themeColor="text1"/>
          <w:kern w:val="0"/>
          <w:sz w:val="28"/>
          <w:szCs w:val="28"/>
          <w:lang w:bidi="ar"/>
          <w14:textFill>
            <w14:solidFill>
              <w14:schemeClr w14:val="tx1"/>
            </w14:solidFill>
          </w14:textFill>
        </w:rPr>
        <w:t>《中国南方电网有限责任公司电网建设施工作业指导书》（2012年版）</w:t>
      </w:r>
      <w:r>
        <w:rPr>
          <w:rFonts w:hint="eastAsia" w:ascii="宋体" w:hAnsi="宋体" w:eastAsia="宋体" w:cs="宋体"/>
          <w:color w:val="000000" w:themeColor="text1"/>
          <w:kern w:val="0"/>
          <w:sz w:val="28"/>
          <w:szCs w:val="28"/>
          <w:lang w:bidi="ar"/>
          <w14:textFill>
            <w14:solidFill>
              <w14:schemeClr w14:val="tx1"/>
            </w14:solidFill>
          </w14:textFill>
        </w:rPr>
        <w:br w:type="textWrapping"/>
      </w:r>
      <w:r>
        <w:rPr>
          <w:rFonts w:hint="eastAsia" w:ascii="宋体" w:hAnsi="宋体" w:eastAsia="宋体" w:cs="宋体"/>
          <w:color w:val="000000" w:themeColor="text1"/>
          <w:kern w:val="0"/>
          <w:sz w:val="28"/>
          <w:szCs w:val="28"/>
          <w:lang w:bidi="ar"/>
          <w14:textFill>
            <w14:solidFill>
              <w14:schemeClr w14:val="tx1"/>
            </w14:solidFill>
          </w14:textFill>
        </w:rPr>
        <w:t>贵州送变电有限责任公司《质量、职业健康安全和环境管理整合体系管理手册》、《程序文件》及其它整合体系文件</w:t>
      </w:r>
    </w:p>
    <w:p w14:paraId="0460EE1E">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p>
    <w:p w14:paraId="3159B93C">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p>
    <w:p w14:paraId="0D5BD810">
      <w:pPr>
        <w:widowControl/>
        <w:jc w:val="left"/>
        <w:outlineLvl w:val="0"/>
        <w:rPr>
          <w:rFonts w:hint="eastAsia" w:ascii="宋体" w:hAnsi="宋体" w:eastAsia="宋体" w:cs="宋体"/>
          <w:b/>
          <w:bCs/>
          <w:color w:val="000000"/>
          <w:kern w:val="0"/>
          <w:sz w:val="28"/>
          <w:szCs w:val="28"/>
          <w:lang w:bidi="ar"/>
        </w:rPr>
      </w:pPr>
      <w:bookmarkStart w:id="7" w:name="_Toc31224"/>
      <w:r>
        <w:rPr>
          <w:rFonts w:hint="eastAsia" w:ascii="微软雅黑" w:hAnsi="微软雅黑" w:eastAsia="微软雅黑" w:cs="微软雅黑"/>
          <w:b/>
          <w:bCs/>
          <w:color w:val="000000"/>
          <w:kern w:val="0"/>
          <w:sz w:val="28"/>
          <w:szCs w:val="28"/>
          <w:lang w:bidi="ar"/>
        </w:rPr>
        <w:t>★</w:t>
      </w:r>
      <w:r>
        <w:rPr>
          <w:rFonts w:hint="eastAsia" w:ascii="宋体" w:hAnsi="宋体" w:eastAsia="宋体" w:cs="宋体"/>
          <w:b/>
          <w:bCs/>
          <w:color w:val="000000"/>
          <w:kern w:val="0"/>
          <w:sz w:val="28"/>
          <w:szCs w:val="28"/>
          <w:lang w:bidi="ar"/>
        </w:rPr>
        <w:t>3项目的</w:t>
      </w:r>
      <w:r>
        <w:rPr>
          <w:rFonts w:hint="eastAsia" w:ascii="宋体" w:hAnsi="宋体" w:eastAsia="宋体" w:cs="宋体"/>
          <w:b/>
          <w:bCs/>
          <w:color w:val="000000"/>
          <w:kern w:val="0"/>
          <w:sz w:val="28"/>
          <w:szCs w:val="28"/>
          <w:lang w:val="en-US" w:eastAsia="zh-CN" w:bidi="ar"/>
        </w:rPr>
        <w:t>背景、</w:t>
      </w:r>
      <w:r>
        <w:rPr>
          <w:rFonts w:hint="eastAsia" w:ascii="宋体" w:hAnsi="宋体" w:eastAsia="宋体" w:cs="宋体"/>
          <w:b/>
          <w:bCs/>
          <w:color w:val="000000"/>
          <w:kern w:val="0"/>
          <w:sz w:val="28"/>
          <w:szCs w:val="28"/>
          <w:lang w:bidi="ar"/>
        </w:rPr>
        <w:t>内容与目的</w:t>
      </w:r>
      <w:bookmarkEnd w:id="7"/>
    </w:p>
    <w:p w14:paraId="70A74A57">
      <w:pPr>
        <w:keepNext w:val="0"/>
        <w:keepLines w:val="0"/>
        <w:pageBreakBefore w:val="0"/>
        <w:widowControl/>
        <w:numPr>
          <w:ilvl w:val="0"/>
          <w:numId w:val="3"/>
        </w:numPr>
        <w:kinsoku/>
        <w:wordWrap/>
        <w:overflowPunct/>
        <w:topLinePunct w:val="0"/>
        <w:autoSpaceDE/>
        <w:autoSpaceDN/>
        <w:bidi w:val="0"/>
        <w:adjustRightInd/>
        <w:snapToGrid/>
        <w:ind w:left="425" w:hanging="425"/>
        <w:jc w:val="left"/>
        <w:textAlignment w:val="auto"/>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项目的背景</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000000"/>
          <w:kern w:val="0"/>
          <w:sz w:val="28"/>
          <w:szCs w:val="28"/>
          <w:lang w:val="en-US" w:eastAsia="zh-CN" w:bidi="ar"/>
        </w:rPr>
        <w:t>林卡～青岩220kV线路工程（林卡220kV变220kV出线间隔扩建工程）起重设备技术服务</w:t>
      </w:r>
      <w:r>
        <w:rPr>
          <w:rFonts w:hint="eastAsia" w:ascii="宋体" w:hAnsi="宋体" w:eastAsia="宋体" w:cs="宋体"/>
          <w:color w:val="auto"/>
          <w:kern w:val="0"/>
          <w:sz w:val="28"/>
          <w:szCs w:val="28"/>
          <w:highlight w:val="none"/>
          <w:lang w:val="en-US" w:eastAsia="zh-CN" w:bidi="ar"/>
        </w:rPr>
        <w:t>。</w:t>
      </w:r>
    </w:p>
    <w:p w14:paraId="51BFCA78">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bidi="ar"/>
        </w:rPr>
        <w:t>项目的内容：</w:t>
      </w:r>
      <w:r>
        <w:rPr>
          <w:rFonts w:hint="eastAsia" w:ascii="宋体" w:hAnsi="宋体" w:eastAsia="宋体" w:cs="宋体"/>
          <w:color w:val="auto"/>
          <w:kern w:val="0"/>
          <w:sz w:val="28"/>
          <w:szCs w:val="28"/>
          <w:highlight w:val="none"/>
          <w:lang w:val="en-US" w:eastAsia="zh-CN" w:bidi="ar"/>
        </w:rPr>
        <w:t>现场 1台 起重设备技术服务；</w:t>
      </w:r>
    </w:p>
    <w:p w14:paraId="6292C96D">
      <w:pPr>
        <w:widowControl/>
        <w:numPr>
          <w:ilvl w:val="0"/>
          <w:numId w:val="3"/>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项目目的：</w:t>
      </w:r>
      <w:r>
        <w:rPr>
          <w:rFonts w:hint="eastAsia" w:ascii="宋体" w:hAnsi="宋体" w:eastAsia="宋体" w:cs="宋体"/>
          <w:color w:val="auto"/>
          <w:kern w:val="0"/>
          <w:sz w:val="28"/>
          <w:szCs w:val="28"/>
          <w:highlight w:val="none"/>
          <w:lang w:val="en-US" w:eastAsia="zh-CN" w:bidi="ar"/>
        </w:rPr>
        <w:t>提供的维修</w:t>
      </w:r>
      <w:r>
        <w:rPr>
          <w:rFonts w:hint="eastAsia" w:ascii="宋体" w:hAnsi="宋体" w:eastAsia="宋体" w:cs="宋体"/>
          <w:color w:val="auto"/>
          <w:kern w:val="0"/>
          <w:sz w:val="28"/>
          <w:szCs w:val="28"/>
          <w:highlight w:val="none"/>
          <w:lang w:bidi="ar"/>
        </w:rPr>
        <w:t>技术服务满足工程项目</w:t>
      </w:r>
      <w:r>
        <w:rPr>
          <w:rFonts w:hint="eastAsia" w:ascii="宋体" w:hAnsi="宋体" w:eastAsia="宋体" w:cs="宋体"/>
          <w:color w:val="000000"/>
          <w:kern w:val="0"/>
          <w:sz w:val="28"/>
          <w:szCs w:val="28"/>
          <w:lang w:val="en-US" w:eastAsia="zh-CN" w:bidi="ar"/>
        </w:rPr>
        <w:t>林卡～青岩220kV线路工程（林卡220kV变220kV出线间隔扩建工程）起重设备技术服务</w:t>
      </w:r>
      <w:r>
        <w:rPr>
          <w:rFonts w:hint="eastAsia" w:ascii="宋体" w:hAnsi="宋体" w:eastAsia="宋体" w:cs="宋体"/>
          <w:color w:val="auto"/>
          <w:kern w:val="0"/>
          <w:sz w:val="28"/>
          <w:szCs w:val="28"/>
          <w:highlight w:val="none"/>
          <w:lang w:val="en-US" w:eastAsia="zh-CN" w:bidi="ar"/>
        </w:rPr>
        <w:t>的相关</w:t>
      </w:r>
      <w:r>
        <w:rPr>
          <w:rFonts w:hint="eastAsia" w:ascii="宋体" w:hAnsi="宋体" w:eastAsia="宋体" w:cs="宋体"/>
          <w:color w:val="auto"/>
          <w:kern w:val="0"/>
          <w:sz w:val="28"/>
          <w:szCs w:val="28"/>
          <w:highlight w:val="none"/>
          <w:lang w:bidi="ar"/>
        </w:rPr>
        <w:t>要求，保</w:t>
      </w:r>
      <w:r>
        <w:rPr>
          <w:rFonts w:hint="eastAsia" w:ascii="宋体" w:hAnsi="宋体" w:eastAsia="宋体" w:cs="宋体"/>
          <w:color w:val="auto"/>
          <w:kern w:val="0"/>
          <w:sz w:val="28"/>
          <w:szCs w:val="28"/>
          <w:highlight w:val="none"/>
          <w:lang w:val="en-US" w:eastAsia="zh-CN" w:bidi="ar"/>
        </w:rPr>
        <w:t>证</w:t>
      </w:r>
      <w:r>
        <w:rPr>
          <w:rFonts w:hint="eastAsia" w:ascii="宋体" w:hAnsi="宋体" w:eastAsia="宋体" w:cs="宋体"/>
          <w:color w:val="000000"/>
          <w:kern w:val="0"/>
          <w:sz w:val="28"/>
          <w:szCs w:val="28"/>
          <w:lang w:val="en-US" w:eastAsia="zh-CN" w:bidi="ar"/>
        </w:rPr>
        <w:t>起重设备技术服务</w:t>
      </w:r>
      <w:r>
        <w:rPr>
          <w:rFonts w:hint="eastAsia" w:ascii="宋体" w:hAnsi="宋体" w:eastAsia="宋体" w:cs="宋体"/>
          <w:color w:val="auto"/>
          <w:kern w:val="0"/>
          <w:sz w:val="28"/>
          <w:szCs w:val="28"/>
          <w:highlight w:val="none"/>
          <w:lang w:val="en-US" w:eastAsia="zh-CN" w:bidi="ar"/>
        </w:rPr>
        <w:t>后满足国家、行业等相关技术规范要求，并经监理、业主、运行、使用等单位验收合格并投入运行，投入运行无异常</w:t>
      </w:r>
      <w:r>
        <w:rPr>
          <w:rFonts w:hint="eastAsia" w:ascii="宋体" w:hAnsi="宋体" w:eastAsia="宋体" w:cs="宋体"/>
          <w:color w:val="auto"/>
          <w:kern w:val="0"/>
          <w:sz w:val="28"/>
          <w:szCs w:val="28"/>
          <w:highlight w:val="none"/>
          <w:lang w:bidi="ar"/>
        </w:rPr>
        <w:t>。</w:t>
      </w:r>
    </w:p>
    <w:p w14:paraId="438480BD">
      <w:pPr>
        <w:widowControl/>
        <w:numPr>
          <w:ilvl w:val="0"/>
          <w:numId w:val="3"/>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资质要求：需具备国家相关行政主管部门颁发的起重设备安装、修理、改造许可证，且在有效期内。</w:t>
      </w:r>
    </w:p>
    <w:p w14:paraId="19351DA8">
      <w:pPr>
        <w:widowControl/>
        <w:numPr>
          <w:ilvl w:val="0"/>
          <w:numId w:val="3"/>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技术要求：完成</w:t>
      </w:r>
      <w:r>
        <w:rPr>
          <w:rFonts w:hint="eastAsia" w:ascii="宋体" w:hAnsi="宋体" w:eastAsia="宋体" w:cs="宋体"/>
          <w:color w:val="auto"/>
          <w:kern w:val="0"/>
          <w:sz w:val="28"/>
          <w:szCs w:val="28"/>
          <w:lang w:val="en-US" w:eastAsia="zh-CN" w:bidi="ar"/>
        </w:rPr>
        <w:t>林卡～青岩220kV线路工程（林卡220kV变220kV出线间隔扩建工程）现场使用</w:t>
      </w:r>
      <w:r>
        <w:rPr>
          <w:rFonts w:hint="eastAsia" w:ascii="宋体" w:hAnsi="宋体" w:eastAsia="宋体" w:cs="宋体"/>
          <w:color w:val="auto"/>
          <w:kern w:val="0"/>
          <w:sz w:val="28"/>
          <w:szCs w:val="28"/>
          <w:highlight w:val="none"/>
          <w:lang w:val="en-US" w:eastAsia="zh-CN" w:bidi="ar"/>
        </w:rPr>
        <w:t>要求，需对</w:t>
      </w:r>
      <w:r>
        <w:rPr>
          <w:rFonts w:hint="eastAsia" w:ascii="宋体" w:hAnsi="宋体" w:eastAsia="宋体" w:cs="宋体"/>
          <w:color w:val="auto"/>
          <w:kern w:val="0"/>
          <w:sz w:val="28"/>
          <w:szCs w:val="28"/>
          <w:lang w:val="en-US" w:eastAsia="zh-CN" w:bidi="ar"/>
        </w:rPr>
        <w:t>林卡～青岩220kV线路工程（林卡220kV变220kV出线间隔扩建工程）起重设备的年检服务，包含以下内容：</w:t>
      </w:r>
    </w:p>
    <w:p w14:paraId="038AA7D7">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default" w:ascii="宋体" w:hAnsi="宋体" w:eastAsia="宋体" w:cs="宋体"/>
          <w:color w:val="auto"/>
          <w:kern w:val="0"/>
          <w:sz w:val="28"/>
          <w:szCs w:val="28"/>
          <w:highlight w:val="none"/>
          <w:lang w:val="en-US" w:eastAsia="zh-CN" w:bidi="ar"/>
        </w:rPr>
        <w:t>结构检查：主要检查起重设备的金属结构是否有裂纹、变形、锈蚀等缺陷，以及连接部位是否牢固可靠。</w:t>
      </w:r>
    </w:p>
    <w:p w14:paraId="1FFAEAB2">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default" w:ascii="宋体" w:hAnsi="宋体" w:eastAsia="宋体" w:cs="宋体"/>
          <w:color w:val="auto"/>
          <w:kern w:val="0"/>
          <w:sz w:val="28"/>
          <w:szCs w:val="28"/>
          <w:highlight w:val="none"/>
          <w:lang w:val="en-US" w:eastAsia="zh-CN" w:bidi="ar"/>
        </w:rPr>
        <w:t>电气系统检查：对起重设备的电气控制系统进行全面检查，包括电缆、电机、接触器、开关等电气元件的工作状态和安全性。</w:t>
      </w:r>
    </w:p>
    <w:p w14:paraId="1E3F7E94">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default" w:ascii="宋体" w:hAnsi="宋体" w:eastAsia="宋体" w:cs="宋体"/>
          <w:color w:val="auto"/>
          <w:kern w:val="0"/>
          <w:sz w:val="28"/>
          <w:szCs w:val="28"/>
          <w:highlight w:val="none"/>
          <w:lang w:val="en-US" w:eastAsia="zh-CN" w:bidi="ar"/>
        </w:rPr>
        <w:t>安全保护装置检查：确保起重设备的安全保护装置（如限位开关、超载限制器等）功能正常，能够在紧急情况下及时发挥作用。</w:t>
      </w:r>
    </w:p>
    <w:p w14:paraId="67ECEF88">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由中标单位提供</w:t>
      </w:r>
      <w:r>
        <w:rPr>
          <w:rFonts w:hint="eastAsia" w:ascii="宋体" w:hAnsi="宋体" w:eastAsia="宋体" w:cs="宋体"/>
          <w:color w:val="auto"/>
          <w:kern w:val="0"/>
          <w:sz w:val="28"/>
          <w:szCs w:val="28"/>
          <w:lang w:val="en-US" w:eastAsia="zh-CN" w:bidi="ar"/>
        </w:rPr>
        <w:t>年检报告等相关资料，办理相关手续，使起重设备具备投入运行条件。</w:t>
      </w:r>
    </w:p>
    <w:p w14:paraId="776BBC03">
      <w:pPr>
        <w:widowControl/>
        <w:jc w:val="left"/>
        <w:outlineLvl w:val="0"/>
        <w:rPr>
          <w:rFonts w:hint="eastAsia" w:ascii="宋体" w:hAnsi="宋体" w:eastAsia="宋体" w:cs="宋体"/>
          <w:color w:val="000000"/>
          <w:kern w:val="0"/>
          <w:sz w:val="28"/>
          <w:szCs w:val="28"/>
          <w:lang w:bidi="ar"/>
        </w:rPr>
      </w:pPr>
      <w:bookmarkStart w:id="8" w:name="_Toc2674"/>
      <w:r>
        <w:rPr>
          <w:rFonts w:hint="eastAsia" w:ascii="宋体" w:hAnsi="宋体" w:eastAsia="宋体" w:cs="宋体"/>
          <w:b/>
          <w:bCs/>
          <w:color w:val="000000"/>
          <w:kern w:val="0"/>
          <w:sz w:val="28"/>
          <w:szCs w:val="28"/>
          <w:lang w:bidi="ar"/>
        </w:rPr>
        <w:t>4项目的必要性</w:t>
      </w:r>
      <w:bookmarkEnd w:id="8"/>
    </w:p>
    <w:p w14:paraId="2B897AE9">
      <w:pPr>
        <w:widowControl/>
        <w:ind w:firstLine="560" w:firstLineChars="20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根据</w:t>
      </w:r>
      <w:r>
        <w:rPr>
          <w:rFonts w:hint="eastAsia" w:ascii="宋体" w:hAnsi="宋体" w:eastAsia="宋体" w:cs="宋体"/>
          <w:color w:val="000000"/>
          <w:kern w:val="0"/>
          <w:sz w:val="28"/>
          <w:szCs w:val="28"/>
          <w:lang w:val="en-US" w:eastAsia="zh-CN" w:bidi="ar"/>
        </w:rPr>
        <w:t>林卡～青岩220kV线路工程（林卡220kV变220kV出线间隔扩建工程）具备现场使用条件的相关</w:t>
      </w:r>
      <w:r>
        <w:rPr>
          <w:rFonts w:hint="eastAsia" w:ascii="宋体" w:hAnsi="宋体" w:eastAsia="宋体" w:cs="宋体"/>
          <w:color w:val="auto"/>
          <w:kern w:val="0"/>
          <w:sz w:val="28"/>
          <w:szCs w:val="28"/>
          <w:highlight w:val="none"/>
          <w:lang w:val="en-US" w:eastAsia="zh-CN" w:bidi="ar"/>
        </w:rPr>
        <w:t>要求，需对</w:t>
      </w:r>
      <w:r>
        <w:rPr>
          <w:rFonts w:hint="eastAsia" w:ascii="宋体" w:hAnsi="宋体" w:eastAsia="宋体" w:cs="宋体"/>
          <w:color w:val="000000"/>
          <w:kern w:val="0"/>
          <w:sz w:val="28"/>
          <w:szCs w:val="28"/>
          <w:lang w:val="en-US" w:eastAsia="zh-CN" w:bidi="ar"/>
        </w:rPr>
        <w:t>林卡～青岩220kV线路工程（林卡220kV变220kV出线间隔扩建工程）的起重设备进行必要</w:t>
      </w:r>
      <w:r>
        <w:rPr>
          <w:rFonts w:hint="eastAsia" w:ascii="宋体" w:hAnsi="宋体" w:eastAsia="宋体" w:cs="宋体"/>
          <w:color w:val="auto"/>
          <w:kern w:val="0"/>
          <w:sz w:val="28"/>
          <w:szCs w:val="28"/>
          <w:highlight w:val="none"/>
          <w:lang w:val="en-US" w:eastAsia="zh-CN" w:bidi="ar"/>
        </w:rPr>
        <w:t>的年检服务技术服务。</w:t>
      </w:r>
    </w:p>
    <w:p w14:paraId="3F29C925">
      <w:pPr>
        <w:widowControl/>
        <w:jc w:val="left"/>
        <w:outlineLvl w:val="0"/>
        <w:rPr>
          <w:rFonts w:hint="eastAsia" w:ascii="宋体" w:hAnsi="宋体" w:eastAsia="宋体" w:cs="宋体"/>
          <w:b/>
          <w:bCs/>
          <w:color w:val="000000"/>
          <w:kern w:val="0"/>
          <w:sz w:val="28"/>
          <w:szCs w:val="28"/>
          <w:lang w:bidi="ar"/>
        </w:rPr>
      </w:pPr>
      <w:bookmarkStart w:id="9" w:name="_Toc16262"/>
      <w:r>
        <w:rPr>
          <w:rFonts w:hint="eastAsia" w:ascii="宋体" w:hAnsi="宋体" w:eastAsia="宋体" w:cs="宋体"/>
          <w:b/>
          <w:bCs/>
          <w:color w:val="000000"/>
          <w:kern w:val="0"/>
          <w:sz w:val="28"/>
          <w:szCs w:val="28"/>
          <w:lang w:bidi="ar"/>
        </w:rPr>
        <w:t>★5技术服务的唯一性</w:t>
      </w:r>
      <w:bookmarkEnd w:id="9"/>
    </w:p>
    <w:p w14:paraId="3EECB0EA">
      <w:pPr>
        <w:widowControl/>
        <w:jc w:val="left"/>
        <w:outlineLvl w:val="0"/>
        <w:rPr>
          <w:rFonts w:hint="default" w:ascii="宋体" w:hAnsi="宋体" w:eastAsia="宋体" w:cs="宋体"/>
          <w:color w:val="auto"/>
          <w:kern w:val="0"/>
          <w:sz w:val="28"/>
          <w:szCs w:val="28"/>
          <w:highlight w:val="none"/>
          <w:lang w:val="en-US" w:eastAsia="zh-CN" w:bidi="ar"/>
        </w:rPr>
      </w:pPr>
      <w:bookmarkStart w:id="10" w:name="_Toc13172"/>
      <w:r>
        <w:rPr>
          <w:rFonts w:hint="eastAsia" w:ascii="宋体" w:hAnsi="宋体" w:eastAsia="宋体" w:cs="宋体"/>
          <w:color w:val="auto"/>
          <w:kern w:val="0"/>
          <w:sz w:val="28"/>
          <w:szCs w:val="28"/>
          <w:highlight w:val="none"/>
          <w:lang w:val="en-US" w:eastAsia="zh-CN" w:bidi="ar"/>
        </w:rPr>
        <w:t xml:space="preserve"> 无</w:t>
      </w:r>
    </w:p>
    <w:p w14:paraId="3D788A12">
      <w:pPr>
        <w:widowControl/>
        <w:jc w:val="left"/>
        <w:outlineLvl w:val="0"/>
        <w:rPr>
          <w:rFonts w:hint="eastAsia" w:ascii="宋体" w:hAnsi="宋体" w:eastAsia="宋体" w:cs="宋体"/>
          <w:sz w:val="28"/>
          <w:szCs w:val="28"/>
        </w:rPr>
      </w:pPr>
      <w:r>
        <w:rPr>
          <w:rFonts w:hint="eastAsia" w:ascii="宋体" w:hAnsi="宋体" w:eastAsia="宋体" w:cs="宋体"/>
          <w:b/>
          <w:bCs/>
          <w:color w:val="000000"/>
          <w:kern w:val="0"/>
          <w:sz w:val="28"/>
          <w:szCs w:val="28"/>
          <w:lang w:bidi="ar"/>
        </w:rPr>
        <w:t>6安全要求</w:t>
      </w:r>
      <w:bookmarkEnd w:id="10"/>
    </w:p>
    <w:p w14:paraId="58CF767F">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工作过程中应执行Q/CSG510001《中国南方电网有限责任公司电力安全工作规程》</w:t>
      </w:r>
      <w:r>
        <w:rPr>
          <w:rFonts w:hint="eastAsia" w:ascii="宋体" w:hAnsi="宋体" w:eastAsia="宋体" w:cs="宋体"/>
          <w:color w:val="000000"/>
          <w:kern w:val="0"/>
          <w:sz w:val="28"/>
          <w:szCs w:val="28"/>
          <w:lang w:eastAsia="zh-CN" w:bidi="ar"/>
        </w:rPr>
        <w:t>（</w:t>
      </w:r>
      <w:r>
        <w:rPr>
          <w:rFonts w:hint="eastAsia" w:ascii="宋体" w:hAnsi="宋体" w:eastAsia="宋体" w:cs="宋体"/>
          <w:color w:val="000000"/>
          <w:kern w:val="0"/>
          <w:sz w:val="28"/>
          <w:szCs w:val="28"/>
          <w:lang w:val="en-US" w:eastAsia="zh-CN" w:bidi="ar"/>
        </w:rPr>
        <w:t>2022版）相关</w:t>
      </w:r>
      <w:r>
        <w:rPr>
          <w:rFonts w:hint="eastAsia" w:ascii="宋体" w:hAnsi="宋体" w:eastAsia="宋体" w:cs="宋体"/>
          <w:color w:val="000000"/>
          <w:kern w:val="0"/>
          <w:sz w:val="28"/>
          <w:szCs w:val="28"/>
          <w:lang w:bidi="ar"/>
        </w:rPr>
        <w:t>要求。</w:t>
      </w:r>
    </w:p>
    <w:p w14:paraId="6BE350A0">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具备保证安全组织措</w:t>
      </w:r>
      <w:r>
        <w:rPr>
          <w:rFonts w:hint="eastAsia" w:ascii="宋体" w:hAnsi="宋体" w:eastAsia="宋体" w:cs="宋体"/>
          <w:color w:val="000000"/>
          <w:kern w:val="0"/>
          <w:sz w:val="28"/>
          <w:szCs w:val="28"/>
          <w:highlight w:val="none"/>
          <w:lang w:bidi="ar"/>
        </w:rPr>
        <w:t>施的能力，</w:t>
      </w:r>
      <w:r>
        <w:rPr>
          <w:rFonts w:hint="eastAsia" w:ascii="宋体" w:hAnsi="宋体" w:eastAsia="宋体" w:cs="宋体"/>
          <w:color w:val="000000"/>
          <w:kern w:val="0"/>
          <w:sz w:val="28"/>
          <w:szCs w:val="28"/>
          <w:highlight w:val="none"/>
          <w:lang w:val="en-US" w:eastAsia="zh-CN" w:bidi="ar"/>
        </w:rPr>
        <w:t>安排技术人员现场指导，正确指导现场作业人员规范施工，并工作期间始终在现场实施技术指导</w:t>
      </w:r>
      <w:r>
        <w:rPr>
          <w:rFonts w:hint="eastAsia" w:ascii="宋体" w:hAnsi="宋体" w:eastAsia="宋体" w:cs="宋体"/>
          <w:color w:val="000000"/>
          <w:kern w:val="0"/>
          <w:sz w:val="28"/>
          <w:szCs w:val="28"/>
          <w:highlight w:val="none"/>
          <w:lang w:bidi="ar"/>
        </w:rPr>
        <w:t>。</w:t>
      </w:r>
    </w:p>
    <w:p w14:paraId="0A60FDA7">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技术指导</w:t>
      </w:r>
      <w:r>
        <w:rPr>
          <w:rFonts w:hint="eastAsia" w:ascii="宋体" w:hAnsi="宋体" w:eastAsia="宋体" w:cs="宋体"/>
          <w:color w:val="000000"/>
          <w:kern w:val="0"/>
          <w:sz w:val="28"/>
          <w:szCs w:val="28"/>
          <w:lang w:bidi="ar"/>
        </w:rPr>
        <w:t>人员的安排应满足</w:t>
      </w:r>
      <w:r>
        <w:rPr>
          <w:rFonts w:hint="eastAsia" w:ascii="宋体" w:hAnsi="宋体" w:eastAsia="宋体" w:cs="宋体"/>
          <w:color w:val="000000"/>
          <w:kern w:val="0"/>
          <w:sz w:val="28"/>
          <w:szCs w:val="28"/>
          <w:lang w:eastAsia="zh-CN" w:bidi="ar"/>
        </w:rPr>
        <w:t>、</w:t>
      </w:r>
      <w:r>
        <w:rPr>
          <w:rFonts w:hint="eastAsia" w:ascii="宋体" w:hAnsi="宋体" w:eastAsia="宋体" w:cs="宋体"/>
          <w:color w:val="000000"/>
          <w:kern w:val="0"/>
          <w:sz w:val="28"/>
          <w:szCs w:val="28"/>
          <w:lang w:val="en-US" w:eastAsia="zh-CN" w:bidi="ar"/>
        </w:rPr>
        <w:t>胜任林卡～青岩220kV线路工程（林卡220kV变220kV出线间隔扩建工程）起重设备技术服务现场技术指导工作，如不满足时应立即更换，并不得影响现场工作</w:t>
      </w:r>
      <w:r>
        <w:rPr>
          <w:rFonts w:hint="eastAsia" w:ascii="宋体" w:hAnsi="宋体" w:eastAsia="宋体" w:cs="宋体"/>
          <w:color w:val="000000"/>
          <w:kern w:val="0"/>
          <w:sz w:val="28"/>
          <w:szCs w:val="28"/>
          <w:lang w:bidi="ar"/>
        </w:rPr>
        <w:t>。</w:t>
      </w:r>
    </w:p>
    <w:p w14:paraId="47F9E111">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技术指导</w:t>
      </w:r>
      <w:r>
        <w:rPr>
          <w:rFonts w:hint="eastAsia" w:ascii="宋体" w:hAnsi="宋体" w:eastAsia="宋体" w:cs="宋体"/>
          <w:color w:val="000000"/>
          <w:kern w:val="0"/>
          <w:sz w:val="28"/>
          <w:szCs w:val="28"/>
          <w:lang w:bidi="ar"/>
        </w:rPr>
        <w:t>人员及个人防护用品的配备应满足执行南网“十个规定动作”的要求。</w:t>
      </w:r>
    </w:p>
    <w:p w14:paraId="3F0CDE48">
      <w:pPr>
        <w:widowControl/>
        <w:numPr>
          <w:ilvl w:val="0"/>
          <w:numId w:val="5"/>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现场工作人员应具有较强的安全意识、相应的安全技能及必要的作业技能，且经安全规程考试、实际技能考核合格。</w:t>
      </w:r>
    </w:p>
    <w:p w14:paraId="09DB30BB">
      <w:pPr>
        <w:widowControl/>
        <w:jc w:val="left"/>
        <w:outlineLvl w:val="0"/>
        <w:rPr>
          <w:rFonts w:hint="eastAsia" w:ascii="宋体" w:hAnsi="宋体" w:eastAsia="宋体" w:cs="宋体"/>
          <w:b/>
          <w:bCs/>
          <w:color w:val="000000"/>
          <w:kern w:val="0"/>
          <w:sz w:val="28"/>
          <w:szCs w:val="28"/>
          <w:lang w:bidi="ar"/>
        </w:rPr>
      </w:pPr>
      <w:bookmarkStart w:id="11" w:name="_Toc2586"/>
      <w:r>
        <w:rPr>
          <w:rFonts w:hint="eastAsia" w:ascii="宋体" w:hAnsi="宋体" w:eastAsia="宋体" w:cs="宋体"/>
          <w:b/>
          <w:bCs/>
          <w:color w:val="000000"/>
          <w:kern w:val="0"/>
          <w:sz w:val="28"/>
          <w:szCs w:val="28"/>
          <w:lang w:bidi="ar"/>
        </w:rPr>
        <w:t>7服务验收</w:t>
      </w:r>
      <w:bookmarkEnd w:id="11"/>
    </w:p>
    <w:p w14:paraId="585F5E30">
      <w:pPr>
        <w:widowControl/>
        <w:ind w:firstLine="560" w:firstLineChars="200"/>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投标方提供的研究成果及服务应包括下列内容，但不限于此：</w:t>
      </w:r>
    </w:p>
    <w:p w14:paraId="2BBA85FC">
      <w:pPr>
        <w:widowControl/>
        <w:numPr>
          <w:ilvl w:val="0"/>
          <w:numId w:val="6"/>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提供全流程技术服务。投标方需配备的现场服务人员不少于1人，且具备独立指导现场施工的能力。</w:t>
      </w:r>
    </w:p>
    <w:p w14:paraId="0BF34803">
      <w:pPr>
        <w:widowControl/>
        <w:numPr>
          <w:ilvl w:val="0"/>
          <w:numId w:val="6"/>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投标方应保证施工过程中的关键点符合设备厂家工艺要求</w:t>
      </w:r>
      <w:r>
        <w:rPr>
          <w:rFonts w:hint="eastAsia" w:ascii="宋体" w:hAnsi="宋体" w:eastAsia="宋体" w:cs="宋体"/>
          <w:color w:val="auto"/>
          <w:kern w:val="0"/>
          <w:sz w:val="28"/>
          <w:szCs w:val="28"/>
          <w:highlight w:val="none"/>
          <w:lang w:val="en-US" w:eastAsia="zh-CN" w:bidi="ar"/>
        </w:rPr>
        <w:t>及相关规程规范要求</w:t>
      </w:r>
      <w:r>
        <w:rPr>
          <w:rFonts w:hint="eastAsia" w:ascii="宋体" w:hAnsi="宋体" w:eastAsia="宋体" w:cs="宋体"/>
          <w:color w:val="auto"/>
          <w:kern w:val="0"/>
          <w:sz w:val="28"/>
          <w:szCs w:val="28"/>
          <w:highlight w:val="none"/>
          <w:lang w:bidi="ar"/>
        </w:rPr>
        <w:t>，对现场施工人员进行培训交底。完成</w:t>
      </w:r>
      <w:r>
        <w:rPr>
          <w:rFonts w:hint="eastAsia" w:ascii="宋体" w:hAnsi="宋体" w:eastAsia="宋体" w:cs="宋体"/>
          <w:color w:val="000000"/>
          <w:kern w:val="0"/>
          <w:sz w:val="28"/>
          <w:szCs w:val="28"/>
          <w:lang w:val="en-US" w:eastAsia="zh-CN" w:bidi="ar"/>
        </w:rPr>
        <w:t>林卡～青岩220kV线路工程（林卡220kV变220kV出线间隔扩建工程）起重设备</w:t>
      </w:r>
      <w:r>
        <w:rPr>
          <w:rFonts w:hint="eastAsia" w:ascii="宋体" w:hAnsi="宋体" w:eastAsia="宋体" w:cs="宋体"/>
          <w:color w:val="auto"/>
          <w:kern w:val="0"/>
          <w:sz w:val="28"/>
          <w:szCs w:val="28"/>
          <w:highlight w:val="none"/>
          <w:lang w:val="en-US" w:eastAsia="zh-CN" w:bidi="ar"/>
        </w:rPr>
        <w:t>相关</w:t>
      </w:r>
      <w:r>
        <w:rPr>
          <w:rFonts w:hint="eastAsia" w:ascii="宋体" w:hAnsi="宋体" w:eastAsia="宋体" w:cs="宋体"/>
          <w:color w:val="auto"/>
          <w:kern w:val="0"/>
          <w:sz w:val="28"/>
          <w:szCs w:val="28"/>
          <w:highlight w:val="none"/>
          <w:lang w:bidi="ar"/>
        </w:rPr>
        <w:t>技术服务</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lang w:val="en-US" w:eastAsia="zh-CN" w:bidi="ar"/>
        </w:rPr>
        <w:t>确保设备按期投运使用</w:t>
      </w:r>
      <w:r>
        <w:rPr>
          <w:rFonts w:hint="eastAsia" w:ascii="宋体" w:hAnsi="宋体" w:eastAsia="宋体" w:cs="宋体"/>
          <w:color w:val="auto"/>
          <w:kern w:val="0"/>
          <w:sz w:val="28"/>
          <w:szCs w:val="28"/>
          <w:highlight w:val="none"/>
          <w:lang w:bidi="ar"/>
        </w:rPr>
        <w:t>。</w:t>
      </w:r>
    </w:p>
    <w:p w14:paraId="20AB77AA">
      <w:pPr>
        <w:widowControl/>
        <w:jc w:val="left"/>
        <w:outlineLvl w:val="0"/>
        <w:rPr>
          <w:rFonts w:hint="eastAsia" w:ascii="宋体" w:hAnsi="宋体" w:eastAsia="宋体" w:cs="宋体"/>
          <w:b/>
          <w:bCs/>
          <w:color w:val="000000"/>
          <w:kern w:val="0"/>
          <w:sz w:val="28"/>
          <w:szCs w:val="28"/>
          <w:lang w:bidi="ar"/>
        </w:rPr>
      </w:pPr>
      <w:bookmarkStart w:id="12" w:name="_Toc27396"/>
      <w:r>
        <w:rPr>
          <w:rFonts w:hint="eastAsia" w:ascii="宋体" w:hAnsi="宋体" w:eastAsia="宋体" w:cs="宋体"/>
          <w:b/>
          <w:bCs/>
          <w:color w:val="000000"/>
          <w:kern w:val="0"/>
          <w:sz w:val="28"/>
          <w:szCs w:val="28"/>
          <w:lang w:bidi="ar"/>
        </w:rPr>
        <w:t>8服务期限</w:t>
      </w:r>
      <w:bookmarkEnd w:id="12"/>
    </w:p>
    <w:p w14:paraId="07695C93">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000000"/>
          <w:kern w:val="0"/>
          <w:sz w:val="28"/>
          <w:szCs w:val="28"/>
          <w:lang w:eastAsia="zh-CN" w:bidi="ar"/>
        </w:rPr>
      </w:pPr>
      <w:r>
        <w:rPr>
          <w:rFonts w:hint="eastAsia" w:ascii="宋体" w:hAnsi="宋体" w:eastAsia="宋体" w:cs="宋体"/>
          <w:color w:val="000000"/>
          <w:kern w:val="0"/>
          <w:sz w:val="28"/>
          <w:szCs w:val="28"/>
          <w:lang w:bidi="ar"/>
        </w:rPr>
        <w:t>技术服务期限为合同签订之日起至项目完成</w:t>
      </w:r>
      <w:r>
        <w:rPr>
          <w:rFonts w:hint="eastAsia" w:ascii="宋体" w:hAnsi="宋体" w:eastAsia="宋体" w:cs="宋体"/>
          <w:color w:val="000000"/>
          <w:kern w:val="0"/>
          <w:sz w:val="28"/>
          <w:szCs w:val="28"/>
          <w:lang w:eastAsia="zh-CN" w:bidi="ar"/>
        </w:rPr>
        <w:t>。</w:t>
      </w:r>
    </w:p>
    <w:p w14:paraId="79CA62E9">
      <w:pPr>
        <w:keepNext w:val="0"/>
        <w:keepLines w:val="0"/>
        <w:pageBreakBefore w:val="0"/>
        <w:widowControl/>
        <w:kinsoku/>
        <w:wordWrap/>
        <w:overflowPunct/>
        <w:topLinePunct w:val="0"/>
        <w:autoSpaceDE/>
        <w:autoSpaceDN/>
        <w:bidi w:val="0"/>
        <w:adjustRightInd/>
        <w:snapToGrid/>
        <w:ind w:firstLine="3900" w:firstLineChars="1300"/>
        <w:jc w:val="left"/>
        <w:textAlignment w:val="auto"/>
        <w:outlineLvl w:val="9"/>
        <w:rPr>
          <w:rFonts w:hint="eastAsia" w:ascii="宋体" w:hAnsi="宋体" w:eastAsia="宋体" w:cs="宋体"/>
          <w:color w:val="000000"/>
          <w:kern w:val="0"/>
          <w:sz w:val="28"/>
          <w:szCs w:val="28"/>
          <w:u w:val="single"/>
          <w:lang w:bidi="ar"/>
        </w:rPr>
      </w:pPr>
      <w:bookmarkStart w:id="13" w:name="_Toc32232"/>
      <w:bookmarkStart w:id="14" w:name="_Toc21577"/>
      <w:r>
        <w:rPr>
          <w:rFonts w:hint="eastAsia" w:ascii="宋体" w:hAnsi="宋体" w:eastAsia="宋体" w:cs="宋体"/>
          <w:color w:val="000000"/>
          <w:kern w:val="0"/>
          <w:sz w:val="30"/>
          <w:szCs w:val="30"/>
          <w:lang w:bidi="ar"/>
        </w:rPr>
        <w:t>投标方名称</w:t>
      </w:r>
      <w:bookmarkEnd w:id="13"/>
      <w:bookmarkEnd w:id="14"/>
      <w:r>
        <w:rPr>
          <w:rFonts w:hint="eastAsia" w:ascii="宋体" w:hAnsi="宋体" w:eastAsia="宋体" w:cs="宋体"/>
          <w:color w:val="000000"/>
          <w:kern w:val="0"/>
          <w:sz w:val="30"/>
          <w:szCs w:val="30"/>
          <w:lang w:eastAsia="zh-CN" w:bidi="ar"/>
        </w:rPr>
        <w:t>：</w:t>
      </w:r>
    </w:p>
    <w:p w14:paraId="60D02BED">
      <w:pPr>
        <w:widowControl/>
        <w:ind w:left="3910" w:leftChars="1862"/>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投标方代表签字：</w:t>
      </w:r>
    </w:p>
    <w:p w14:paraId="37AEB27F">
      <w:pPr>
        <w:widowControl/>
        <w:ind w:left="3910" w:leftChars="1862"/>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单位盖章：</w:t>
      </w:r>
    </w:p>
    <w:p w14:paraId="52FC02FA">
      <w:pPr>
        <w:widowControl/>
        <w:ind w:firstLine="3920" w:firstLineChars="1400"/>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188C596-E193-480A-8092-1686D353625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91B0D6E-77A5-4A72-A0AE-97485464A6BB}"/>
  </w:font>
  <w:font w:name="Cambria">
    <w:panose1 w:val="02040503050406030204"/>
    <w:charset w:val="00"/>
    <w:family w:val="roman"/>
    <w:pitch w:val="default"/>
    <w:sig w:usb0="E00006FF" w:usb1="420024FF" w:usb2="02000000" w:usb3="00000000" w:csb0="2000019F" w:csb1="00000000"/>
  </w:font>
  <w:font w:name="方正小标宋_GBK">
    <w:panose1 w:val="02000000000000000000"/>
    <w:charset w:val="86"/>
    <w:family w:val="script"/>
    <w:pitch w:val="default"/>
    <w:sig w:usb0="A00002BF" w:usb1="38CF7CFA" w:usb2="00082016" w:usb3="00000000" w:csb0="00040001" w:csb1="00000000"/>
    <w:embedRegular r:id="rId3" w:fontKey="{E35E2D71-A515-4024-AD80-9750A1206799}"/>
  </w:font>
  <w:font w:name="微软雅黑">
    <w:panose1 w:val="020B0503020204020204"/>
    <w:charset w:val="86"/>
    <w:family w:val="auto"/>
    <w:pitch w:val="default"/>
    <w:sig w:usb0="80000287" w:usb1="2ACF3C50" w:usb2="00000016" w:usb3="00000000" w:csb0="0004001F" w:csb1="00000000"/>
    <w:embedRegular r:id="rId4" w:fontKey="{19C94D70-D920-4EF6-BFDF-2010299573F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96836"/>
    <w:multiLevelType w:val="singleLevel"/>
    <w:tmpl w:val="8CE96836"/>
    <w:lvl w:ilvl="0" w:tentative="0">
      <w:start w:val="1"/>
      <w:numFmt w:val="upperLetter"/>
      <w:lvlText w:val="%1."/>
      <w:lvlJc w:val="left"/>
      <w:pPr>
        <w:ind w:left="845" w:hanging="425"/>
      </w:pPr>
      <w:rPr>
        <w:rFonts w:hint="default"/>
      </w:rPr>
    </w:lvl>
  </w:abstractNum>
  <w:abstractNum w:abstractNumId="1">
    <w:nsid w:val="8E053A5B"/>
    <w:multiLevelType w:val="singleLevel"/>
    <w:tmpl w:val="8E053A5B"/>
    <w:lvl w:ilvl="0" w:tentative="0">
      <w:start w:val="1"/>
      <w:numFmt w:val="decimal"/>
      <w:lvlText w:val="(%1)"/>
      <w:lvlJc w:val="left"/>
      <w:pPr>
        <w:ind w:left="425" w:hanging="425"/>
      </w:pPr>
      <w:rPr>
        <w:rFonts w:hint="default"/>
      </w:rPr>
    </w:lvl>
  </w:abstractNum>
  <w:abstractNum w:abstractNumId="2">
    <w:nsid w:val="220CE9CC"/>
    <w:multiLevelType w:val="singleLevel"/>
    <w:tmpl w:val="220CE9CC"/>
    <w:lvl w:ilvl="0" w:tentative="0">
      <w:start w:val="1"/>
      <w:numFmt w:val="decimal"/>
      <w:lvlText w:val="(%1)"/>
      <w:lvlJc w:val="left"/>
      <w:pPr>
        <w:ind w:left="425" w:hanging="425"/>
      </w:pPr>
      <w:rPr>
        <w:rFonts w:hint="default"/>
      </w:rPr>
    </w:lvl>
  </w:abstractNum>
  <w:abstractNum w:abstractNumId="3">
    <w:nsid w:val="3499129F"/>
    <w:multiLevelType w:val="singleLevel"/>
    <w:tmpl w:val="3499129F"/>
    <w:lvl w:ilvl="0" w:tentative="0">
      <w:start w:val="1"/>
      <w:numFmt w:val="decimal"/>
      <w:lvlText w:val="(%1)"/>
      <w:lvlJc w:val="left"/>
      <w:pPr>
        <w:ind w:left="425" w:hanging="425"/>
      </w:pPr>
      <w:rPr>
        <w:rFonts w:hint="default"/>
      </w:rPr>
    </w:lvl>
  </w:abstractNum>
  <w:abstractNum w:abstractNumId="4">
    <w:nsid w:val="73AA0C1F"/>
    <w:multiLevelType w:val="multilevel"/>
    <w:tmpl w:val="73AA0C1F"/>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936"/>
        </w:tabs>
        <w:ind w:left="936" w:hanging="576"/>
      </w:pPr>
    </w:lvl>
    <w:lvl w:ilvl="2" w:tentative="0">
      <w:start w:val="1"/>
      <w:numFmt w:val="decimal"/>
      <w:pStyle w:val="3"/>
      <w:lvlText w:val="%1.%2.%3"/>
      <w:lvlJc w:val="left"/>
      <w:pPr>
        <w:tabs>
          <w:tab w:val="left" w:pos="1004"/>
        </w:tabs>
        <w:ind w:left="1004" w:hanging="720"/>
      </w:pPr>
      <w:rPr>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75279687"/>
    <w:multiLevelType w:val="singleLevel"/>
    <w:tmpl w:val="75279687"/>
    <w:lvl w:ilvl="0" w:tentative="0">
      <w:start w:val="1"/>
      <w:numFmt w:val="decimal"/>
      <w:lvlText w:val="(%1)"/>
      <w:lvlJc w:val="left"/>
      <w:pPr>
        <w:ind w:left="425" w:hanging="425"/>
      </w:pPr>
      <w:rPr>
        <w:rFonts w:hint="default"/>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mZTI2M2M0ZGRmYWVjNjViNTk5ZjQwZGY0ZjA0NjIifQ=="/>
  </w:docVars>
  <w:rsids>
    <w:rsidRoot w:val="2C613746"/>
    <w:rsid w:val="001C1146"/>
    <w:rsid w:val="00224B3F"/>
    <w:rsid w:val="0026563B"/>
    <w:rsid w:val="002E2C64"/>
    <w:rsid w:val="00322AC8"/>
    <w:rsid w:val="004E0C0F"/>
    <w:rsid w:val="005A0F47"/>
    <w:rsid w:val="006232AF"/>
    <w:rsid w:val="00710B74"/>
    <w:rsid w:val="00885B23"/>
    <w:rsid w:val="00A022F5"/>
    <w:rsid w:val="00C362DD"/>
    <w:rsid w:val="00C50BCC"/>
    <w:rsid w:val="01E7687A"/>
    <w:rsid w:val="02025461"/>
    <w:rsid w:val="031C1C40"/>
    <w:rsid w:val="04043713"/>
    <w:rsid w:val="04F92238"/>
    <w:rsid w:val="05600E1D"/>
    <w:rsid w:val="05AB31B1"/>
    <w:rsid w:val="061840F1"/>
    <w:rsid w:val="06841FD6"/>
    <w:rsid w:val="06EC66E0"/>
    <w:rsid w:val="07B471FE"/>
    <w:rsid w:val="07BF47DE"/>
    <w:rsid w:val="07DB29DD"/>
    <w:rsid w:val="08283748"/>
    <w:rsid w:val="09FB7366"/>
    <w:rsid w:val="0A79472F"/>
    <w:rsid w:val="0ABA2D7D"/>
    <w:rsid w:val="0AF73FD1"/>
    <w:rsid w:val="0B835907"/>
    <w:rsid w:val="0B8E5FB8"/>
    <w:rsid w:val="0BAE0408"/>
    <w:rsid w:val="0C64739E"/>
    <w:rsid w:val="0C831895"/>
    <w:rsid w:val="0CEE31B2"/>
    <w:rsid w:val="0D3D5EE8"/>
    <w:rsid w:val="0D3F756A"/>
    <w:rsid w:val="0E4720C5"/>
    <w:rsid w:val="0E5554BE"/>
    <w:rsid w:val="0E5E4367"/>
    <w:rsid w:val="0EB6385C"/>
    <w:rsid w:val="0F205179"/>
    <w:rsid w:val="0F44355D"/>
    <w:rsid w:val="0F5337A0"/>
    <w:rsid w:val="10507CE0"/>
    <w:rsid w:val="105907F3"/>
    <w:rsid w:val="12750261"/>
    <w:rsid w:val="12A8795F"/>
    <w:rsid w:val="13743CE5"/>
    <w:rsid w:val="13D529D6"/>
    <w:rsid w:val="14E37374"/>
    <w:rsid w:val="15082937"/>
    <w:rsid w:val="15B12FCF"/>
    <w:rsid w:val="163559AE"/>
    <w:rsid w:val="172779EC"/>
    <w:rsid w:val="17E01949"/>
    <w:rsid w:val="18371EB1"/>
    <w:rsid w:val="19E27BFB"/>
    <w:rsid w:val="1B2D759B"/>
    <w:rsid w:val="1BC65014"/>
    <w:rsid w:val="1CF55E97"/>
    <w:rsid w:val="1D9C6312"/>
    <w:rsid w:val="1E682698"/>
    <w:rsid w:val="1FA140B4"/>
    <w:rsid w:val="203223C8"/>
    <w:rsid w:val="212136FE"/>
    <w:rsid w:val="2177331E"/>
    <w:rsid w:val="217D386C"/>
    <w:rsid w:val="21C66054"/>
    <w:rsid w:val="225418B2"/>
    <w:rsid w:val="232C1EE7"/>
    <w:rsid w:val="248A15BB"/>
    <w:rsid w:val="25B763DF"/>
    <w:rsid w:val="25EB41B1"/>
    <w:rsid w:val="263A0DBE"/>
    <w:rsid w:val="26D367F9"/>
    <w:rsid w:val="281523B6"/>
    <w:rsid w:val="28575C58"/>
    <w:rsid w:val="28814A83"/>
    <w:rsid w:val="28CD5F1A"/>
    <w:rsid w:val="2A273408"/>
    <w:rsid w:val="2A385615"/>
    <w:rsid w:val="2AE17A5A"/>
    <w:rsid w:val="2BDD46C6"/>
    <w:rsid w:val="2C613746"/>
    <w:rsid w:val="2C723060"/>
    <w:rsid w:val="2DD26830"/>
    <w:rsid w:val="2DEA7C21"/>
    <w:rsid w:val="2E2A34C6"/>
    <w:rsid w:val="2E4E3659"/>
    <w:rsid w:val="2E933762"/>
    <w:rsid w:val="2EB84F76"/>
    <w:rsid w:val="2F1D27DA"/>
    <w:rsid w:val="2F285C58"/>
    <w:rsid w:val="2F603644"/>
    <w:rsid w:val="30C5561A"/>
    <w:rsid w:val="31660CB9"/>
    <w:rsid w:val="33791178"/>
    <w:rsid w:val="33923FE8"/>
    <w:rsid w:val="34140EA1"/>
    <w:rsid w:val="34D32B0A"/>
    <w:rsid w:val="35BC534C"/>
    <w:rsid w:val="371F13C0"/>
    <w:rsid w:val="374675C3"/>
    <w:rsid w:val="3747333B"/>
    <w:rsid w:val="374C2700"/>
    <w:rsid w:val="382471D8"/>
    <w:rsid w:val="3B9F153B"/>
    <w:rsid w:val="3BE42E37"/>
    <w:rsid w:val="3C1C6B44"/>
    <w:rsid w:val="3C9E7EBE"/>
    <w:rsid w:val="3D6B49BF"/>
    <w:rsid w:val="3DDD67A7"/>
    <w:rsid w:val="3E0304A1"/>
    <w:rsid w:val="3E71188D"/>
    <w:rsid w:val="3F656A54"/>
    <w:rsid w:val="410D4CAE"/>
    <w:rsid w:val="415D5C35"/>
    <w:rsid w:val="41760AA5"/>
    <w:rsid w:val="41F17676"/>
    <w:rsid w:val="425D3A13"/>
    <w:rsid w:val="42862F6A"/>
    <w:rsid w:val="437C30E3"/>
    <w:rsid w:val="44BF09B5"/>
    <w:rsid w:val="45CC5137"/>
    <w:rsid w:val="467A41DC"/>
    <w:rsid w:val="469D6AD4"/>
    <w:rsid w:val="47504A59"/>
    <w:rsid w:val="48537D92"/>
    <w:rsid w:val="48E84EAF"/>
    <w:rsid w:val="491D5CAA"/>
    <w:rsid w:val="4AF33166"/>
    <w:rsid w:val="4B4340EE"/>
    <w:rsid w:val="4C3954F1"/>
    <w:rsid w:val="4D295043"/>
    <w:rsid w:val="4DEA4CF4"/>
    <w:rsid w:val="4E4D260C"/>
    <w:rsid w:val="4E626647"/>
    <w:rsid w:val="50533AEF"/>
    <w:rsid w:val="50E772C9"/>
    <w:rsid w:val="513D15DF"/>
    <w:rsid w:val="51676EFC"/>
    <w:rsid w:val="51776DE6"/>
    <w:rsid w:val="51782617"/>
    <w:rsid w:val="51844B18"/>
    <w:rsid w:val="52614E59"/>
    <w:rsid w:val="529C7762"/>
    <w:rsid w:val="534E6CFE"/>
    <w:rsid w:val="54041F40"/>
    <w:rsid w:val="5449029B"/>
    <w:rsid w:val="54A83213"/>
    <w:rsid w:val="55545149"/>
    <w:rsid w:val="55F83D27"/>
    <w:rsid w:val="56CF2CD9"/>
    <w:rsid w:val="572054EF"/>
    <w:rsid w:val="57352314"/>
    <w:rsid w:val="57631674"/>
    <w:rsid w:val="57710879"/>
    <w:rsid w:val="57D91936"/>
    <w:rsid w:val="590429E2"/>
    <w:rsid w:val="59091DA7"/>
    <w:rsid w:val="591A3FB4"/>
    <w:rsid w:val="596A02BB"/>
    <w:rsid w:val="59861649"/>
    <w:rsid w:val="5A997904"/>
    <w:rsid w:val="5AB87F28"/>
    <w:rsid w:val="5AB92941"/>
    <w:rsid w:val="5B982FBB"/>
    <w:rsid w:val="5BA66B4C"/>
    <w:rsid w:val="5C052CF9"/>
    <w:rsid w:val="5E473A9D"/>
    <w:rsid w:val="5ECE7C9A"/>
    <w:rsid w:val="5ED542F2"/>
    <w:rsid w:val="5F8E7B1E"/>
    <w:rsid w:val="60261490"/>
    <w:rsid w:val="6171498D"/>
    <w:rsid w:val="619863BE"/>
    <w:rsid w:val="623B7475"/>
    <w:rsid w:val="63123525"/>
    <w:rsid w:val="63942ECD"/>
    <w:rsid w:val="63FF151B"/>
    <w:rsid w:val="64414AEB"/>
    <w:rsid w:val="647749B0"/>
    <w:rsid w:val="65312DB1"/>
    <w:rsid w:val="65B71058"/>
    <w:rsid w:val="670713E9"/>
    <w:rsid w:val="67242BCD"/>
    <w:rsid w:val="686E3D04"/>
    <w:rsid w:val="688F074F"/>
    <w:rsid w:val="69342E70"/>
    <w:rsid w:val="69385BA9"/>
    <w:rsid w:val="698C4A5A"/>
    <w:rsid w:val="69AE2C22"/>
    <w:rsid w:val="6B367948"/>
    <w:rsid w:val="6CD04C5E"/>
    <w:rsid w:val="6E0F7A08"/>
    <w:rsid w:val="6E891568"/>
    <w:rsid w:val="6EF235B1"/>
    <w:rsid w:val="6F596350"/>
    <w:rsid w:val="6F5B3CFF"/>
    <w:rsid w:val="6F6E2E43"/>
    <w:rsid w:val="6FF37B5B"/>
    <w:rsid w:val="703674CE"/>
    <w:rsid w:val="738F7621"/>
    <w:rsid w:val="74600FBD"/>
    <w:rsid w:val="74D15A17"/>
    <w:rsid w:val="77BD653A"/>
    <w:rsid w:val="786F3168"/>
    <w:rsid w:val="78B6564F"/>
    <w:rsid w:val="7919583B"/>
    <w:rsid w:val="794E3ADA"/>
    <w:rsid w:val="7BCB1412"/>
    <w:rsid w:val="7C4B4301"/>
    <w:rsid w:val="7D655F74"/>
    <w:rsid w:val="7F8B6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9"/>
    <w:pPr>
      <w:keepNext/>
      <w:keepLines/>
      <w:spacing w:before="260" w:after="260" w:line="416" w:lineRule="auto"/>
      <w:outlineLvl w:val="1"/>
    </w:pPr>
    <w:rPr>
      <w:rFonts w:ascii="Cambria" w:hAnsi="Cambria"/>
      <w:b/>
      <w:bCs/>
      <w:kern w:val="0"/>
      <w:szCs w:val="32"/>
    </w:rPr>
  </w:style>
  <w:style w:type="paragraph" w:styleId="3">
    <w:name w:val="heading 3"/>
    <w:basedOn w:val="1"/>
    <w:next w:val="1"/>
    <w:qFormat/>
    <w:uiPriority w:val="0"/>
    <w:pPr>
      <w:numPr>
        <w:ilvl w:val="2"/>
        <w:numId w:val="1"/>
      </w:numPr>
      <w:spacing w:before="120" w:line="360" w:lineRule="auto"/>
      <w:outlineLvl w:val="2"/>
    </w:pPr>
    <w:rPr>
      <w:bC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next w:val="5"/>
    <w:qFormat/>
    <w:uiPriority w:val="0"/>
    <w:pPr>
      <w:ind w:left="420"/>
    </w:pPr>
    <w:rPr>
      <w:rFonts w:ascii="宋体" w:hAnsi="宋体"/>
      <w:sz w:val="28"/>
    </w:rPr>
  </w:style>
  <w:style w:type="paragraph" w:styleId="5">
    <w:name w:val="envelope return"/>
    <w:basedOn w:val="1"/>
    <w:qFormat/>
    <w:uiPriority w:val="0"/>
    <w:pPr>
      <w:snapToGrid w:val="0"/>
    </w:pPr>
    <w:rPr>
      <w:rFonts w:ascii="Arial" w:hAnsi="Arial" w:eastAsia="宋体" w:cs="Times New Roman"/>
    </w:rPr>
  </w:style>
  <w:style w:type="paragraph" w:styleId="6">
    <w:name w:val="toc 1"/>
    <w:basedOn w:val="1"/>
    <w:next w:val="1"/>
    <w:qFormat/>
    <w:uiPriority w:val="0"/>
  </w:style>
  <w:style w:type="paragraph" w:styleId="7">
    <w:name w:val="Normal (Web)"/>
    <w:basedOn w:val="1"/>
    <w:qFormat/>
    <w:uiPriority w:val="0"/>
    <w:rPr>
      <w:sz w:val="24"/>
    </w:rPr>
  </w:style>
  <w:style w:type="paragraph" w:styleId="8">
    <w:name w:val="Body Text First Indent 2"/>
    <w:basedOn w:val="4"/>
    <w:qFormat/>
    <w:uiPriority w:val="0"/>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unhideWhenUsed/>
    <w:qFormat/>
    <w:uiPriority w:val="99"/>
    <w:rPr>
      <w:color w:val="0000FF"/>
      <w:u w:val="single"/>
    </w:rPr>
  </w:style>
  <w:style w:type="paragraph" w:customStyle="1" w:styleId="14">
    <w:name w:val="正文文本缩进1"/>
    <w:basedOn w:val="1"/>
    <w:qFormat/>
    <w:uiPriority w:val="0"/>
    <w:pPr>
      <w:adjustRightInd w:val="0"/>
      <w:spacing w:line="360" w:lineRule="auto"/>
      <w:ind w:firstLine="600"/>
      <w:jc w:val="left"/>
      <w:textAlignment w:val="baseline"/>
    </w:pPr>
    <w:rPr>
      <w:spacing w:val="30"/>
      <w:kern w:val="0"/>
      <w:sz w:val="28"/>
      <w:szCs w:val="28"/>
    </w:rPr>
  </w:style>
  <w:style w:type="paragraph" w:customStyle="1" w:styleId="15">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2640</Words>
  <Characters>2917</Characters>
  <Lines>23</Lines>
  <Paragraphs>6</Paragraphs>
  <TotalTime>19</TotalTime>
  <ScaleCrop>false</ScaleCrop>
  <LinksUpToDate>false</LinksUpToDate>
  <CharactersWithSpaces>2928</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2024-08-16T01:34:00Z</dcterms:created>
  <dc:creator>亥刂傦銘鈊</dc:creator>
  <cp:lastModifiedBy>苏聚强</cp:lastModifiedBy>
  <dcterms:modified xsi:type="dcterms:W3CDTF">2025-10-21T03:11:05Z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91C0361640F241B5AE10A3915ECFF354_13</vt:lpwstr>
  </property>
  <property fmtid="{D5CDD505-2E9C-101B-9397-08002B2CF9AE}" pid="4" name="KSOTemplateDocerSaveRecord">
    <vt:lpwstr>eyJoZGlkIjoiYTMzZGJmYzA3MDE4ZGIxMDFiMzEyMDQ4ZGJmZWRjOWYiLCJ1c2VySWQiOiIxNDgzODA2OTYyIn0=</vt:lpwstr>
  </property>
</Properties>
</file>