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78CE34">
      <w:pPr>
        <w:keepNext w:val="0"/>
        <w:keepLines w:val="0"/>
        <w:widowControl w:val="0"/>
        <w:suppressLineNumbers w:val="0"/>
        <w:spacing w:before="480" w:beforeLines="200" w:beforeAutospacing="0" w:after="0" w:afterAutospacing="0" w:line="360" w:lineRule="auto"/>
        <w:ind w:left="0" w:right="0" w:firstLine="0" w:firstLineChars="0"/>
        <w:jc w:val="center"/>
        <w:rPr>
          <w:rFonts w:hint="eastAsia" w:ascii="宋体" w:hAnsi="Calibri" w:eastAsia="黑体" w:cs="Times New Roman"/>
          <w:spacing w:val="10"/>
          <w:kern w:val="0"/>
          <w:sz w:val="28"/>
          <w:szCs w:val="21"/>
          <w:lang w:val="en-US" w:eastAsia="zh-CN" w:bidi="ar"/>
        </w:rPr>
      </w:pPr>
      <w:r>
        <w:rPr>
          <w:rFonts w:hint="eastAsia" w:ascii="宋体" w:hAnsi="Calibri" w:eastAsia="黑体" w:cs="Times New Roman"/>
          <w:b/>
          <w:bCs w:val="0"/>
          <w:spacing w:val="10"/>
          <w:kern w:val="0"/>
          <w:sz w:val="44"/>
          <w:szCs w:val="44"/>
          <w:lang w:val="en-US" w:eastAsia="zh-CN" w:bidi="ar"/>
        </w:rPr>
        <w:drawing>
          <wp:anchor distT="0" distB="0" distL="114935" distR="114935" simplePos="0" relativeHeight="251659264" behindDoc="1" locked="0" layoutInCell="1" allowOverlap="1">
            <wp:simplePos x="0" y="0"/>
            <wp:positionH relativeFrom="column">
              <wp:posOffset>-390525</wp:posOffset>
            </wp:positionH>
            <wp:positionV relativeFrom="paragraph">
              <wp:posOffset>-9525</wp:posOffset>
            </wp:positionV>
            <wp:extent cx="7964805" cy="2985770"/>
            <wp:effectExtent l="0" t="0" r="17145" b="5080"/>
            <wp:wrapThrough wrapText="bothSides">
              <wp:wrapPolygon>
                <wp:start x="0" y="0"/>
                <wp:lineTo x="0" y="21499"/>
                <wp:lineTo x="21543" y="21499"/>
                <wp:lineTo x="21543" y="0"/>
                <wp:lineTo x="0" y="0"/>
              </wp:wrapPolygon>
            </wp:wrapThrough>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4"/>
                    <a:stretch>
                      <a:fillRect/>
                    </a:stretch>
                  </pic:blipFill>
                  <pic:spPr>
                    <a:xfrm>
                      <a:off x="0" y="0"/>
                      <a:ext cx="7964805" cy="2985770"/>
                    </a:xfrm>
                    <a:prstGeom prst="rect">
                      <a:avLst/>
                    </a:prstGeom>
                    <a:noFill/>
                    <a:ln>
                      <a:noFill/>
                    </a:ln>
                  </pic:spPr>
                </pic:pic>
              </a:graphicData>
            </a:graphic>
          </wp:anchor>
        </w:drawing>
      </w:r>
      <w:r>
        <w:rPr>
          <w:rFonts w:hint="eastAsia" w:ascii="宋体" w:hAnsi="Calibri" w:eastAsia="黑体" w:cs="Times New Roman"/>
          <w:spacing w:val="10"/>
          <w:kern w:val="0"/>
          <w:sz w:val="28"/>
          <w:szCs w:val="21"/>
          <w:lang w:val="en-US" w:eastAsia="zh-CN" w:bidi="ar"/>
        </w:rPr>
        <w:t xml:space="preserve">                </w:t>
      </w:r>
    </w:p>
    <w:p w14:paraId="68B3D2C6">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0" w:firstLineChars="0"/>
        <w:jc w:val="center"/>
        <w:textAlignment w:val="auto"/>
        <w:rPr>
          <w:rFonts w:hint="eastAsia" w:ascii="宋体" w:hAnsi="Calibri" w:eastAsia="黑体" w:cs="Times New Roman"/>
          <w:b/>
          <w:bCs w:val="0"/>
          <w:spacing w:val="10"/>
          <w:kern w:val="0"/>
          <w:sz w:val="44"/>
          <w:szCs w:val="44"/>
          <w:lang w:val="en-US" w:eastAsia="zh-CN" w:bidi="ar"/>
        </w:rPr>
      </w:pPr>
      <w:r>
        <w:rPr>
          <w:rFonts w:hint="default" w:ascii="宋体" w:hAnsi="Calibri" w:eastAsia="黑体" w:cs="Times New Roman"/>
          <w:b/>
          <w:bCs w:val="0"/>
          <w:spacing w:val="10"/>
          <w:kern w:val="0"/>
          <w:sz w:val="44"/>
          <w:szCs w:val="44"/>
          <w:lang w:val="en-US" w:eastAsia="zh-CN" w:bidi="ar"/>
        </w:rPr>
        <w:t>ISMS信息安全管理体系</w:t>
      </w:r>
      <w:r>
        <w:rPr>
          <w:rFonts w:hint="eastAsia" w:ascii="宋体" w:hAnsi="Calibri" w:eastAsia="黑体" w:cs="Times New Roman"/>
          <w:b/>
          <w:bCs w:val="0"/>
          <w:spacing w:val="10"/>
          <w:kern w:val="0"/>
          <w:sz w:val="44"/>
          <w:szCs w:val="44"/>
          <w:lang w:val="en-US" w:eastAsia="zh-CN" w:bidi="ar"/>
        </w:rPr>
        <w:t>、</w:t>
      </w:r>
      <w:r>
        <w:rPr>
          <w:rFonts w:hint="default" w:ascii="宋体" w:hAnsi="Calibri" w:eastAsia="黑体" w:cs="Times New Roman"/>
          <w:b/>
          <w:bCs w:val="0"/>
          <w:spacing w:val="10"/>
          <w:kern w:val="0"/>
          <w:sz w:val="44"/>
          <w:szCs w:val="44"/>
          <w:lang w:val="en-US" w:eastAsia="zh-CN" w:bidi="ar"/>
        </w:rPr>
        <w:t>ITSMS信息技术服务体系</w:t>
      </w:r>
      <w:r>
        <w:rPr>
          <w:rFonts w:hint="eastAsia" w:ascii="宋体" w:hAnsi="Calibri" w:eastAsia="黑体" w:cs="Times New Roman"/>
          <w:b/>
          <w:bCs w:val="0"/>
          <w:spacing w:val="10"/>
          <w:kern w:val="0"/>
          <w:sz w:val="44"/>
          <w:szCs w:val="44"/>
          <w:lang w:val="en-US" w:eastAsia="zh-CN" w:bidi="ar"/>
        </w:rPr>
        <w:t>认证</w:t>
      </w:r>
      <w:r>
        <w:rPr>
          <w:rFonts w:hint="default" w:ascii="宋体" w:hAnsi="Calibri" w:eastAsia="黑体" w:cs="Times New Roman"/>
          <w:b/>
          <w:bCs w:val="0"/>
          <w:spacing w:val="10"/>
          <w:kern w:val="0"/>
          <w:sz w:val="44"/>
          <w:szCs w:val="44"/>
          <w:lang w:val="en-US" w:eastAsia="zh-CN" w:bidi="ar"/>
        </w:rPr>
        <w:t>服务</w:t>
      </w:r>
      <w:r>
        <w:rPr>
          <w:rFonts w:hint="eastAsia" w:ascii="宋体" w:hAnsi="Calibri" w:eastAsia="黑体" w:cs="Times New Roman"/>
          <w:b/>
          <w:bCs w:val="0"/>
          <w:spacing w:val="10"/>
          <w:kern w:val="0"/>
          <w:sz w:val="44"/>
          <w:szCs w:val="44"/>
          <w:lang w:val="en-US" w:eastAsia="zh-CN" w:bidi="ar"/>
        </w:rPr>
        <w:t>技术规范书</w:t>
      </w:r>
    </w:p>
    <w:p w14:paraId="6600D0EF">
      <w:pPr>
        <w:keepNext w:val="0"/>
        <w:keepLines w:val="0"/>
        <w:widowControl w:val="0"/>
        <w:suppressLineNumbers w:val="0"/>
        <w:spacing w:before="480" w:beforeLines="200" w:beforeAutospacing="0" w:after="0" w:afterAutospacing="0" w:line="360" w:lineRule="auto"/>
        <w:ind w:right="0"/>
        <w:jc w:val="left"/>
        <w:rPr>
          <w:rFonts w:hint="eastAsia" w:ascii="宋体" w:hAnsi="Calibri" w:eastAsia="黑体" w:cs="黑体"/>
          <w:b/>
          <w:bCs w:val="0"/>
          <w:spacing w:val="10"/>
          <w:kern w:val="0"/>
          <w:sz w:val="36"/>
          <w:szCs w:val="20"/>
          <w:lang w:val="en-US" w:eastAsia="zh-CN" w:bidi="ar"/>
        </w:rPr>
      </w:pPr>
    </w:p>
    <w:p w14:paraId="16511B87">
      <w:pPr>
        <w:keepNext w:val="0"/>
        <w:keepLines w:val="0"/>
        <w:widowControl w:val="0"/>
        <w:suppressLineNumbers w:val="0"/>
        <w:spacing w:before="480" w:beforeLines="200" w:beforeAutospacing="0" w:after="0" w:afterAutospacing="0" w:line="360" w:lineRule="auto"/>
        <w:ind w:right="0" w:firstLine="2670" w:firstLineChars="700"/>
        <w:jc w:val="left"/>
        <w:rPr>
          <w:rFonts w:hint="default" w:eastAsia="黑体"/>
          <w:b/>
          <w:bCs w:val="0"/>
          <w:color w:val="FF0000"/>
          <w:sz w:val="36"/>
          <w:szCs w:val="20"/>
          <w:lang w:val="en-US"/>
        </w:rPr>
      </w:pPr>
      <w:r>
        <w:rPr>
          <w:rFonts w:hint="eastAsia" w:ascii="宋体" w:hAnsi="Calibri" w:eastAsia="黑体" w:cs="Times New Roman"/>
          <w:b/>
          <w:bCs w:val="0"/>
          <w:spacing w:val="10"/>
          <w:kern w:val="0"/>
          <w:sz w:val="36"/>
          <w:szCs w:val="20"/>
          <w:lang w:val="en-US" w:eastAsia="zh-CN" w:bidi="ar"/>
        </w:rPr>
        <w:tab/>
      </w:r>
    </w:p>
    <w:p w14:paraId="01844248">
      <w:pPr>
        <w:keepNext w:val="0"/>
        <w:keepLines w:val="0"/>
        <w:widowControl w:val="0"/>
        <w:suppressLineNumbers w:val="0"/>
        <w:spacing w:before="480" w:beforeLines="200" w:beforeAutospacing="0" w:after="0" w:afterAutospacing="0" w:line="360" w:lineRule="auto"/>
        <w:ind w:left="0" w:right="0" w:firstLine="0" w:firstLineChars="0"/>
        <w:jc w:val="center"/>
        <w:rPr>
          <w:rFonts w:eastAsia="黑体"/>
          <w:b/>
          <w:bCs w:val="0"/>
          <w:sz w:val="36"/>
          <w:szCs w:val="20"/>
          <w:lang w:val="en-US"/>
        </w:rPr>
      </w:pPr>
    </w:p>
    <w:p w14:paraId="270E5465">
      <w:pPr>
        <w:keepNext w:val="0"/>
        <w:keepLines w:val="0"/>
        <w:widowControl w:val="0"/>
        <w:suppressLineNumbers w:val="0"/>
        <w:spacing w:before="480" w:beforeLines="200" w:beforeAutospacing="0" w:after="0" w:afterAutospacing="0" w:line="360" w:lineRule="auto"/>
        <w:ind w:left="0" w:right="0" w:firstLine="0" w:firstLineChars="0"/>
        <w:jc w:val="center"/>
        <w:rPr>
          <w:rFonts w:eastAsia="黑体"/>
          <w:b/>
          <w:bCs w:val="0"/>
          <w:spacing w:val="20"/>
          <w:w w:val="135"/>
          <w:sz w:val="30"/>
          <w:szCs w:val="20"/>
          <w:lang w:val="en-US"/>
        </w:rPr>
      </w:pPr>
      <w:r>
        <w:rPr>
          <w:rFonts w:hint="default" w:ascii="宋体" w:hAnsi="Calibri" w:eastAsia="黑体" w:cs="黑体"/>
          <w:b/>
          <w:bCs w:val="0"/>
          <w:spacing w:val="20"/>
          <w:w w:val="135"/>
          <w:kern w:val="0"/>
          <w:sz w:val="30"/>
          <w:szCs w:val="20"/>
          <w:lang w:val="en-US" w:eastAsia="zh-CN" w:bidi="ar"/>
        </w:rPr>
        <w:t>贵州光力科技创新有限责任公司</w:t>
      </w:r>
    </w:p>
    <w:p w14:paraId="7FBA7266">
      <w:pPr>
        <w:keepNext w:val="0"/>
        <w:keepLines w:val="0"/>
        <w:widowControl w:val="0"/>
        <w:suppressLineNumbers w:val="0"/>
        <w:spacing w:before="0" w:beforeAutospacing="0" w:after="0" w:afterAutospacing="0" w:line="360" w:lineRule="auto"/>
        <w:ind w:left="0" w:right="0" w:firstLine="0" w:firstLineChars="0"/>
        <w:jc w:val="center"/>
        <w:rPr>
          <w:rFonts w:hint="eastAsia" w:ascii="宋体" w:hAnsi="宋体"/>
          <w:b/>
          <w:sz w:val="28"/>
          <w:szCs w:val="28"/>
          <w:highlight w:val="green"/>
        </w:rPr>
        <w:sectPr>
          <w:pgSz w:w="11906" w:h="16838"/>
          <w:pgMar w:top="0" w:right="0" w:bottom="0" w:left="0" w:header="0" w:footer="0" w:gutter="0"/>
          <w:cols w:space="0" w:num="1"/>
          <w:rtlGutter w:val="0"/>
          <w:docGrid w:type="lines" w:linePitch="312" w:charSpace="0"/>
        </w:sectPr>
      </w:pPr>
      <w:r>
        <w:rPr>
          <w:rFonts w:hint="eastAsia" w:ascii="宋体" w:hAnsi="Calibri" w:eastAsia="黑体" w:cs="Times New Roman"/>
          <w:b/>
          <w:bCs w:val="0"/>
          <w:spacing w:val="20"/>
          <w:w w:val="135"/>
          <w:kern w:val="0"/>
          <w:sz w:val="30"/>
          <w:szCs w:val="20"/>
          <w:lang w:val="en-US" w:eastAsia="zh-CN" w:bidi="ar"/>
        </w:rPr>
        <w:t>2025</w:t>
      </w:r>
      <w:r>
        <w:rPr>
          <w:rFonts w:hint="eastAsia" w:ascii="宋体" w:hAnsi="Calibri" w:eastAsia="黑体" w:cs="黑体"/>
          <w:b/>
          <w:bCs w:val="0"/>
          <w:spacing w:val="20"/>
          <w:w w:val="135"/>
          <w:kern w:val="0"/>
          <w:sz w:val="30"/>
          <w:szCs w:val="20"/>
          <w:lang w:val="en-US" w:eastAsia="zh-CN" w:bidi="ar"/>
        </w:rPr>
        <w:t>年</w:t>
      </w:r>
      <w:r>
        <w:rPr>
          <w:rFonts w:hint="eastAsia" w:ascii="宋体" w:hAnsi="Calibri" w:eastAsia="黑体" w:cs="Times New Roman"/>
          <w:b/>
          <w:bCs w:val="0"/>
          <w:spacing w:val="20"/>
          <w:w w:val="135"/>
          <w:kern w:val="0"/>
          <w:sz w:val="30"/>
          <w:szCs w:val="20"/>
          <w:lang w:val="en-US" w:eastAsia="zh-CN" w:bidi="ar"/>
        </w:rPr>
        <w:t>09</w:t>
      </w:r>
      <w:r>
        <w:rPr>
          <w:rFonts w:hint="eastAsia" w:ascii="宋体" w:hAnsi="Calibri" w:eastAsia="黑体" w:cs="黑体"/>
          <w:b/>
          <w:bCs w:val="0"/>
          <w:spacing w:val="20"/>
          <w:w w:val="135"/>
          <w:kern w:val="0"/>
          <w:sz w:val="30"/>
          <w:szCs w:val="20"/>
          <w:lang w:val="en-US" w:eastAsia="zh-CN" w:bidi="ar"/>
        </w:rPr>
        <w:t>月</w:t>
      </w:r>
    </w:p>
    <w:p w14:paraId="16FB52C0">
      <w:pPr>
        <w:jc w:val="both"/>
        <w:rPr>
          <w:rFonts w:hint="eastAsia" w:ascii="宋体" w:hAnsi="宋体" w:eastAsia="宋体" w:cs="宋体"/>
          <w:b/>
          <w:bCs/>
          <w:kern w:val="0"/>
          <w:sz w:val="32"/>
          <w:szCs w:val="32"/>
          <w:lang w:val="en-US" w:eastAsia="zh-CN"/>
        </w:rPr>
      </w:pPr>
      <w:bookmarkStart w:id="0" w:name="_Toc187750588"/>
    </w:p>
    <w:p w14:paraId="005CF501">
      <w:pPr>
        <w:jc w:val="center"/>
        <w:rPr>
          <w:rFonts w:hint="eastAsia" w:ascii="宋体" w:hAnsi="宋体" w:eastAsia="宋体" w:cs="宋体"/>
          <w:b/>
          <w:bCs/>
          <w:kern w:val="0"/>
          <w:sz w:val="36"/>
          <w:szCs w:val="36"/>
          <w:lang w:val="en-US" w:eastAsia="zh-CN"/>
        </w:rPr>
      </w:pPr>
      <w:r>
        <w:rPr>
          <w:rFonts w:hint="eastAsia" w:ascii="宋体" w:hAnsi="宋体" w:eastAsia="宋体" w:cs="宋体"/>
          <w:b/>
          <w:bCs/>
          <w:kern w:val="0"/>
          <w:sz w:val="36"/>
          <w:szCs w:val="36"/>
          <w:lang w:val="en-US" w:eastAsia="zh-CN"/>
        </w:rPr>
        <w:t>投标人须知</w:t>
      </w:r>
    </w:p>
    <w:p w14:paraId="3E3BB7FC">
      <w:pPr>
        <w:keepNext w:val="0"/>
        <w:keepLines w:val="0"/>
        <w:pageBreakBefore w:val="0"/>
        <w:widowControl w:val="0"/>
        <w:numPr>
          <w:ilvl w:val="0"/>
          <w:numId w:val="0"/>
        </w:numPr>
        <w:kinsoku/>
        <w:wordWrap/>
        <w:overflowPunct/>
        <w:topLinePunct w:val="0"/>
        <w:autoSpaceDE w:val="0"/>
        <w:autoSpaceDN w:val="0"/>
        <w:bidi w:val="0"/>
        <w:adjustRightInd w:val="0"/>
        <w:snapToGrid/>
        <w:spacing w:line="520" w:lineRule="exact"/>
        <w:ind w:firstLine="640" w:firstLineChars="200"/>
        <w:jc w:val="left"/>
        <w:textAlignment w:val="auto"/>
        <w:rPr>
          <w:rFonts w:hint="default" w:ascii="宋体" w:hAnsi="宋体" w:eastAsia="宋体" w:cs="宋体"/>
          <w:b/>
          <w:bCs/>
          <w:lang w:val="en-US" w:eastAsia="zh-CN"/>
        </w:rPr>
      </w:pPr>
      <w:r>
        <w:rPr>
          <w:rFonts w:hint="eastAsia" w:ascii="宋体" w:hAnsi="宋体" w:eastAsia="宋体" w:cs="宋体"/>
          <w:kern w:val="0"/>
          <w:sz w:val="32"/>
          <w:szCs w:val="32"/>
          <w:lang w:val="en-US" w:eastAsia="zh-CN"/>
        </w:rPr>
        <w:t>1.</w:t>
      </w:r>
      <w:r>
        <w:rPr>
          <w:rFonts w:hint="eastAsia" w:ascii="宋体" w:hAnsi="宋体" w:eastAsia="宋体" w:cs="宋体"/>
          <w:kern w:val="0"/>
          <w:sz w:val="32"/>
          <w:szCs w:val="32"/>
        </w:rPr>
        <w:t>本</w:t>
      </w:r>
      <w:r>
        <w:rPr>
          <w:rFonts w:hint="eastAsia" w:ascii="宋体" w:hAnsi="宋体" w:eastAsia="宋体" w:cs="宋体"/>
          <w:kern w:val="0"/>
          <w:sz w:val="32"/>
          <w:szCs w:val="32"/>
          <w:lang w:val="en-US" w:eastAsia="zh-CN"/>
        </w:rPr>
        <w:t>技术规范书</w:t>
      </w:r>
      <w:r>
        <w:rPr>
          <w:rFonts w:hint="eastAsia" w:ascii="宋体" w:hAnsi="宋体" w:eastAsia="宋体" w:cs="宋体"/>
          <w:kern w:val="0"/>
          <w:sz w:val="32"/>
          <w:szCs w:val="32"/>
        </w:rPr>
        <w:t>仅</w:t>
      </w:r>
      <w:r>
        <w:rPr>
          <w:rFonts w:hint="eastAsia" w:ascii="宋体" w:hAnsi="宋体" w:eastAsia="宋体" w:cs="宋体"/>
          <w:kern w:val="0"/>
          <w:sz w:val="32"/>
          <w:szCs w:val="32"/>
          <w:lang w:val="en-US" w:eastAsia="zh-CN"/>
        </w:rPr>
        <w:t>对招标项目的技术部份作要求</w:t>
      </w:r>
      <w:r>
        <w:rPr>
          <w:rFonts w:hint="eastAsia" w:ascii="宋体" w:hAnsi="宋体" w:eastAsia="宋体" w:cs="宋体"/>
          <w:b w:val="0"/>
          <w:bCs w:val="0"/>
          <w:kern w:val="0"/>
          <w:sz w:val="32"/>
          <w:szCs w:val="32"/>
        </w:rPr>
        <w:t>，</w:t>
      </w:r>
      <w:r>
        <w:rPr>
          <w:rFonts w:hint="eastAsia" w:ascii="宋体" w:hAnsi="宋体" w:eastAsia="宋体" w:cs="宋体"/>
          <w:b w:val="0"/>
          <w:bCs w:val="0"/>
          <w:kern w:val="0"/>
          <w:sz w:val="32"/>
          <w:szCs w:val="32"/>
          <w:lang w:val="en-US" w:eastAsia="zh-CN"/>
        </w:rPr>
        <w:t>如在本技术规范书中出现服务期要求、资格要求与招标公告不一致时，以招标公告为准。如在本技术规范书中要求提供服务内容等要求但在招标公告中未提及的，以招标公告要求为准。</w:t>
      </w:r>
    </w:p>
    <w:p w14:paraId="775C7875">
      <w:pPr>
        <w:keepNext w:val="0"/>
        <w:keepLines w:val="0"/>
        <w:pageBreakBefore w:val="0"/>
        <w:widowControl w:val="0"/>
        <w:numPr>
          <w:ilvl w:val="0"/>
          <w:numId w:val="0"/>
        </w:numPr>
        <w:kinsoku/>
        <w:wordWrap/>
        <w:overflowPunct/>
        <w:topLinePunct w:val="0"/>
        <w:autoSpaceDE w:val="0"/>
        <w:autoSpaceDN w:val="0"/>
        <w:bidi w:val="0"/>
        <w:adjustRightInd w:val="0"/>
        <w:snapToGrid/>
        <w:spacing w:line="520" w:lineRule="exact"/>
        <w:ind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lang w:val="en-US" w:eastAsia="zh-CN"/>
        </w:rPr>
        <w:t>2.</w:t>
      </w:r>
      <w:r>
        <w:rPr>
          <w:rFonts w:hint="eastAsia" w:ascii="宋体" w:hAnsi="宋体" w:eastAsia="宋体" w:cs="宋体"/>
          <w:kern w:val="0"/>
          <w:sz w:val="32"/>
          <w:szCs w:val="32"/>
        </w:rPr>
        <w:t>本</w:t>
      </w:r>
      <w:r>
        <w:rPr>
          <w:rFonts w:hint="eastAsia" w:ascii="宋体" w:hAnsi="宋体" w:eastAsia="宋体" w:cs="宋体"/>
          <w:kern w:val="0"/>
          <w:sz w:val="32"/>
          <w:szCs w:val="32"/>
          <w:lang w:val="en-US" w:eastAsia="zh-CN"/>
        </w:rPr>
        <w:t>技术规范书</w:t>
      </w:r>
      <w:r>
        <w:rPr>
          <w:rFonts w:hint="eastAsia" w:ascii="宋体" w:hAnsi="宋体" w:eastAsia="宋体" w:cs="宋体"/>
          <w:kern w:val="0"/>
          <w:sz w:val="32"/>
          <w:szCs w:val="32"/>
        </w:rPr>
        <w:t>描述了</w:t>
      </w:r>
      <w:r>
        <w:rPr>
          <w:rFonts w:hint="eastAsia" w:ascii="宋体" w:hAnsi="宋体" w:eastAsia="宋体" w:cs="宋体"/>
          <w:kern w:val="0"/>
          <w:sz w:val="32"/>
          <w:szCs w:val="32"/>
          <w:lang w:val="en-US" w:eastAsia="zh-CN"/>
        </w:rPr>
        <w:t>招标项目的</w:t>
      </w:r>
      <w:r>
        <w:rPr>
          <w:rFonts w:hint="eastAsia" w:ascii="宋体" w:hAnsi="宋体" w:eastAsia="宋体" w:cs="宋体"/>
          <w:kern w:val="0"/>
          <w:sz w:val="32"/>
          <w:szCs w:val="32"/>
        </w:rPr>
        <w:t>工作目标、内容和要求，可供投标方编写投标文件之用。</w:t>
      </w:r>
    </w:p>
    <w:p w14:paraId="603B99D3">
      <w:pPr>
        <w:keepNext w:val="0"/>
        <w:keepLines w:val="0"/>
        <w:pageBreakBefore w:val="0"/>
        <w:widowControl w:val="0"/>
        <w:numPr>
          <w:ilvl w:val="0"/>
          <w:numId w:val="0"/>
        </w:numPr>
        <w:kinsoku/>
        <w:wordWrap/>
        <w:overflowPunct/>
        <w:topLinePunct w:val="0"/>
        <w:autoSpaceDE w:val="0"/>
        <w:autoSpaceDN w:val="0"/>
        <w:bidi w:val="0"/>
        <w:adjustRightInd w:val="0"/>
        <w:snapToGrid/>
        <w:spacing w:line="520" w:lineRule="exact"/>
        <w:ind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lang w:val="en-US" w:eastAsia="zh-CN"/>
        </w:rPr>
        <w:t>3.</w:t>
      </w:r>
      <w:r>
        <w:rPr>
          <w:rFonts w:hint="eastAsia" w:ascii="宋体" w:hAnsi="宋体" w:eastAsia="宋体" w:cs="宋体"/>
          <w:kern w:val="0"/>
          <w:sz w:val="32"/>
          <w:szCs w:val="32"/>
        </w:rPr>
        <w:t>投标方应按照本</w:t>
      </w:r>
      <w:r>
        <w:rPr>
          <w:rFonts w:hint="eastAsia" w:ascii="宋体" w:hAnsi="宋体" w:eastAsia="宋体" w:cs="宋体"/>
          <w:kern w:val="0"/>
          <w:sz w:val="32"/>
          <w:szCs w:val="32"/>
          <w:lang w:val="en-US" w:eastAsia="zh-CN"/>
        </w:rPr>
        <w:t>技术规范书</w:t>
      </w:r>
      <w:r>
        <w:rPr>
          <w:rFonts w:hint="eastAsia" w:ascii="宋体" w:hAnsi="宋体" w:eastAsia="宋体" w:cs="宋体"/>
          <w:kern w:val="0"/>
          <w:sz w:val="32"/>
          <w:szCs w:val="32"/>
        </w:rPr>
        <w:t>的要求提供详细、完整的解决方案。该方案应完全满足或高于本</w:t>
      </w:r>
      <w:r>
        <w:rPr>
          <w:rFonts w:hint="eastAsia" w:ascii="宋体" w:hAnsi="宋体" w:eastAsia="宋体" w:cs="宋体"/>
          <w:kern w:val="0"/>
          <w:sz w:val="32"/>
          <w:szCs w:val="32"/>
          <w:lang w:val="en-US" w:eastAsia="zh-CN"/>
        </w:rPr>
        <w:t>技术规范书</w:t>
      </w:r>
      <w:r>
        <w:rPr>
          <w:rFonts w:hint="eastAsia" w:ascii="宋体" w:hAnsi="宋体" w:eastAsia="宋体" w:cs="宋体"/>
          <w:kern w:val="0"/>
          <w:sz w:val="32"/>
          <w:szCs w:val="32"/>
        </w:rPr>
        <w:t>要求，对于本</w:t>
      </w:r>
      <w:r>
        <w:rPr>
          <w:rFonts w:hint="eastAsia" w:ascii="宋体" w:hAnsi="宋体" w:eastAsia="宋体" w:cs="宋体"/>
          <w:kern w:val="0"/>
          <w:sz w:val="32"/>
          <w:szCs w:val="32"/>
          <w:lang w:val="en-US" w:eastAsia="zh-CN"/>
        </w:rPr>
        <w:t>技术规范书</w:t>
      </w:r>
      <w:r>
        <w:rPr>
          <w:rFonts w:hint="eastAsia" w:ascii="宋体" w:hAnsi="宋体" w:eastAsia="宋体" w:cs="宋体"/>
          <w:kern w:val="0"/>
          <w:sz w:val="32"/>
          <w:szCs w:val="32"/>
        </w:rPr>
        <w:t>中的某些部分，投标方如不能满足要求，或有其它替代方案，或有其它修改建议，应在方案中指出其必须进行修改的理由以及与原要求的差别，否则，招标方即认为投标方可以满足本</w:t>
      </w:r>
      <w:r>
        <w:rPr>
          <w:rFonts w:hint="eastAsia" w:ascii="宋体" w:hAnsi="宋体" w:eastAsia="宋体" w:cs="宋体"/>
          <w:kern w:val="0"/>
          <w:sz w:val="32"/>
          <w:szCs w:val="32"/>
          <w:lang w:val="en-US" w:eastAsia="zh-CN"/>
        </w:rPr>
        <w:t>技术规范书</w:t>
      </w:r>
      <w:r>
        <w:rPr>
          <w:rFonts w:hint="eastAsia" w:ascii="宋体" w:hAnsi="宋体" w:eastAsia="宋体" w:cs="宋体"/>
          <w:kern w:val="0"/>
          <w:sz w:val="32"/>
          <w:szCs w:val="32"/>
        </w:rPr>
        <w:t>的要求。</w:t>
      </w:r>
    </w:p>
    <w:p w14:paraId="40873137">
      <w:pPr>
        <w:keepNext w:val="0"/>
        <w:keepLines w:val="0"/>
        <w:pageBreakBefore w:val="0"/>
        <w:widowControl w:val="0"/>
        <w:numPr>
          <w:ilvl w:val="0"/>
          <w:numId w:val="0"/>
        </w:numPr>
        <w:kinsoku/>
        <w:wordWrap/>
        <w:overflowPunct/>
        <w:topLinePunct w:val="0"/>
        <w:autoSpaceDE w:val="0"/>
        <w:autoSpaceDN w:val="0"/>
        <w:bidi w:val="0"/>
        <w:adjustRightInd w:val="0"/>
        <w:snapToGrid/>
        <w:spacing w:line="520" w:lineRule="exact"/>
        <w:ind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lang w:val="en-US" w:eastAsia="zh-CN"/>
        </w:rPr>
        <w:t>4.</w:t>
      </w:r>
      <w:r>
        <w:rPr>
          <w:rFonts w:hint="eastAsia" w:ascii="宋体" w:hAnsi="宋体" w:eastAsia="宋体" w:cs="宋体"/>
          <w:kern w:val="0"/>
          <w:sz w:val="32"/>
          <w:szCs w:val="32"/>
        </w:rPr>
        <w:t>所有招标方认为是本</w:t>
      </w:r>
      <w:r>
        <w:rPr>
          <w:rFonts w:hint="eastAsia" w:ascii="宋体" w:hAnsi="宋体" w:eastAsia="宋体" w:cs="宋体"/>
          <w:kern w:val="0"/>
          <w:sz w:val="32"/>
          <w:szCs w:val="32"/>
          <w:lang w:val="en-US" w:eastAsia="zh-CN"/>
        </w:rPr>
        <w:t>技术规范书</w:t>
      </w:r>
      <w:r>
        <w:rPr>
          <w:rFonts w:hint="eastAsia" w:ascii="宋体" w:hAnsi="宋体" w:eastAsia="宋体" w:cs="宋体"/>
          <w:kern w:val="0"/>
          <w:sz w:val="32"/>
          <w:szCs w:val="32"/>
        </w:rPr>
        <w:t>范围所要求而被遗漏的项目，都被认为是包含在本次招标范围内，投标方的报价被视为包含此遗漏项目的报价。</w:t>
      </w:r>
      <w:r>
        <w:rPr>
          <w:rFonts w:hint="eastAsia" w:ascii="宋体" w:hAnsi="宋体" w:eastAsia="宋体" w:cs="宋体"/>
          <w:kern w:val="0"/>
          <w:sz w:val="32"/>
          <w:szCs w:val="32"/>
          <w:lang w:val="en-US" w:eastAsia="zh-CN"/>
        </w:rPr>
        <w:t>其中国标、行标、企标要求高于本技术规范书的部分应以国标、行标、企标为准。</w:t>
      </w:r>
      <w:r>
        <w:rPr>
          <w:rFonts w:hint="eastAsia" w:ascii="宋体" w:hAnsi="宋体" w:eastAsia="宋体" w:cs="宋体"/>
          <w:kern w:val="0"/>
          <w:sz w:val="32"/>
          <w:szCs w:val="32"/>
        </w:rPr>
        <w:t>投标方可以就投标方认为的遗漏项目提请招标方注意，并详细说明理由，招标方将就此进行澄清。</w:t>
      </w:r>
    </w:p>
    <w:p w14:paraId="35A50EB7">
      <w:pPr>
        <w:keepNext w:val="0"/>
        <w:keepLines w:val="0"/>
        <w:pageBreakBefore w:val="0"/>
        <w:widowControl w:val="0"/>
        <w:numPr>
          <w:ilvl w:val="0"/>
          <w:numId w:val="0"/>
        </w:numPr>
        <w:kinsoku/>
        <w:wordWrap/>
        <w:overflowPunct/>
        <w:topLinePunct w:val="0"/>
        <w:autoSpaceDE w:val="0"/>
        <w:autoSpaceDN w:val="0"/>
        <w:bidi w:val="0"/>
        <w:adjustRightInd w:val="0"/>
        <w:snapToGrid/>
        <w:spacing w:line="520" w:lineRule="exact"/>
        <w:ind w:firstLine="640" w:firstLineChars="200"/>
        <w:jc w:val="left"/>
        <w:textAlignment w:val="auto"/>
        <w:rPr>
          <w:rFonts w:hint="eastAsia" w:ascii="宋体" w:hAnsi="宋体" w:eastAsia="宋体" w:cs="宋体"/>
        </w:rPr>
      </w:pPr>
      <w:r>
        <w:rPr>
          <w:rFonts w:hint="eastAsia" w:ascii="宋体" w:hAnsi="宋体" w:eastAsia="宋体" w:cs="宋体"/>
          <w:kern w:val="0"/>
          <w:sz w:val="32"/>
          <w:szCs w:val="32"/>
          <w:lang w:val="en-US" w:eastAsia="zh-CN"/>
        </w:rPr>
        <w:t>5.</w:t>
      </w:r>
      <w:r>
        <w:rPr>
          <w:rFonts w:hint="eastAsia" w:ascii="宋体" w:hAnsi="宋体" w:eastAsia="宋体" w:cs="宋体"/>
          <w:kern w:val="0"/>
          <w:sz w:val="32"/>
          <w:szCs w:val="32"/>
        </w:rPr>
        <w:t>投标方应保证所提供的所有资料真实、完整、准确无误，否则招标方将有权取消投标方的中标资格，由此产生的一切后果由投标方承担。</w:t>
      </w:r>
    </w:p>
    <w:p w14:paraId="2FC383F1">
      <w:pPr>
        <w:widowControl w:val="0"/>
        <w:spacing w:beforeAutospacing="1" w:afterAutospacing="1"/>
        <w:ind w:firstLine="640" w:firstLineChars="200"/>
        <w:jc w:val="left"/>
        <w:outlineLvl w:val="2"/>
        <w:rPr>
          <w:rFonts w:hint="eastAsia" w:ascii="宋体" w:hAnsi="宋体" w:eastAsia="宋体" w:cs="宋体"/>
          <w:kern w:val="0"/>
          <w:sz w:val="28"/>
          <w:szCs w:val="28"/>
          <w:lang w:val="en-US" w:eastAsia="zh-CN"/>
        </w:rPr>
      </w:pPr>
      <w:r>
        <w:rPr>
          <w:rFonts w:hint="eastAsia" w:ascii="宋体" w:hAnsi="宋体" w:eastAsia="宋体" w:cs="宋体"/>
          <w:kern w:val="0"/>
          <w:sz w:val="32"/>
          <w:szCs w:val="32"/>
          <w:lang w:val="en-US" w:eastAsia="zh-CN"/>
        </w:rPr>
        <w:t>6.本招标文件的最终解释权归招标方所有。</w:t>
      </w:r>
    </w:p>
    <w:p w14:paraId="41CBA2DC">
      <w:pPr>
        <w:pStyle w:val="2"/>
        <w:numPr>
          <w:ilvl w:val="0"/>
          <w:numId w:val="0"/>
        </w:numPr>
        <w:ind w:leftChars="0"/>
        <w:rPr>
          <w:rFonts w:hint="eastAsia"/>
          <w:lang w:val="en-US" w:eastAsia="zh-CN"/>
        </w:rPr>
      </w:pPr>
    </w:p>
    <w:p w14:paraId="3A924F3F">
      <w:pPr>
        <w:rPr>
          <w:rFonts w:hint="eastAsia"/>
          <w:lang w:val="en-US" w:eastAsia="zh-CN"/>
        </w:rPr>
      </w:pPr>
    </w:p>
    <w:p w14:paraId="271A2A35">
      <w:pPr>
        <w:pStyle w:val="2"/>
        <w:numPr>
          <w:ilvl w:val="0"/>
          <w:numId w:val="0"/>
        </w:numPr>
        <w:ind w:leftChars="0"/>
        <w:rPr>
          <w:rFonts w:hint="eastAsia"/>
          <w:lang w:val="en-US" w:eastAsia="zh-CN"/>
        </w:rPr>
      </w:pPr>
    </w:p>
    <w:p w14:paraId="707B7356">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0" w:firstLineChars="0"/>
        <w:jc w:val="center"/>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ISMS信息安全管理体系、ITSMS信息技术服务体系</w:t>
      </w:r>
      <w:bookmarkStart w:id="10" w:name="_GoBack"/>
      <w:bookmarkEnd w:id="10"/>
      <w:r>
        <w:rPr>
          <w:rFonts w:hint="eastAsia" w:ascii="黑体" w:hAnsi="黑体" w:eastAsia="黑体" w:cs="黑体"/>
          <w:b/>
          <w:bCs/>
          <w:sz w:val="32"/>
          <w:szCs w:val="32"/>
          <w:lang w:val="en-US" w:eastAsia="zh-CN"/>
        </w:rPr>
        <w:t>认证</w:t>
      </w:r>
      <w:r>
        <w:rPr>
          <w:rFonts w:hint="default" w:ascii="黑体" w:hAnsi="黑体" w:eastAsia="黑体" w:cs="黑体"/>
          <w:b/>
          <w:bCs/>
          <w:sz w:val="32"/>
          <w:szCs w:val="32"/>
          <w:lang w:val="en-US" w:eastAsia="zh-CN"/>
        </w:rPr>
        <w:t>服务</w:t>
      </w:r>
      <w:r>
        <w:rPr>
          <w:rFonts w:hint="eastAsia" w:ascii="黑体" w:hAnsi="黑体" w:eastAsia="黑体" w:cs="黑体"/>
          <w:b/>
          <w:bCs/>
          <w:sz w:val="32"/>
          <w:szCs w:val="32"/>
          <w:lang w:val="en-US" w:eastAsia="zh-CN"/>
        </w:rPr>
        <w:t>技术规范书</w:t>
      </w:r>
    </w:p>
    <w:p w14:paraId="0A4D956C">
      <w:pPr>
        <w:pStyle w:val="2"/>
        <w:numPr>
          <w:ilvl w:val="0"/>
          <w:numId w:val="0"/>
        </w:numPr>
        <w:shd w:val="clear" w:color="auto" w:fill="auto"/>
        <w:bidi w:val="0"/>
        <w:ind w:leftChars="0"/>
        <w:rPr>
          <w:rFonts w:hint="eastAsia" w:ascii="宋体" w:hAnsi="宋体" w:eastAsia="宋体" w:cs="宋体"/>
          <w:b/>
          <w:bCs w:val="0"/>
          <w:color w:val="auto"/>
          <w:sz w:val="28"/>
          <w:szCs w:val="28"/>
          <w:highlight w:val="none"/>
          <w:shd w:val="clear" w:color="auto" w:fill="FFFFFF"/>
          <w:lang w:val="en-US" w:eastAsia="zh-CN"/>
        </w:rPr>
      </w:pPr>
      <w:bookmarkStart w:id="1" w:name="_Toc16312"/>
      <w:bookmarkStart w:id="2" w:name="_Toc13837"/>
      <w:bookmarkStart w:id="3" w:name="_Toc10449"/>
      <w:bookmarkStart w:id="4" w:name="_Toc437"/>
      <w:bookmarkStart w:id="5" w:name="_Toc7561"/>
      <w:bookmarkStart w:id="6" w:name="_Toc39063949"/>
      <w:bookmarkStart w:id="7" w:name="_Toc28553"/>
      <w:bookmarkStart w:id="8" w:name="_Toc10036"/>
      <w:bookmarkStart w:id="9" w:name="_Toc17924"/>
      <w:r>
        <w:rPr>
          <w:rFonts w:hint="eastAsia" w:ascii="宋体" w:hAnsi="宋体" w:eastAsia="宋体" w:cs="宋体"/>
          <w:b/>
          <w:bCs w:val="0"/>
          <w:color w:val="auto"/>
          <w:sz w:val="28"/>
          <w:szCs w:val="28"/>
          <w:highlight w:val="none"/>
          <w:shd w:val="clear" w:color="auto" w:fill="FFFFFF"/>
          <w:lang w:eastAsia="zh-CN"/>
        </w:rPr>
        <w:t>一、</w:t>
      </w:r>
      <w:bookmarkEnd w:id="1"/>
      <w:bookmarkEnd w:id="2"/>
      <w:bookmarkEnd w:id="3"/>
      <w:bookmarkEnd w:id="4"/>
      <w:bookmarkEnd w:id="5"/>
      <w:bookmarkEnd w:id="6"/>
      <w:bookmarkEnd w:id="7"/>
      <w:bookmarkEnd w:id="8"/>
      <w:bookmarkEnd w:id="9"/>
      <w:r>
        <w:rPr>
          <w:rFonts w:hint="eastAsia" w:ascii="宋体" w:hAnsi="宋体" w:eastAsia="宋体" w:cs="宋体"/>
          <w:b/>
          <w:bCs w:val="0"/>
          <w:color w:val="auto"/>
          <w:sz w:val="28"/>
          <w:szCs w:val="28"/>
          <w:highlight w:val="none"/>
          <w:shd w:val="clear" w:color="auto" w:fill="FFFFFF"/>
          <w:lang w:val="en-US" w:eastAsia="zh-CN"/>
        </w:rPr>
        <w:t>总则</w:t>
      </w:r>
    </w:p>
    <w:p w14:paraId="272309E1">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1.本技术规范书适用于招标方ISMS信息安全管理体系ITSMS信息技术服务体系认证</w:t>
      </w:r>
      <w:r>
        <w:rPr>
          <w:rFonts w:hint="default" w:ascii="宋体" w:hAnsi="宋体" w:eastAsia="宋体" w:cs="宋体"/>
          <w:sz w:val="28"/>
          <w:szCs w:val="28"/>
          <w:lang w:val="en-US" w:eastAsia="zh-CN"/>
        </w:rPr>
        <w:t>服务</w:t>
      </w:r>
      <w:r>
        <w:rPr>
          <w:rFonts w:hint="eastAsia" w:ascii="宋体" w:hAnsi="宋体" w:eastAsia="宋体" w:cs="宋体"/>
          <w:sz w:val="28"/>
          <w:szCs w:val="28"/>
          <w:lang w:val="en-US" w:eastAsia="zh-CN"/>
        </w:rPr>
        <w:t>。</w:t>
      </w:r>
    </w:p>
    <w:p w14:paraId="03D47F8C">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560" w:firstLineChars="200"/>
        <w:jc w:val="left"/>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2.本技术规范书提出的是最低限度的技术要求。凡本技术规范书中未规定，但在相关的行业标准、国家标准或 IEC 标准中有规定的规范条文，中标方应按相应标准的条文执行。对国家有关安全、环保等强制性标准，必须满足其要求。</w:t>
      </w:r>
    </w:p>
    <w:p w14:paraId="627C3892">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560" w:firstLineChars="200"/>
        <w:jc w:val="left"/>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3.本技术规范书所使用的标准如遇与中标方所执行的标准不一致时，按较高标准执行。</w:t>
      </w:r>
    </w:p>
    <w:p w14:paraId="52724F25">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560" w:firstLineChars="200"/>
        <w:jc w:val="left"/>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4.本技术规范书经双方确认后作为服务合同的技术附件，与合同正文具有同等的法律效力。</w:t>
      </w:r>
    </w:p>
    <w:p w14:paraId="620E7D24">
      <w:pPr>
        <w:widowControl w:val="0"/>
        <w:spacing w:beforeAutospacing="1" w:afterAutospacing="1"/>
        <w:ind w:firstLine="560" w:firstLineChars="200"/>
        <w:jc w:val="left"/>
        <w:outlineLvl w:val="2"/>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5.本技术规范书未尽事宜，由双方协商确定。</w:t>
      </w:r>
      <w:bookmarkEnd w:id="0"/>
    </w:p>
    <w:p w14:paraId="6408D5AF">
      <w:pPr>
        <w:keepNext w:val="0"/>
        <w:keepLines w:val="0"/>
        <w:pageBreakBefore w:val="0"/>
        <w:widowControl w:val="0"/>
        <w:kinsoku/>
        <w:wordWrap/>
        <w:overflowPunct/>
        <w:topLinePunct w:val="0"/>
        <w:autoSpaceDE/>
        <w:autoSpaceDN/>
        <w:bidi w:val="0"/>
        <w:adjustRightInd/>
        <w:snapToGrid/>
        <w:spacing w:beforeAutospacing="0" w:afterAutospacing="0" w:line="360" w:lineRule="auto"/>
        <w:jc w:val="left"/>
        <w:textAlignment w:val="auto"/>
        <w:outlineLvl w:val="2"/>
        <w:rPr>
          <w:rFonts w:hint="eastAsia" w:ascii="宋体" w:hAnsi="宋体" w:eastAsia="宋体" w:cs="宋体"/>
          <w:b/>
          <w:bCs w:val="0"/>
          <w:color w:val="auto"/>
          <w:sz w:val="28"/>
          <w:szCs w:val="28"/>
          <w:highlight w:val="none"/>
          <w:shd w:val="clear" w:color="auto" w:fill="FFFFFF"/>
          <w:lang w:val="en-US" w:eastAsia="zh-CN"/>
        </w:rPr>
      </w:pPr>
      <w:r>
        <w:rPr>
          <w:rFonts w:hint="eastAsia" w:ascii="宋体" w:hAnsi="宋体" w:eastAsia="宋体" w:cs="宋体"/>
          <w:b/>
          <w:bCs w:val="0"/>
          <w:color w:val="auto"/>
          <w:sz w:val="28"/>
          <w:szCs w:val="28"/>
          <w:highlight w:val="none"/>
          <w:shd w:val="clear" w:color="auto" w:fill="FFFFFF"/>
          <w:lang w:val="en-US" w:eastAsia="zh-CN"/>
        </w:rPr>
        <w:t>二、 服务范围</w:t>
      </w:r>
    </w:p>
    <w:p w14:paraId="3065402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jc w:val="left"/>
        <w:textAlignment w:val="auto"/>
        <w:outlineLvl w:val="2"/>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投标方需提供以下认证咨询服务：</w:t>
      </w:r>
    </w:p>
    <w:p w14:paraId="36CCB43C">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firstLine="560" w:firstLineChars="200"/>
        <w:jc w:val="left"/>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1.ISO/IEC 27001信息安全管理体系（ISMS）建设与认证</w:t>
      </w:r>
    </w:p>
    <w:p w14:paraId="7D7C833B">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firstLine="560" w:firstLineChars="200"/>
        <w:jc w:val="left"/>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2.ISO/IEC 20000-1信息技术服务管理体系（ITSMS）建设与认证 </w:t>
      </w:r>
    </w:p>
    <w:p w14:paraId="28CC7D34">
      <w:pPr>
        <w:keepNext w:val="0"/>
        <w:keepLines w:val="0"/>
        <w:pageBreakBefore w:val="0"/>
        <w:widowControl w:val="0"/>
        <w:kinsoku/>
        <w:wordWrap/>
        <w:overflowPunct/>
        <w:topLinePunct w:val="0"/>
        <w:autoSpaceDE/>
        <w:autoSpaceDN/>
        <w:bidi w:val="0"/>
        <w:adjustRightInd/>
        <w:snapToGrid/>
        <w:spacing w:beforeAutospacing="0" w:afterAutospacing="0" w:line="360" w:lineRule="auto"/>
        <w:jc w:val="left"/>
        <w:textAlignment w:val="auto"/>
        <w:outlineLvl w:val="2"/>
        <w:rPr>
          <w:rFonts w:hint="eastAsia" w:ascii="宋体" w:hAnsi="宋体" w:eastAsia="宋体" w:cs="宋体"/>
          <w:b/>
          <w:bCs w:val="0"/>
          <w:color w:val="auto"/>
          <w:sz w:val="28"/>
          <w:szCs w:val="28"/>
          <w:highlight w:val="none"/>
          <w:shd w:val="clear" w:color="auto" w:fill="FFFFFF"/>
          <w:lang w:val="en-US" w:eastAsia="zh-CN"/>
        </w:rPr>
      </w:pPr>
      <w:r>
        <w:rPr>
          <w:rFonts w:hint="eastAsia" w:ascii="宋体" w:hAnsi="宋体" w:eastAsia="宋体" w:cs="宋体"/>
          <w:b/>
          <w:bCs w:val="0"/>
          <w:color w:val="auto"/>
          <w:sz w:val="28"/>
          <w:szCs w:val="28"/>
          <w:highlight w:val="none"/>
          <w:shd w:val="clear" w:color="auto" w:fill="FFFFFF"/>
          <w:lang w:val="en-US" w:eastAsia="zh-CN"/>
        </w:rPr>
        <w:t>三、项目目标</w:t>
      </w:r>
    </w:p>
    <w:p w14:paraId="32058184">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1.建立符合国际标准的三体系管理框架</w:t>
      </w:r>
    </w:p>
    <w:p w14:paraId="02A90447">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2.通过国家认证机构审核并获得认证证书</w:t>
      </w:r>
    </w:p>
    <w:p w14:paraId="55DAA57E">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3.实现管理体系与招标方业务运营的深度融合</w:t>
      </w:r>
    </w:p>
    <w:p w14:paraId="4DBFDD83">
      <w:pPr>
        <w:pStyle w:val="2"/>
        <w:numPr>
          <w:ilvl w:val="0"/>
          <w:numId w:val="0"/>
        </w:numPr>
        <w:ind w:leftChars="0"/>
        <w:rPr>
          <w:rFonts w:hint="eastAsia" w:ascii="宋体" w:hAnsi="宋体" w:eastAsia="宋体" w:cs="宋体"/>
          <w:b/>
          <w:bCs w:val="0"/>
          <w:color w:val="auto"/>
          <w:kern w:val="2"/>
          <w:sz w:val="28"/>
          <w:szCs w:val="28"/>
          <w:highlight w:val="none"/>
          <w:shd w:val="clear" w:color="auto" w:fill="FFFFFF"/>
          <w:lang w:val="en-US" w:eastAsia="zh-CN" w:bidi="ar-SA"/>
        </w:rPr>
      </w:pPr>
      <w:r>
        <w:rPr>
          <w:rFonts w:hint="eastAsia" w:ascii="宋体" w:hAnsi="宋体" w:eastAsia="宋体" w:cs="宋体"/>
          <w:b/>
          <w:bCs w:val="0"/>
          <w:color w:val="auto"/>
          <w:kern w:val="2"/>
          <w:sz w:val="28"/>
          <w:szCs w:val="28"/>
          <w:highlight w:val="none"/>
          <w:shd w:val="clear" w:color="auto" w:fill="FFFFFF"/>
          <w:lang w:val="en-US" w:eastAsia="zh-CN" w:bidi="ar-SA"/>
        </w:rPr>
        <w:t>四、技术要求</w:t>
      </w:r>
    </w:p>
    <w:p w14:paraId="6021324A">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1.ISMS体系建设要求</w:t>
      </w:r>
    </w:p>
    <w:p w14:paraId="1BA3EA0C">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1.1.标准符合性</w:t>
      </w:r>
    </w:p>
    <w:p w14:paraId="4B882136">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1）全面覆盖ISO/IEC 27001:2022标准条款</w:t>
      </w:r>
    </w:p>
    <w:p w14:paraId="278623AF">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2）实施ISO/IEC 27002:2022最佳实践指南</w:t>
      </w:r>
    </w:p>
    <w:p w14:paraId="6FD04556">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3）整合NIST网络安全框架要求</w:t>
      </w:r>
    </w:p>
    <w:p w14:paraId="40972372">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1.2.实施内容</w:t>
      </w:r>
    </w:p>
    <w:p w14:paraId="19530C0F">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1）现状差距分析</w:t>
      </w:r>
    </w:p>
    <w:p w14:paraId="7E5F00DC">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2）现有安全控制措施评估</w:t>
      </w:r>
    </w:p>
    <w:p w14:paraId="47E5BC84">
      <w:pPr>
        <w:pStyle w:val="2"/>
        <w:numPr>
          <w:ilvl w:val="0"/>
          <w:numId w:val="0"/>
        </w:numPr>
        <w:ind w:leftChars="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    3）网络安全等级保护合规性诊断</w:t>
      </w:r>
    </w:p>
    <w:p w14:paraId="57B952D8">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1.3.风险评估</w:t>
      </w:r>
    </w:p>
    <w:p w14:paraId="73E188EF">
      <w:pPr>
        <w:pStyle w:val="2"/>
        <w:numPr>
          <w:ilvl w:val="0"/>
          <w:numId w:val="0"/>
        </w:numPr>
        <w:ind w:leftChars="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    1）资产识别与分类</w:t>
      </w:r>
    </w:p>
    <w:p w14:paraId="0AECCFD2">
      <w:pPr>
        <w:pStyle w:val="2"/>
        <w:numPr>
          <w:ilvl w:val="0"/>
          <w:numId w:val="0"/>
        </w:numPr>
        <w:ind w:leftChars="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    2）定量风险分析方法（FAIR或ISO 27005）</w:t>
      </w:r>
    </w:p>
    <w:p w14:paraId="0AA90677">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1.4.体系文件建设</w:t>
      </w:r>
    </w:p>
    <w:p w14:paraId="45F509E8">
      <w:pPr>
        <w:pStyle w:val="2"/>
        <w:numPr>
          <w:ilvl w:val="0"/>
          <w:numId w:val="0"/>
        </w:numPr>
        <w:ind w:leftChars="0" w:firstLine="56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1）三级文件架构（质量保证手册/程序文件/作业指导书）</w:t>
      </w:r>
    </w:p>
    <w:p w14:paraId="4DF3B30F">
      <w:pPr>
        <w:pStyle w:val="2"/>
        <w:numPr>
          <w:ilvl w:val="0"/>
          <w:numId w:val="0"/>
        </w:numPr>
        <w:ind w:leftChars="0" w:firstLine="56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其中包含但不限于：信息安全方针、访问控制程序、业务连续性管理计划、事件响应流程</w:t>
      </w:r>
    </w:p>
    <w:p w14:paraId="5DD68CB7">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2.ITSMS体系建设要求</w:t>
      </w:r>
    </w:p>
    <w:p w14:paraId="48D52870">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2.1. 标准符合性</w:t>
      </w:r>
    </w:p>
    <w:p w14:paraId="66B33808">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1）符合ISO/IEC 20000-1:2018标准要求</w:t>
      </w:r>
    </w:p>
    <w:p w14:paraId="794DFD67">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2）整合ITIL 4服务管理框架</w:t>
      </w:r>
    </w:p>
    <w:p w14:paraId="4A7D4A4B">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2.2 核心模块</w:t>
      </w:r>
    </w:p>
    <w:p w14:paraId="0D250AAB">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1）服务目录管理：SLA指标体系（可用性≥99.9%）、服务级别协议模板</w:t>
      </w:r>
    </w:p>
    <w:p w14:paraId="20BEEFA0">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2）事件管理：四级事件分类机制、平均响应时间≤15分钟</w:t>
      </w:r>
    </w:p>
    <w:p w14:paraId="4DB659B6">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3）变更管理：标准化变更审批流程、紧急变更处理机制</w:t>
      </w:r>
    </w:p>
    <w:p w14:paraId="2F7D5F7A">
      <w:pPr>
        <w:pStyle w:val="2"/>
        <w:numPr>
          <w:ilvl w:val="0"/>
          <w:numId w:val="0"/>
        </w:numPr>
        <w:rPr>
          <w:rFonts w:hint="eastAsia" w:ascii="宋体" w:hAnsi="宋体" w:eastAsia="宋体" w:cs="宋体"/>
          <w:b/>
          <w:bCs w:val="0"/>
          <w:color w:val="auto"/>
          <w:kern w:val="2"/>
          <w:sz w:val="28"/>
          <w:szCs w:val="28"/>
          <w:highlight w:val="none"/>
          <w:shd w:val="clear" w:color="auto" w:fill="FFFFFF"/>
          <w:lang w:val="en-US" w:eastAsia="zh-CN" w:bidi="ar-SA"/>
        </w:rPr>
      </w:pPr>
      <w:r>
        <w:rPr>
          <w:rFonts w:hint="eastAsia" w:ascii="宋体" w:hAnsi="宋体" w:eastAsia="宋体" w:cs="宋体"/>
          <w:b/>
          <w:bCs w:val="0"/>
          <w:color w:val="auto"/>
          <w:kern w:val="2"/>
          <w:sz w:val="28"/>
          <w:szCs w:val="28"/>
          <w:highlight w:val="none"/>
          <w:shd w:val="clear" w:color="auto" w:fill="FFFFFF"/>
          <w:lang w:val="en-US" w:eastAsia="zh-CN" w:bidi="ar-SA"/>
        </w:rPr>
        <w:t>五、人员要求</w:t>
      </w:r>
    </w:p>
    <w:p w14:paraId="42D825DB">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1.项目团队资质</w:t>
      </w:r>
    </w:p>
    <w:p w14:paraId="2CA26E38">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1.1.基础要求</w:t>
      </w:r>
    </w:p>
    <w:p w14:paraId="4AFC4A0B">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项目经理：具备ISMS/ITSMS认证、5年以上同类项目经验、至少3个成功案例</w:t>
      </w:r>
    </w:p>
    <w:p w14:paraId="446AF3F9">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技术专家：持有CISA/CISP/ISO 27001 LA证书、IT服务管理专家需ITIL 4 Managing Professional认证、知识产权专家需专利代理人资格</w:t>
      </w:r>
    </w:p>
    <w:p w14:paraId="672BDAA5">
      <w:pPr>
        <w:pStyle w:val="2"/>
        <w:numPr>
          <w:ilvl w:val="0"/>
          <w:numId w:val="0"/>
        </w:numPr>
        <w:ind w:leftChars="0" w:firstLine="560" w:firstLineChars="200"/>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1.2 团队配置</w:t>
      </w:r>
    </w:p>
    <w:tbl>
      <w:tblPr>
        <w:tblStyle w:val="13"/>
        <w:tblW w:w="0" w:type="auto"/>
        <w:tblInd w:w="6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34"/>
        <w:gridCol w:w="1083"/>
        <w:gridCol w:w="1783"/>
        <w:gridCol w:w="3934"/>
      </w:tblGrid>
      <w:tr w14:paraId="64FC1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4" w:type="dxa"/>
            <w:vAlign w:val="center"/>
          </w:tcPr>
          <w:p w14:paraId="09308D66">
            <w:pPr>
              <w:pStyle w:val="2"/>
              <w:numPr>
                <w:ilvl w:val="0"/>
                <w:numId w:val="0"/>
              </w:numPr>
              <w:jc w:val="center"/>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角色</w:t>
            </w:r>
          </w:p>
        </w:tc>
        <w:tc>
          <w:tcPr>
            <w:tcW w:w="1083" w:type="dxa"/>
            <w:vAlign w:val="center"/>
          </w:tcPr>
          <w:p w14:paraId="5725A0E5">
            <w:pPr>
              <w:pStyle w:val="2"/>
              <w:numPr>
                <w:ilvl w:val="0"/>
                <w:numId w:val="0"/>
              </w:numPr>
              <w:jc w:val="center"/>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数量</w:t>
            </w:r>
          </w:p>
        </w:tc>
        <w:tc>
          <w:tcPr>
            <w:tcW w:w="1783" w:type="dxa"/>
            <w:vAlign w:val="center"/>
          </w:tcPr>
          <w:p w14:paraId="4DB712C6">
            <w:pPr>
              <w:pStyle w:val="2"/>
              <w:numPr>
                <w:ilvl w:val="0"/>
                <w:numId w:val="0"/>
              </w:numPr>
              <w:jc w:val="center"/>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驻场时间</w:t>
            </w:r>
          </w:p>
        </w:tc>
        <w:tc>
          <w:tcPr>
            <w:tcW w:w="3934" w:type="dxa"/>
            <w:vAlign w:val="center"/>
          </w:tcPr>
          <w:p w14:paraId="7DED0CA4">
            <w:pPr>
              <w:pStyle w:val="2"/>
              <w:numPr>
                <w:ilvl w:val="0"/>
                <w:numId w:val="0"/>
              </w:numPr>
              <w:jc w:val="center"/>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资质证明</w:t>
            </w:r>
          </w:p>
        </w:tc>
      </w:tr>
      <w:tr w14:paraId="460EE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4" w:type="dxa"/>
            <w:vAlign w:val="center"/>
          </w:tcPr>
          <w:p w14:paraId="40670AF7">
            <w:pPr>
              <w:pStyle w:val="2"/>
              <w:numPr>
                <w:ilvl w:val="0"/>
                <w:numId w:val="0"/>
              </w:numPr>
              <w:jc w:val="center"/>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项目经理</w:t>
            </w:r>
          </w:p>
        </w:tc>
        <w:tc>
          <w:tcPr>
            <w:tcW w:w="1083" w:type="dxa"/>
            <w:vAlign w:val="center"/>
          </w:tcPr>
          <w:p w14:paraId="5BD87293">
            <w:pPr>
              <w:pStyle w:val="2"/>
              <w:numPr>
                <w:ilvl w:val="0"/>
                <w:numId w:val="0"/>
              </w:numPr>
              <w:jc w:val="center"/>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1人</w:t>
            </w:r>
          </w:p>
        </w:tc>
        <w:tc>
          <w:tcPr>
            <w:tcW w:w="1783" w:type="dxa"/>
            <w:vAlign w:val="center"/>
          </w:tcPr>
          <w:p w14:paraId="234F50F0">
            <w:pPr>
              <w:pStyle w:val="2"/>
              <w:numPr>
                <w:ilvl w:val="0"/>
                <w:numId w:val="0"/>
              </w:numPr>
              <w:jc w:val="center"/>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全程</w:t>
            </w:r>
          </w:p>
        </w:tc>
        <w:tc>
          <w:tcPr>
            <w:tcW w:w="3934" w:type="dxa"/>
            <w:vAlign w:val="center"/>
          </w:tcPr>
          <w:p w14:paraId="488B491F">
            <w:pPr>
              <w:pStyle w:val="2"/>
              <w:numPr>
                <w:ilvl w:val="0"/>
                <w:numId w:val="0"/>
              </w:numPr>
              <w:jc w:val="center"/>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学历证书+认证证书</w:t>
            </w:r>
          </w:p>
        </w:tc>
      </w:tr>
      <w:tr w14:paraId="38AAA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4" w:type="dxa"/>
            <w:vAlign w:val="center"/>
          </w:tcPr>
          <w:p w14:paraId="0DAEEA92">
            <w:pPr>
              <w:pStyle w:val="2"/>
              <w:numPr>
                <w:ilvl w:val="0"/>
                <w:numId w:val="0"/>
              </w:numPr>
              <w:jc w:val="center"/>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ISMS顾问</w:t>
            </w:r>
          </w:p>
        </w:tc>
        <w:tc>
          <w:tcPr>
            <w:tcW w:w="1083" w:type="dxa"/>
            <w:vAlign w:val="center"/>
          </w:tcPr>
          <w:p w14:paraId="1D833001">
            <w:pPr>
              <w:pStyle w:val="2"/>
              <w:numPr>
                <w:ilvl w:val="0"/>
                <w:numId w:val="0"/>
              </w:numPr>
              <w:jc w:val="center"/>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2人</w:t>
            </w:r>
          </w:p>
        </w:tc>
        <w:tc>
          <w:tcPr>
            <w:tcW w:w="1783" w:type="dxa"/>
            <w:vAlign w:val="center"/>
          </w:tcPr>
          <w:p w14:paraId="67D6C6F1">
            <w:pPr>
              <w:pStyle w:val="2"/>
              <w:numPr>
                <w:ilvl w:val="0"/>
                <w:numId w:val="0"/>
              </w:numPr>
              <w:jc w:val="center"/>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≥20天</w:t>
            </w:r>
          </w:p>
        </w:tc>
        <w:tc>
          <w:tcPr>
            <w:tcW w:w="3934" w:type="dxa"/>
            <w:vAlign w:val="center"/>
          </w:tcPr>
          <w:p w14:paraId="43637198">
            <w:pPr>
              <w:pStyle w:val="2"/>
              <w:numPr>
                <w:ilvl w:val="0"/>
                <w:numId w:val="0"/>
              </w:numPr>
              <w:jc w:val="center"/>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IRCA注册审核员</w:t>
            </w:r>
          </w:p>
        </w:tc>
      </w:tr>
      <w:tr w14:paraId="2DFE5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4" w:type="dxa"/>
            <w:vAlign w:val="center"/>
          </w:tcPr>
          <w:p w14:paraId="7D640568">
            <w:pPr>
              <w:pStyle w:val="2"/>
              <w:numPr>
                <w:ilvl w:val="0"/>
                <w:numId w:val="0"/>
              </w:numPr>
              <w:jc w:val="center"/>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ITSMS顾问</w:t>
            </w:r>
          </w:p>
        </w:tc>
        <w:tc>
          <w:tcPr>
            <w:tcW w:w="1083" w:type="dxa"/>
            <w:vAlign w:val="center"/>
          </w:tcPr>
          <w:p w14:paraId="79DA4072">
            <w:pPr>
              <w:pStyle w:val="2"/>
              <w:numPr>
                <w:ilvl w:val="0"/>
                <w:numId w:val="0"/>
              </w:numPr>
              <w:jc w:val="center"/>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2人</w:t>
            </w:r>
          </w:p>
        </w:tc>
        <w:tc>
          <w:tcPr>
            <w:tcW w:w="1783" w:type="dxa"/>
            <w:vAlign w:val="center"/>
          </w:tcPr>
          <w:p w14:paraId="0CF8CD49">
            <w:pPr>
              <w:pStyle w:val="2"/>
              <w:numPr>
                <w:ilvl w:val="0"/>
                <w:numId w:val="0"/>
              </w:numPr>
              <w:jc w:val="center"/>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≥15天</w:t>
            </w:r>
          </w:p>
        </w:tc>
        <w:tc>
          <w:tcPr>
            <w:tcW w:w="3934" w:type="dxa"/>
            <w:vAlign w:val="center"/>
          </w:tcPr>
          <w:p w14:paraId="14482011">
            <w:pPr>
              <w:pStyle w:val="2"/>
              <w:numPr>
                <w:ilvl w:val="0"/>
                <w:numId w:val="0"/>
              </w:numPr>
              <w:jc w:val="center"/>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ISO 20000审核员</w:t>
            </w:r>
          </w:p>
        </w:tc>
      </w:tr>
    </w:tbl>
    <w:p w14:paraId="63E730EE">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1.3 服务能力要求</w:t>
      </w:r>
    </w:p>
    <w:p w14:paraId="4FBCA510">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本地化服务：在项目所在地设有分支机构</w:t>
      </w:r>
    </w:p>
    <w:p w14:paraId="6AB5E16C">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应急响应：提供7×24小时远程支持</w:t>
      </w:r>
    </w:p>
    <w:p w14:paraId="380B7A50">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知识转移：每月至少开展2次内部培训</w:t>
      </w:r>
    </w:p>
    <w:p w14:paraId="1B46688C">
      <w:pPr>
        <w:pStyle w:val="2"/>
        <w:numPr>
          <w:ilvl w:val="0"/>
          <w:numId w:val="0"/>
        </w:numPr>
        <w:rPr>
          <w:rFonts w:hint="eastAsia" w:ascii="宋体" w:hAnsi="宋体" w:eastAsia="宋体" w:cs="宋体"/>
          <w:b/>
          <w:bCs w:val="0"/>
          <w:color w:val="auto"/>
          <w:kern w:val="2"/>
          <w:sz w:val="28"/>
          <w:szCs w:val="28"/>
          <w:highlight w:val="none"/>
          <w:shd w:val="clear" w:color="auto" w:fill="FFFFFF"/>
          <w:lang w:val="en-US" w:eastAsia="zh-CN" w:bidi="ar-SA"/>
        </w:rPr>
      </w:pPr>
      <w:r>
        <w:rPr>
          <w:rFonts w:hint="eastAsia" w:ascii="宋体" w:hAnsi="宋体" w:eastAsia="宋体" w:cs="宋体"/>
          <w:b/>
          <w:bCs w:val="0"/>
          <w:color w:val="auto"/>
          <w:kern w:val="2"/>
          <w:sz w:val="28"/>
          <w:szCs w:val="28"/>
          <w:highlight w:val="none"/>
          <w:shd w:val="clear" w:color="auto" w:fill="FFFFFF"/>
          <w:lang w:val="en-US" w:eastAsia="zh-CN" w:bidi="ar-SA"/>
        </w:rPr>
        <w:t>六、质量要求</w:t>
      </w:r>
    </w:p>
    <w:p w14:paraId="13FEF135">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1.过程控制</w:t>
      </w:r>
    </w:p>
    <w:p w14:paraId="4869908C">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1.1双周汇报机制：提交项目进度报告（含甘特图）、问题跟踪表（实现率≥95%）</w:t>
      </w:r>
    </w:p>
    <w:p w14:paraId="4C31B7F3">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1.2 文档管理： 版本控制（V1.0-V2.0迭代记录）、变更日志（记录所有修订内容）</w:t>
      </w:r>
    </w:p>
    <w:p w14:paraId="4F7AEDF9">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2.交付物清单</w:t>
      </w:r>
    </w:p>
    <w:p w14:paraId="3F16372E">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2.1 ISMS交付物：风险评估报告（含热力图分析）、业务影响分析（BIA）报告、渗透测试报告（至少覆盖OWASP TOP 10）</w:t>
      </w:r>
    </w:p>
    <w:p w14:paraId="60AF3AD3">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2.2 ITSMS交付物：服务目录（中英文双语版）、容量管理预测模型、服务台建设方案</w:t>
      </w:r>
    </w:p>
    <w:p w14:paraId="231CE7BD">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3.验收标准</w:t>
      </w:r>
    </w:p>
    <w:p w14:paraId="5BD10A0C">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3.1文件审查：体系文件完整率100%、内审发现项关闭率100%</w:t>
      </w:r>
    </w:p>
    <w:p w14:paraId="138F88C7">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3.2认证结果：一次性通过认证审核、审核不符合项≤3个</w:t>
      </w:r>
    </w:p>
    <w:p w14:paraId="7EAC6906">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4.标包交付</w:t>
      </w:r>
    </w:p>
    <w:p w14:paraId="1862CAB4">
      <w:pPr>
        <w:pStyle w:val="2"/>
        <w:numPr>
          <w:ilvl w:val="0"/>
          <w:numId w:val="0"/>
        </w:numPr>
        <w:ind w:leftChars="0" w:firstLine="560" w:firstLineChars="200"/>
        <w:rPr>
          <w:rFonts w:hint="default"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根据招标方要求，完成体系认证，将审核通过后证书交予招标方并按要求维护使用。</w:t>
      </w:r>
    </w:p>
    <w:p w14:paraId="50C39F4C">
      <w:pPr>
        <w:pStyle w:val="2"/>
        <w:numPr>
          <w:ilvl w:val="0"/>
          <w:numId w:val="0"/>
        </w:numPr>
        <w:rPr>
          <w:rFonts w:hint="eastAsia" w:ascii="宋体" w:hAnsi="宋体" w:eastAsia="宋体" w:cs="宋体"/>
          <w:b/>
          <w:bCs w:val="0"/>
          <w:color w:val="auto"/>
          <w:kern w:val="2"/>
          <w:sz w:val="28"/>
          <w:szCs w:val="28"/>
          <w:highlight w:val="none"/>
          <w:shd w:val="clear" w:color="auto" w:fill="FFFFFF"/>
          <w:lang w:val="en-US" w:eastAsia="zh-CN" w:bidi="ar-SA"/>
        </w:rPr>
      </w:pPr>
      <w:r>
        <w:rPr>
          <w:rFonts w:hint="eastAsia" w:ascii="宋体" w:hAnsi="宋体" w:eastAsia="宋体" w:cs="宋体"/>
          <w:b/>
          <w:bCs w:val="0"/>
          <w:color w:val="auto"/>
          <w:kern w:val="2"/>
          <w:sz w:val="28"/>
          <w:szCs w:val="28"/>
          <w:highlight w:val="none"/>
          <w:shd w:val="clear" w:color="auto" w:fill="FFFFFF"/>
          <w:lang w:val="en-US" w:eastAsia="zh-CN" w:bidi="ar-SA"/>
        </w:rPr>
        <w:t>七、进度计划</w:t>
      </w:r>
    </w:p>
    <w:p w14:paraId="07689961">
      <w:pPr>
        <w:pStyle w:val="2"/>
        <w:numPr>
          <w:ilvl w:val="0"/>
          <w:numId w:val="0"/>
        </w:numPr>
        <w:ind w:leftChars="0" w:firstLine="560" w:firstLineChars="200"/>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1.总体时间表</w:t>
      </w:r>
    </w:p>
    <w:tbl>
      <w:tblPr>
        <w:tblStyle w:val="13"/>
        <w:tblW w:w="0" w:type="auto"/>
        <w:tblInd w:w="7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11"/>
        <w:gridCol w:w="2405"/>
        <w:gridCol w:w="3317"/>
      </w:tblGrid>
      <w:tr w14:paraId="29CBE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11" w:type="dxa"/>
            <w:vAlign w:val="center"/>
          </w:tcPr>
          <w:p w14:paraId="023DDD39">
            <w:pPr>
              <w:pStyle w:val="2"/>
              <w:numPr>
                <w:ilvl w:val="0"/>
                <w:numId w:val="0"/>
              </w:numPr>
              <w:jc w:val="center"/>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阶段</w:t>
            </w:r>
          </w:p>
        </w:tc>
        <w:tc>
          <w:tcPr>
            <w:tcW w:w="2405" w:type="dxa"/>
            <w:vAlign w:val="center"/>
          </w:tcPr>
          <w:p w14:paraId="6C5C9B9D">
            <w:pPr>
              <w:pStyle w:val="2"/>
              <w:numPr>
                <w:ilvl w:val="0"/>
                <w:numId w:val="0"/>
              </w:numPr>
              <w:jc w:val="center"/>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时间</w:t>
            </w:r>
          </w:p>
        </w:tc>
        <w:tc>
          <w:tcPr>
            <w:tcW w:w="3317" w:type="dxa"/>
            <w:vAlign w:val="center"/>
          </w:tcPr>
          <w:p w14:paraId="320CB991">
            <w:pPr>
              <w:pStyle w:val="2"/>
              <w:numPr>
                <w:ilvl w:val="0"/>
                <w:numId w:val="0"/>
              </w:numPr>
              <w:jc w:val="center"/>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里程碑</w:t>
            </w:r>
          </w:p>
        </w:tc>
      </w:tr>
      <w:tr w14:paraId="5897B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11" w:type="dxa"/>
            <w:vAlign w:val="center"/>
          </w:tcPr>
          <w:p w14:paraId="3FC614F5">
            <w:pPr>
              <w:pStyle w:val="2"/>
              <w:numPr>
                <w:ilvl w:val="0"/>
                <w:numId w:val="0"/>
              </w:numPr>
              <w:jc w:val="center"/>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启动阶段</w:t>
            </w:r>
          </w:p>
        </w:tc>
        <w:tc>
          <w:tcPr>
            <w:tcW w:w="2405" w:type="dxa"/>
            <w:vAlign w:val="center"/>
          </w:tcPr>
          <w:p w14:paraId="21AAFF32">
            <w:pPr>
              <w:pStyle w:val="2"/>
              <w:numPr>
                <w:ilvl w:val="0"/>
                <w:numId w:val="0"/>
              </w:numPr>
              <w:jc w:val="center"/>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第1-2周</w:t>
            </w:r>
          </w:p>
        </w:tc>
        <w:tc>
          <w:tcPr>
            <w:tcW w:w="3317" w:type="dxa"/>
            <w:vAlign w:val="center"/>
          </w:tcPr>
          <w:p w14:paraId="532A073E">
            <w:pPr>
              <w:pStyle w:val="2"/>
              <w:numPr>
                <w:ilvl w:val="0"/>
                <w:numId w:val="0"/>
              </w:numPr>
              <w:jc w:val="center"/>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项目章程签署</w:t>
            </w:r>
          </w:p>
        </w:tc>
      </w:tr>
      <w:tr w14:paraId="6962B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11" w:type="dxa"/>
            <w:vAlign w:val="center"/>
          </w:tcPr>
          <w:p w14:paraId="7082F533">
            <w:pPr>
              <w:pStyle w:val="2"/>
              <w:numPr>
                <w:ilvl w:val="0"/>
                <w:numId w:val="0"/>
              </w:numPr>
              <w:jc w:val="center"/>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体系建设</w:t>
            </w:r>
          </w:p>
        </w:tc>
        <w:tc>
          <w:tcPr>
            <w:tcW w:w="2405" w:type="dxa"/>
            <w:vAlign w:val="center"/>
          </w:tcPr>
          <w:p w14:paraId="56D3F7A7">
            <w:pPr>
              <w:pStyle w:val="2"/>
              <w:numPr>
                <w:ilvl w:val="0"/>
                <w:numId w:val="0"/>
              </w:numPr>
              <w:jc w:val="center"/>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第3-12周</w:t>
            </w:r>
          </w:p>
        </w:tc>
        <w:tc>
          <w:tcPr>
            <w:tcW w:w="3317" w:type="dxa"/>
            <w:vAlign w:val="center"/>
          </w:tcPr>
          <w:p w14:paraId="700D8C26">
            <w:pPr>
              <w:pStyle w:val="2"/>
              <w:numPr>
                <w:ilvl w:val="0"/>
                <w:numId w:val="0"/>
              </w:numPr>
              <w:jc w:val="center"/>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文件评审会</w:t>
            </w:r>
          </w:p>
        </w:tc>
      </w:tr>
      <w:tr w14:paraId="2D2F4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11" w:type="dxa"/>
            <w:vAlign w:val="center"/>
          </w:tcPr>
          <w:p w14:paraId="4766CE06">
            <w:pPr>
              <w:pStyle w:val="2"/>
              <w:numPr>
                <w:ilvl w:val="0"/>
                <w:numId w:val="0"/>
              </w:numPr>
              <w:jc w:val="center"/>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试运行</w:t>
            </w:r>
          </w:p>
        </w:tc>
        <w:tc>
          <w:tcPr>
            <w:tcW w:w="2405" w:type="dxa"/>
            <w:vAlign w:val="center"/>
          </w:tcPr>
          <w:p w14:paraId="17BBECD6">
            <w:pPr>
              <w:pStyle w:val="2"/>
              <w:numPr>
                <w:ilvl w:val="0"/>
                <w:numId w:val="0"/>
              </w:numPr>
              <w:jc w:val="center"/>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第13-16周</w:t>
            </w:r>
          </w:p>
        </w:tc>
        <w:tc>
          <w:tcPr>
            <w:tcW w:w="3317" w:type="dxa"/>
            <w:vAlign w:val="center"/>
          </w:tcPr>
          <w:p w14:paraId="57D18095">
            <w:pPr>
              <w:pStyle w:val="2"/>
              <w:numPr>
                <w:ilvl w:val="0"/>
                <w:numId w:val="0"/>
              </w:numPr>
              <w:jc w:val="center"/>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内部审核</w:t>
            </w:r>
          </w:p>
        </w:tc>
      </w:tr>
      <w:tr w14:paraId="7C571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11" w:type="dxa"/>
            <w:vAlign w:val="center"/>
          </w:tcPr>
          <w:p w14:paraId="3362A6AB">
            <w:pPr>
              <w:pStyle w:val="2"/>
              <w:numPr>
                <w:ilvl w:val="0"/>
                <w:numId w:val="0"/>
              </w:numPr>
              <w:jc w:val="center"/>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认证审核</w:t>
            </w:r>
          </w:p>
        </w:tc>
        <w:tc>
          <w:tcPr>
            <w:tcW w:w="2405" w:type="dxa"/>
            <w:vAlign w:val="center"/>
          </w:tcPr>
          <w:p w14:paraId="04F800D3">
            <w:pPr>
              <w:pStyle w:val="2"/>
              <w:numPr>
                <w:ilvl w:val="0"/>
                <w:numId w:val="0"/>
              </w:numPr>
              <w:jc w:val="center"/>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第17-18周</w:t>
            </w:r>
          </w:p>
        </w:tc>
        <w:tc>
          <w:tcPr>
            <w:tcW w:w="3317" w:type="dxa"/>
            <w:vAlign w:val="center"/>
          </w:tcPr>
          <w:p w14:paraId="14ED73D8">
            <w:pPr>
              <w:pStyle w:val="2"/>
              <w:numPr>
                <w:ilvl w:val="0"/>
                <w:numId w:val="0"/>
              </w:numPr>
              <w:jc w:val="center"/>
              <w:rPr>
                <w:rFonts w:hint="eastAsia" w:ascii="宋体" w:hAnsi="宋体" w:eastAsia="宋体" w:cs="宋体"/>
                <w:kern w:val="2"/>
                <w:sz w:val="28"/>
                <w:szCs w:val="28"/>
                <w:vertAlign w:val="baseline"/>
                <w:lang w:val="en-US" w:eastAsia="zh-CN" w:bidi="ar-SA"/>
              </w:rPr>
            </w:pPr>
            <w:r>
              <w:rPr>
                <w:rFonts w:hint="eastAsia" w:ascii="宋体" w:hAnsi="宋体" w:eastAsia="宋体" w:cs="宋体"/>
                <w:kern w:val="2"/>
                <w:sz w:val="28"/>
                <w:szCs w:val="28"/>
                <w:lang w:val="en-US" w:eastAsia="zh-CN" w:bidi="ar-SA"/>
              </w:rPr>
              <w:t>取得证书</w:t>
            </w:r>
          </w:p>
        </w:tc>
      </w:tr>
    </w:tbl>
    <w:p w14:paraId="0BFE6A67">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2.关键节点控制</w:t>
      </w:r>
    </w:p>
    <w:p w14:paraId="5076294D">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阶段延误违约金：每日合同金额的0.1%</w:t>
      </w:r>
    </w:p>
    <w:p w14:paraId="7EE4E0F0">
      <w:pPr>
        <w:pStyle w:val="2"/>
        <w:numPr>
          <w:ilvl w:val="0"/>
          <w:numId w:val="0"/>
        </w:numPr>
        <w:ind w:leftChars="0" w:firstLine="560" w:firstLineChars="20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进度偏差预警机制：滞后≥3天启动纠偏措施</w:t>
      </w:r>
    </w:p>
    <w:p w14:paraId="155DDCD9">
      <w:pPr>
        <w:pStyle w:val="2"/>
        <w:numPr>
          <w:ilvl w:val="0"/>
          <w:numId w:val="0"/>
        </w:numPr>
        <w:rPr>
          <w:rFonts w:hint="eastAsia" w:ascii="宋体" w:hAnsi="宋体" w:eastAsia="宋体" w:cs="宋体"/>
          <w:b/>
          <w:bCs w:val="0"/>
          <w:color w:val="auto"/>
          <w:kern w:val="2"/>
          <w:sz w:val="28"/>
          <w:szCs w:val="28"/>
          <w:highlight w:val="none"/>
          <w:shd w:val="clear" w:color="auto" w:fill="FFFFFF"/>
          <w:lang w:val="en-US" w:eastAsia="zh-CN" w:bidi="ar-SA"/>
        </w:rPr>
      </w:pPr>
      <w:r>
        <w:rPr>
          <w:rFonts w:hint="eastAsia" w:ascii="宋体" w:hAnsi="宋体" w:eastAsia="宋体" w:cs="宋体"/>
          <w:b/>
          <w:bCs w:val="0"/>
          <w:color w:val="auto"/>
          <w:kern w:val="2"/>
          <w:sz w:val="28"/>
          <w:szCs w:val="28"/>
          <w:highlight w:val="none"/>
          <w:shd w:val="clear" w:color="auto" w:fill="FFFFFF"/>
          <w:lang w:val="en-US" w:eastAsia="zh-CN" w:bidi="ar-SA"/>
        </w:rPr>
        <w:t>八、其他</w:t>
      </w:r>
    </w:p>
    <w:p w14:paraId="7598A92F">
      <w:pPr>
        <w:spacing w:line="360" w:lineRule="auto"/>
        <w:ind w:firstLine="560" w:firstLineChars="200"/>
        <w:rPr>
          <w:rFonts w:hint="eastAsia" w:ascii="宋体" w:hAnsi="宋体"/>
          <w:sz w:val="28"/>
          <w:szCs w:val="28"/>
          <w:lang w:val="en-US" w:eastAsia="zh-CN"/>
        </w:rPr>
      </w:pPr>
      <w:r>
        <w:rPr>
          <w:rFonts w:hint="eastAsia" w:ascii="宋体" w:hAnsi="宋体" w:eastAsia="宋体" w:cs="宋体"/>
          <w:b w:val="0"/>
          <w:bCs w:val="0"/>
          <w:sz w:val="28"/>
          <w:szCs w:val="28"/>
          <w:lang w:val="en-US" w:eastAsia="zh-CN"/>
        </w:rPr>
        <w:t>未尽事宜，双方协商解决，可以其它形式补充。</w:t>
      </w:r>
    </w:p>
    <w:p w14:paraId="5D2AD65C">
      <w:pPr>
        <w:rPr>
          <w:rFonts w:hint="eastAsia"/>
          <w:lang w:val="en-US" w:eastAsia="zh-CN"/>
        </w:rPr>
      </w:pPr>
    </w:p>
    <w:p w14:paraId="05847DF6">
      <w:pPr>
        <w:pStyle w:val="2"/>
        <w:numPr>
          <w:ilvl w:val="0"/>
          <w:numId w:val="0"/>
        </w:numPr>
        <w:ind w:leftChars="0"/>
        <w:rPr>
          <w:rFonts w:hint="eastAsia" w:ascii="宋体" w:hAnsi="宋体" w:eastAsia="宋体" w:cs="宋体"/>
          <w:kern w:val="2"/>
          <w:sz w:val="28"/>
          <w:szCs w:val="28"/>
          <w:lang w:val="en-US" w:eastAsia="zh-CN" w:bidi="ar-SA"/>
        </w:rPr>
      </w:pPr>
    </w:p>
    <w:p w14:paraId="1E23FD0B">
      <w:pPr>
        <w:pStyle w:val="2"/>
        <w:numPr>
          <w:ilvl w:val="0"/>
          <w:numId w:val="0"/>
        </w:numPr>
        <w:ind w:leftChars="0"/>
        <w:rPr>
          <w:rFonts w:hint="eastAsia"/>
        </w:rPr>
      </w:pPr>
    </w:p>
    <w:p w14:paraId="61175007">
      <w:pPr>
        <w:autoSpaceDE w:val="0"/>
        <w:autoSpaceDN w:val="0"/>
        <w:adjustRightInd w:val="0"/>
        <w:spacing w:before="30" w:after="90"/>
        <w:ind w:left="60" w:firstLine="560" w:firstLineChars="200"/>
        <w:jc w:val="left"/>
        <w:rPr>
          <w:rFonts w:hint="eastAsia" w:ascii="Times New Roman" w:hAnsi="Times New Roman" w:eastAsia="宋体" w:cs="Times New Roman"/>
          <w:kern w:val="0"/>
          <w:sz w:val="28"/>
          <w:szCs w:val="28"/>
          <w:lang w:bidi="zh-CN"/>
        </w:rPr>
      </w:pPr>
      <w:r>
        <w:rPr>
          <w:rFonts w:hint="eastAsia" w:ascii="Times New Roman" w:hAnsi="Times New Roman" w:eastAsia="宋体" w:cs="Times New Roman"/>
          <w:kern w:val="0"/>
          <w:sz w:val="28"/>
          <w:szCs w:val="28"/>
          <w:lang w:bidi="zh-CN"/>
        </w:rPr>
        <w:t xml:space="preserve"> </w:t>
      </w:r>
    </w:p>
    <w:p w14:paraId="250B3353">
      <w:pPr>
        <w:autoSpaceDE w:val="0"/>
        <w:autoSpaceDN w:val="0"/>
        <w:adjustRightInd w:val="0"/>
        <w:spacing w:before="30" w:after="90"/>
        <w:ind w:left="60" w:firstLine="3780" w:firstLineChars="1350"/>
        <w:jc w:val="left"/>
        <w:rPr>
          <w:rFonts w:hint="eastAsia" w:ascii="Times New Roman" w:hAnsi="Times New Roman" w:eastAsia="宋体" w:cs="Times New Roman"/>
          <w:kern w:val="0"/>
          <w:sz w:val="28"/>
          <w:szCs w:val="28"/>
          <w:lang w:bidi="zh-CN"/>
        </w:rPr>
      </w:pPr>
    </w:p>
    <w:p w14:paraId="69DC6F68">
      <w:pPr>
        <w:autoSpaceDE w:val="0"/>
        <w:autoSpaceDN w:val="0"/>
        <w:adjustRightInd w:val="0"/>
        <w:spacing w:before="30" w:after="90"/>
        <w:ind w:left="60" w:firstLine="3780" w:firstLineChars="1350"/>
        <w:jc w:val="left"/>
        <w:rPr>
          <w:rFonts w:hint="eastAsia" w:ascii="Times New Roman" w:hAnsi="Times New Roman" w:eastAsia="宋体" w:cs="Times New Roman"/>
          <w:kern w:val="0"/>
          <w:sz w:val="28"/>
          <w:szCs w:val="28"/>
          <w:lang w:bidi="zh-CN"/>
        </w:rPr>
      </w:pPr>
    </w:p>
    <w:p w14:paraId="18E8B7A9">
      <w:pPr>
        <w:pStyle w:val="8"/>
        <w:jc w:val="both"/>
        <w:rPr>
          <w:rFonts w:hint="eastAsia" w:ascii="宋体" w:hAnsi="宋体" w:eastAsia="宋体" w:cs="宋体"/>
          <w:b/>
          <w:bCs/>
          <w:sz w:val="28"/>
          <w:szCs w:val="28"/>
          <w:lang w:val="en-US" w:eastAsia="zh-CN"/>
        </w:rPr>
      </w:pPr>
    </w:p>
    <w:p w14:paraId="0A3DE4BB">
      <w:pPr>
        <w:rPr>
          <w:rFonts w:hint="eastAsia"/>
          <w:lang w:val="en-US" w:eastAsia="zh-CN"/>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1"/>
      <w:numFmt w:val="decimal"/>
      <w:lvlText w:val="%1"/>
      <w:lvlJc w:val="left"/>
      <w:pPr>
        <w:tabs>
          <w:tab w:val="left" w:pos="432"/>
        </w:tabs>
        <w:ind w:left="432" w:hanging="432"/>
      </w:pPr>
    </w:lvl>
    <w:lvl w:ilvl="1" w:tentative="0">
      <w:start w:val="1"/>
      <w:numFmt w:val="decimal"/>
      <w:pStyle w:val="3"/>
      <w:lvlText w:val="%1.%2"/>
      <w:lvlJc w:val="left"/>
      <w:pPr>
        <w:tabs>
          <w:tab w:val="left" w:pos="936"/>
        </w:tabs>
        <w:ind w:left="936" w:hanging="576"/>
      </w:pPr>
    </w:lvl>
    <w:lvl w:ilvl="2" w:tentative="0">
      <w:start w:val="1"/>
      <w:numFmt w:val="decimal"/>
      <w:lvlText w:val="%1.%2.%3"/>
      <w:lvlJc w:val="left"/>
      <w:pPr>
        <w:tabs>
          <w:tab w:val="left" w:pos="1004"/>
        </w:tabs>
        <w:ind w:left="1004" w:hanging="720"/>
      </w:pPr>
      <w:rPr>
        <w:b w:val="0"/>
      </w:rPr>
    </w:lvl>
    <w:lvl w:ilvl="3" w:tentative="0">
      <w:start w:val="1"/>
      <w:numFmt w:val="decimal"/>
      <w:lvlText w:val="%1.%2.%3.%4"/>
      <w:lvlJc w:val="left"/>
      <w:pPr>
        <w:tabs>
          <w:tab w:val="left" w:pos="1006"/>
        </w:tabs>
        <w:ind w:left="1006" w:hanging="864"/>
      </w:pPr>
      <w:rPr>
        <w:rFonts w:hint="default" w:ascii="Times New Roman" w:hAnsi="Times New Roman" w:cs="Times New Roman"/>
      </w:r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1">
    <w:nsid w:val="0000001C"/>
    <w:multiLevelType w:val="multilevel"/>
    <w:tmpl w:val="0000001C"/>
    <w:lvl w:ilvl="0" w:tentative="0">
      <w:start w:val="1"/>
      <w:numFmt w:val="none"/>
      <w:pStyle w:val="2"/>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QxZWEwM2RhMWZiMTI5ZWJlOTAyZWQ5NGI3ZWRkZDcifQ=="/>
  </w:docVars>
  <w:rsids>
    <w:rsidRoot w:val="00000000"/>
    <w:rsid w:val="010030EE"/>
    <w:rsid w:val="0171251F"/>
    <w:rsid w:val="026652FE"/>
    <w:rsid w:val="02C134C6"/>
    <w:rsid w:val="03B544CB"/>
    <w:rsid w:val="045950BA"/>
    <w:rsid w:val="05533F03"/>
    <w:rsid w:val="0580501B"/>
    <w:rsid w:val="06901ED7"/>
    <w:rsid w:val="069E4BF1"/>
    <w:rsid w:val="06A7676C"/>
    <w:rsid w:val="06B01B7D"/>
    <w:rsid w:val="07737C5D"/>
    <w:rsid w:val="07C25F57"/>
    <w:rsid w:val="08AA4394"/>
    <w:rsid w:val="094717F2"/>
    <w:rsid w:val="09E67B7E"/>
    <w:rsid w:val="0A475B6E"/>
    <w:rsid w:val="0A59408D"/>
    <w:rsid w:val="0A6A66C0"/>
    <w:rsid w:val="0A9C015D"/>
    <w:rsid w:val="0AEB642B"/>
    <w:rsid w:val="0B1D17F9"/>
    <w:rsid w:val="0B8F45F4"/>
    <w:rsid w:val="0C406552"/>
    <w:rsid w:val="0CCE7A33"/>
    <w:rsid w:val="0D157605"/>
    <w:rsid w:val="0D9B7477"/>
    <w:rsid w:val="0DB32756"/>
    <w:rsid w:val="0E682C6F"/>
    <w:rsid w:val="0EB02B7F"/>
    <w:rsid w:val="0ED05E67"/>
    <w:rsid w:val="0F16010C"/>
    <w:rsid w:val="0F2411C8"/>
    <w:rsid w:val="0F86372D"/>
    <w:rsid w:val="0FFD16B4"/>
    <w:rsid w:val="10187640"/>
    <w:rsid w:val="10957D29"/>
    <w:rsid w:val="10B0706C"/>
    <w:rsid w:val="11F358DC"/>
    <w:rsid w:val="126C0490"/>
    <w:rsid w:val="13484B32"/>
    <w:rsid w:val="134912AD"/>
    <w:rsid w:val="140E4688"/>
    <w:rsid w:val="14257B28"/>
    <w:rsid w:val="1473775D"/>
    <w:rsid w:val="14B00C66"/>
    <w:rsid w:val="1544143C"/>
    <w:rsid w:val="156C5731"/>
    <w:rsid w:val="15E70A5F"/>
    <w:rsid w:val="1628562F"/>
    <w:rsid w:val="16C466BA"/>
    <w:rsid w:val="16DB3E89"/>
    <w:rsid w:val="16F70C3E"/>
    <w:rsid w:val="17943E3D"/>
    <w:rsid w:val="17C40E4E"/>
    <w:rsid w:val="18410FF6"/>
    <w:rsid w:val="188975E0"/>
    <w:rsid w:val="1895504A"/>
    <w:rsid w:val="1AB85163"/>
    <w:rsid w:val="1ACB4904"/>
    <w:rsid w:val="1B103F7B"/>
    <w:rsid w:val="1B586C8A"/>
    <w:rsid w:val="1B800ED2"/>
    <w:rsid w:val="1C2D7228"/>
    <w:rsid w:val="1CF51460"/>
    <w:rsid w:val="1D282F47"/>
    <w:rsid w:val="1DBB7D72"/>
    <w:rsid w:val="1EBD71B4"/>
    <w:rsid w:val="20CD2D61"/>
    <w:rsid w:val="20F00CC7"/>
    <w:rsid w:val="215779C0"/>
    <w:rsid w:val="220230DF"/>
    <w:rsid w:val="2253637F"/>
    <w:rsid w:val="22DF3385"/>
    <w:rsid w:val="233660DD"/>
    <w:rsid w:val="23CE2A1A"/>
    <w:rsid w:val="24024B07"/>
    <w:rsid w:val="2415723F"/>
    <w:rsid w:val="262034B4"/>
    <w:rsid w:val="26775061"/>
    <w:rsid w:val="27102324"/>
    <w:rsid w:val="2739365C"/>
    <w:rsid w:val="27C339AD"/>
    <w:rsid w:val="290D1266"/>
    <w:rsid w:val="295258DA"/>
    <w:rsid w:val="2A180220"/>
    <w:rsid w:val="2AAC0265"/>
    <w:rsid w:val="2B3D0601"/>
    <w:rsid w:val="2B401585"/>
    <w:rsid w:val="2BB0178B"/>
    <w:rsid w:val="2BD1597D"/>
    <w:rsid w:val="2C13673D"/>
    <w:rsid w:val="2CCF3DB7"/>
    <w:rsid w:val="2D006DEE"/>
    <w:rsid w:val="2D086F30"/>
    <w:rsid w:val="2D185597"/>
    <w:rsid w:val="2E5D1F78"/>
    <w:rsid w:val="2E7867C9"/>
    <w:rsid w:val="2E97127C"/>
    <w:rsid w:val="2EAA029D"/>
    <w:rsid w:val="2F706C0D"/>
    <w:rsid w:val="2F846B97"/>
    <w:rsid w:val="30015724"/>
    <w:rsid w:val="30347DA4"/>
    <w:rsid w:val="303C7C4C"/>
    <w:rsid w:val="308C0433"/>
    <w:rsid w:val="30CA41BB"/>
    <w:rsid w:val="31837ABD"/>
    <w:rsid w:val="31CE42C2"/>
    <w:rsid w:val="320B1BB8"/>
    <w:rsid w:val="32307357"/>
    <w:rsid w:val="329F628A"/>
    <w:rsid w:val="32E02DB9"/>
    <w:rsid w:val="32F11300"/>
    <w:rsid w:val="330E0AF4"/>
    <w:rsid w:val="33175C6B"/>
    <w:rsid w:val="332F330B"/>
    <w:rsid w:val="3408616B"/>
    <w:rsid w:val="360112B7"/>
    <w:rsid w:val="36382540"/>
    <w:rsid w:val="37CB4618"/>
    <w:rsid w:val="383C25FB"/>
    <w:rsid w:val="385352BC"/>
    <w:rsid w:val="395F3BF8"/>
    <w:rsid w:val="39741150"/>
    <w:rsid w:val="3A2E128F"/>
    <w:rsid w:val="3A9D33D3"/>
    <w:rsid w:val="3C6A14D0"/>
    <w:rsid w:val="3CD62D78"/>
    <w:rsid w:val="3D09759A"/>
    <w:rsid w:val="3D98496E"/>
    <w:rsid w:val="3EBD2D87"/>
    <w:rsid w:val="3EF1468E"/>
    <w:rsid w:val="3EF90F84"/>
    <w:rsid w:val="3F7B51D8"/>
    <w:rsid w:val="3F987964"/>
    <w:rsid w:val="3F9F42E0"/>
    <w:rsid w:val="3FAE23F3"/>
    <w:rsid w:val="3FF3732F"/>
    <w:rsid w:val="40116D9A"/>
    <w:rsid w:val="40306F5A"/>
    <w:rsid w:val="405B6EA5"/>
    <w:rsid w:val="409A0B88"/>
    <w:rsid w:val="40C913D4"/>
    <w:rsid w:val="40D24565"/>
    <w:rsid w:val="428128ED"/>
    <w:rsid w:val="42FD34E0"/>
    <w:rsid w:val="433E162F"/>
    <w:rsid w:val="44214162"/>
    <w:rsid w:val="44C20BD7"/>
    <w:rsid w:val="456E7AAE"/>
    <w:rsid w:val="45EA6D1F"/>
    <w:rsid w:val="45FD4563"/>
    <w:rsid w:val="4613530C"/>
    <w:rsid w:val="466E06D7"/>
    <w:rsid w:val="479D620D"/>
    <w:rsid w:val="47DB5AA4"/>
    <w:rsid w:val="4810074A"/>
    <w:rsid w:val="4832354D"/>
    <w:rsid w:val="4838070B"/>
    <w:rsid w:val="48703A8D"/>
    <w:rsid w:val="48805E95"/>
    <w:rsid w:val="48AD09F6"/>
    <w:rsid w:val="48D6699E"/>
    <w:rsid w:val="490A6A8B"/>
    <w:rsid w:val="49202B06"/>
    <w:rsid w:val="49D30079"/>
    <w:rsid w:val="4A4A4B72"/>
    <w:rsid w:val="4A581909"/>
    <w:rsid w:val="4A813F5B"/>
    <w:rsid w:val="4A8B1D58"/>
    <w:rsid w:val="4ADB547B"/>
    <w:rsid w:val="4B312C5F"/>
    <w:rsid w:val="4C5E2F58"/>
    <w:rsid w:val="4C6B033F"/>
    <w:rsid w:val="4D3C70C3"/>
    <w:rsid w:val="4DDB7C88"/>
    <w:rsid w:val="4DF4569F"/>
    <w:rsid w:val="4E4C3997"/>
    <w:rsid w:val="4F0A68D2"/>
    <w:rsid w:val="5061028A"/>
    <w:rsid w:val="519C7367"/>
    <w:rsid w:val="524A1D0E"/>
    <w:rsid w:val="52586AA6"/>
    <w:rsid w:val="52966AAF"/>
    <w:rsid w:val="53AE40CE"/>
    <w:rsid w:val="53C223A3"/>
    <w:rsid w:val="54A06FD6"/>
    <w:rsid w:val="54FF095A"/>
    <w:rsid w:val="5541507B"/>
    <w:rsid w:val="554530C9"/>
    <w:rsid w:val="55CB56A6"/>
    <w:rsid w:val="55F90AD1"/>
    <w:rsid w:val="566A796C"/>
    <w:rsid w:val="568B2AD2"/>
    <w:rsid w:val="569A5A4B"/>
    <w:rsid w:val="56A74F2D"/>
    <w:rsid w:val="56B64DD1"/>
    <w:rsid w:val="57337C93"/>
    <w:rsid w:val="57400BE8"/>
    <w:rsid w:val="575E42E5"/>
    <w:rsid w:val="57B91480"/>
    <w:rsid w:val="57DB28FB"/>
    <w:rsid w:val="58373D78"/>
    <w:rsid w:val="58B57607"/>
    <w:rsid w:val="592A1693"/>
    <w:rsid w:val="597B52F1"/>
    <w:rsid w:val="59B97F7E"/>
    <w:rsid w:val="5AAF3758"/>
    <w:rsid w:val="5AD1390C"/>
    <w:rsid w:val="5AD33A04"/>
    <w:rsid w:val="5BED535D"/>
    <w:rsid w:val="5C5440BC"/>
    <w:rsid w:val="5C957393"/>
    <w:rsid w:val="5CAA7EE7"/>
    <w:rsid w:val="5DE472E6"/>
    <w:rsid w:val="5F20006E"/>
    <w:rsid w:val="5F941CB1"/>
    <w:rsid w:val="5FC50308"/>
    <w:rsid w:val="5FF67E27"/>
    <w:rsid w:val="60CB1458"/>
    <w:rsid w:val="61297027"/>
    <w:rsid w:val="614818D6"/>
    <w:rsid w:val="6150782C"/>
    <w:rsid w:val="6203719E"/>
    <w:rsid w:val="63AD1F88"/>
    <w:rsid w:val="645413E6"/>
    <w:rsid w:val="65A03B50"/>
    <w:rsid w:val="65A71138"/>
    <w:rsid w:val="664F4EF8"/>
    <w:rsid w:val="665507A8"/>
    <w:rsid w:val="66A16B06"/>
    <w:rsid w:val="66C11670"/>
    <w:rsid w:val="66DC0717"/>
    <w:rsid w:val="67380715"/>
    <w:rsid w:val="67ED1BBE"/>
    <w:rsid w:val="68A55A3C"/>
    <w:rsid w:val="68CA15ED"/>
    <w:rsid w:val="68D3319A"/>
    <w:rsid w:val="68DF491C"/>
    <w:rsid w:val="695D5355"/>
    <w:rsid w:val="69664239"/>
    <w:rsid w:val="6A7B7BC0"/>
    <w:rsid w:val="6A856AFE"/>
    <w:rsid w:val="6B352872"/>
    <w:rsid w:val="6B853C8B"/>
    <w:rsid w:val="6BC2052E"/>
    <w:rsid w:val="6CCE7085"/>
    <w:rsid w:val="6DB55731"/>
    <w:rsid w:val="6DBC7EF4"/>
    <w:rsid w:val="6EA50F15"/>
    <w:rsid w:val="6F494AB1"/>
    <w:rsid w:val="6F562F29"/>
    <w:rsid w:val="6FD50F27"/>
    <w:rsid w:val="6FF553FF"/>
    <w:rsid w:val="709D1572"/>
    <w:rsid w:val="71C74F63"/>
    <w:rsid w:val="72FA14E8"/>
    <w:rsid w:val="73C844DD"/>
    <w:rsid w:val="745574D0"/>
    <w:rsid w:val="74C869A2"/>
    <w:rsid w:val="74FE2B8D"/>
    <w:rsid w:val="753E6BB5"/>
    <w:rsid w:val="76147BCB"/>
    <w:rsid w:val="766C01FE"/>
    <w:rsid w:val="769B7A8A"/>
    <w:rsid w:val="76E83614"/>
    <w:rsid w:val="770C3CA0"/>
    <w:rsid w:val="775A16FA"/>
    <w:rsid w:val="77FE71E2"/>
    <w:rsid w:val="78D83818"/>
    <w:rsid w:val="79AA7A8B"/>
    <w:rsid w:val="7A106C00"/>
    <w:rsid w:val="7A760DF5"/>
    <w:rsid w:val="7A890ED7"/>
    <w:rsid w:val="7B8F1159"/>
    <w:rsid w:val="7BE44D4F"/>
    <w:rsid w:val="7C350B27"/>
    <w:rsid w:val="7C5B4A31"/>
    <w:rsid w:val="7D1944B4"/>
    <w:rsid w:val="7DBB1AC4"/>
    <w:rsid w:val="7E2E3018"/>
    <w:rsid w:val="7F494066"/>
    <w:rsid w:val="7F7920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topLinePunct/>
      <w:spacing w:line="600" w:lineRule="exact"/>
      <w:jc w:val="left"/>
      <w:textAlignment w:val="baseline"/>
      <w:outlineLvl w:val="0"/>
    </w:pPr>
    <w:rPr>
      <w:rFonts w:eastAsia="黑体"/>
      <w:kern w:val="44"/>
      <w:sz w:val="44"/>
    </w:rPr>
  </w:style>
  <w:style w:type="paragraph" w:styleId="3">
    <w:name w:val="heading 2"/>
    <w:basedOn w:val="1"/>
    <w:next w:val="1"/>
    <w:qFormat/>
    <w:uiPriority w:val="0"/>
    <w:pPr>
      <w:numPr>
        <w:ilvl w:val="1"/>
        <w:numId w:val="2"/>
      </w:numPr>
      <w:snapToGrid w:val="0"/>
      <w:spacing w:before="120" w:beforeLines="50" w:after="120" w:afterLines="50" w:line="360" w:lineRule="auto"/>
      <w:jc w:val="both"/>
      <w:outlineLvl w:val="1"/>
    </w:pPr>
    <w:rPr>
      <w:rFonts w:ascii="Times New Roman" w:hAnsi="Times New Roman" w:eastAsia="宋体" w:cs="Times New Roman"/>
      <w:b/>
      <w:szCs w:val="24"/>
    </w:rPr>
  </w:style>
  <w:style w:type="paragraph" w:styleId="4">
    <w:name w:val="heading 5"/>
    <w:basedOn w:val="1"/>
    <w:next w:val="1"/>
    <w:qFormat/>
    <w:uiPriority w:val="0"/>
    <w:pPr>
      <w:keepNext/>
      <w:keepLines/>
      <w:spacing w:before="280" w:beforeLines="0" w:after="290" w:afterLines="0" w:line="372" w:lineRule="auto"/>
      <w:outlineLvl w:val="4"/>
    </w:pPr>
    <w:rPr>
      <w:b/>
      <w:bCs/>
      <w:sz w:val="28"/>
      <w:szCs w:val="28"/>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5">
    <w:name w:val="toa heading"/>
    <w:basedOn w:val="1"/>
    <w:next w:val="1"/>
    <w:qFormat/>
    <w:uiPriority w:val="0"/>
    <w:rPr>
      <w:rFonts w:ascii="Arial" w:hAnsi="Arial"/>
      <w:sz w:val="24"/>
    </w:rPr>
  </w:style>
  <w:style w:type="paragraph" w:styleId="6">
    <w:name w:val="annotation text"/>
    <w:basedOn w:val="1"/>
    <w:qFormat/>
    <w:uiPriority w:val="0"/>
    <w:pPr>
      <w:jc w:val="left"/>
    </w:pPr>
  </w:style>
  <w:style w:type="paragraph" w:styleId="7">
    <w:name w:val="Body Text"/>
    <w:basedOn w:val="1"/>
    <w:next w:val="8"/>
    <w:qFormat/>
    <w:uiPriority w:val="0"/>
    <w:pPr>
      <w:adjustRightInd w:val="0"/>
      <w:spacing w:after="60" w:afterLines="0" w:line="360" w:lineRule="atLeast"/>
      <w:ind w:left="72" w:leftChars="30" w:right="30" w:rightChars="30"/>
      <w:jc w:val="center"/>
      <w:textAlignment w:val="baseline"/>
    </w:pPr>
    <w:rPr>
      <w:rFonts w:ascii="Times New Roman" w:hAnsi="Times New Roman"/>
      <w:kern w:val="0"/>
      <w:sz w:val="20"/>
      <w:szCs w:val="20"/>
    </w:rPr>
  </w:style>
  <w:style w:type="paragraph" w:styleId="8">
    <w:name w:val="Title"/>
    <w:basedOn w:val="1"/>
    <w:next w:val="1"/>
    <w:qFormat/>
    <w:uiPriority w:val="0"/>
    <w:pPr>
      <w:spacing w:before="240" w:after="60"/>
      <w:jc w:val="center"/>
      <w:outlineLvl w:val="0"/>
    </w:pPr>
    <w:rPr>
      <w:rFonts w:ascii="Arial" w:hAnsi="Arial" w:eastAsia="宋体" w:cs="Times New Roman"/>
      <w:b/>
      <w:bCs/>
      <w:kern w:val="0"/>
      <w:sz w:val="32"/>
      <w:szCs w:val="32"/>
    </w:rPr>
  </w:style>
  <w:style w:type="paragraph" w:styleId="9">
    <w:name w:val="footer"/>
    <w:basedOn w:val="1"/>
    <w:qFormat/>
    <w:uiPriority w:val="0"/>
    <w:pPr>
      <w:tabs>
        <w:tab w:val="center" w:pos="4153"/>
        <w:tab w:val="right" w:pos="8306"/>
      </w:tabs>
      <w:snapToGrid w:val="0"/>
      <w:spacing w:line="240" w:lineRule="auto"/>
    </w:pPr>
    <w:rPr>
      <w:sz w:val="18"/>
    </w:rPr>
  </w:style>
  <w:style w:type="paragraph" w:styleId="10">
    <w:name w:val="header"/>
    <w:basedOn w:val="1"/>
    <w:qFormat/>
    <w:uiPriority w:val="0"/>
    <w:pPr>
      <w:pBdr>
        <w:bottom w:val="single" w:color="auto" w:sz="6" w:space="1"/>
      </w:pBdr>
      <w:tabs>
        <w:tab w:val="center" w:pos="4153"/>
        <w:tab w:val="right" w:pos="8306"/>
      </w:tabs>
      <w:snapToGrid w:val="0"/>
      <w:spacing w:line="240" w:lineRule="auto"/>
      <w:jc w:val="center"/>
    </w:pPr>
    <w:rPr>
      <w:sz w:val="18"/>
    </w:rPr>
  </w:style>
  <w:style w:type="paragraph" w:styleId="11">
    <w:name w:val="Body Text First Indent"/>
    <w:basedOn w:val="1"/>
    <w:qFormat/>
    <w:uiPriority w:val="0"/>
    <w:pPr>
      <w:spacing w:line="360" w:lineRule="auto"/>
      <w:ind w:firstLine="200" w:firstLineChars="200"/>
    </w:pPr>
    <w:rPr>
      <w:rFonts w:ascii="Times New Roman" w:hAnsi="Times New Roman"/>
      <w:kern w:val="0"/>
      <w:sz w:val="24"/>
      <w:szCs w:val="24"/>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目录 21"/>
    <w:basedOn w:val="1"/>
    <w:next w:val="1"/>
    <w:qFormat/>
    <w:uiPriority w:val="0"/>
    <w:pPr>
      <w:spacing w:before="100" w:beforeAutospacing="1" w:after="100" w:afterAutospacing="1"/>
      <w:ind w:left="420" w:leftChars="200"/>
    </w:pPr>
  </w:style>
  <w:style w:type="paragraph" w:styleId="16">
    <w:name w:val="List Paragraph"/>
    <w:basedOn w:val="1"/>
    <w:qFormat/>
    <w:uiPriority w:val="1"/>
    <w:pPr>
      <w:ind w:left="615" w:firstLine="48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115</Words>
  <Characters>133</Characters>
  <Lines>0</Lines>
  <Paragraphs>0</Paragraphs>
  <TotalTime>3</TotalTime>
  <ScaleCrop>false</ScaleCrop>
  <LinksUpToDate>false</LinksUpToDate>
  <CharactersWithSpaces>152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Administrator.P-WZ-GUANYG</dc:creator>
  <cp:lastModifiedBy>陈_元Diamond Hunter</cp:lastModifiedBy>
  <cp:lastPrinted>2023-01-30T08:54:00Z</cp:lastPrinted>
  <dcterms:modified xsi:type="dcterms:W3CDTF">2025-09-26T01:45:23Z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00A62F20E4BA4D93B053A7BDE7BC4440_13</vt:lpwstr>
  </property>
  <property fmtid="{D5CDD505-2E9C-101B-9397-08002B2CF9AE}" pid="4" name="KSOTemplateDocerSaveRecord">
    <vt:lpwstr>eyJoZGlkIjoiZDQ5MGE4M2JhMzA2YWQ1MmZhMzFjNTBiYTZmMmMxMjUiLCJ1c2VySWQiOiIzMzIyNTM0NjEifQ==</vt:lpwstr>
  </property>
</Properties>
</file>