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eastAsia="楷体_GB2312"/>
          <w:b/>
          <w:sz w:val="52"/>
        </w:rPr>
      </w:pPr>
      <w:r>
        <w:rPr>
          <w:rFonts w:hint="eastAsia" w:eastAsia="楷体_GB2312"/>
          <w:b/>
          <w:sz w:val="52"/>
          <w:lang w:eastAsia="zh-CN"/>
        </w:rPr>
        <w:t>按摩椅</w:t>
      </w:r>
      <w:r>
        <w:rPr>
          <w:rFonts w:hint="eastAsia" w:eastAsia="楷体_GB2312"/>
          <w:b/>
          <w:sz w:val="52"/>
        </w:rPr>
        <w:t>技术规范书</w:t>
      </w:r>
    </w:p>
    <w:p>
      <w:pPr>
        <w:spacing w:line="360" w:lineRule="auto"/>
        <w:rPr>
          <w:color w:val="000000"/>
          <w:sz w:val="32"/>
        </w:rPr>
      </w:pPr>
    </w:p>
    <w:p>
      <w:pPr>
        <w:spacing w:line="360" w:lineRule="auto"/>
        <w:rPr>
          <w:rFonts w:hint="eastAsia"/>
          <w:color w:val="000000"/>
          <w:sz w:val="32"/>
        </w:rPr>
      </w:pPr>
    </w:p>
    <w:p>
      <w:pPr>
        <w:spacing w:line="360" w:lineRule="auto"/>
        <w:rPr>
          <w:rFonts w:hint="eastAsia"/>
          <w:color w:val="000000"/>
          <w:sz w:val="32"/>
        </w:rPr>
      </w:pPr>
    </w:p>
    <w:p>
      <w:pPr>
        <w:spacing w:line="360" w:lineRule="auto"/>
        <w:rPr>
          <w:rFonts w:hint="eastAsia"/>
          <w:color w:val="000000"/>
          <w:sz w:val="32"/>
        </w:rPr>
      </w:pPr>
    </w:p>
    <w:p>
      <w:pPr>
        <w:spacing w:line="360" w:lineRule="auto"/>
        <w:rPr>
          <w:rFonts w:hint="eastAsia"/>
          <w:color w:val="000000"/>
          <w:sz w:val="32"/>
        </w:rPr>
      </w:pPr>
    </w:p>
    <w:p>
      <w:pPr>
        <w:spacing w:line="360" w:lineRule="auto"/>
        <w:rPr>
          <w:rFonts w:hint="eastAsia"/>
          <w:color w:val="000000"/>
          <w:sz w:val="32"/>
        </w:rPr>
      </w:pPr>
    </w:p>
    <w:p>
      <w:pPr>
        <w:spacing w:line="360" w:lineRule="auto"/>
        <w:rPr>
          <w:rFonts w:hint="eastAsia"/>
          <w:color w:val="000000"/>
          <w:sz w:val="32"/>
        </w:rPr>
      </w:pPr>
    </w:p>
    <w:p>
      <w:pPr>
        <w:spacing w:line="360" w:lineRule="auto"/>
        <w:rPr>
          <w:rFonts w:hint="eastAsia"/>
          <w:color w:val="000000"/>
          <w:sz w:val="32"/>
        </w:rPr>
      </w:pPr>
    </w:p>
    <w:p>
      <w:pPr>
        <w:spacing w:line="360" w:lineRule="auto"/>
        <w:rPr>
          <w:rFonts w:hint="eastAsia"/>
          <w:color w:val="000000"/>
          <w:sz w:val="32"/>
        </w:rPr>
      </w:pPr>
    </w:p>
    <w:p>
      <w:pPr>
        <w:spacing w:line="360" w:lineRule="auto"/>
        <w:rPr>
          <w:rFonts w:hint="eastAsia"/>
          <w:color w:val="000000"/>
          <w:sz w:val="32"/>
        </w:rPr>
      </w:pPr>
    </w:p>
    <w:p>
      <w:pPr>
        <w:spacing w:line="360" w:lineRule="auto"/>
        <w:rPr>
          <w:rFonts w:hint="eastAsia"/>
          <w:color w:val="000000"/>
          <w:sz w:val="32"/>
        </w:rPr>
      </w:pPr>
    </w:p>
    <w:p>
      <w:pPr>
        <w:spacing w:line="360" w:lineRule="auto"/>
        <w:rPr>
          <w:rFonts w:hint="eastAsia"/>
          <w:color w:val="000000"/>
          <w:sz w:val="32"/>
        </w:rPr>
      </w:pPr>
    </w:p>
    <w:p>
      <w:pPr>
        <w:spacing w:line="360" w:lineRule="auto"/>
        <w:rPr>
          <w:rFonts w:hint="eastAsia"/>
          <w:color w:val="000000"/>
          <w:sz w:val="32"/>
        </w:rPr>
      </w:pPr>
    </w:p>
    <w:p>
      <w:pPr>
        <w:spacing w:line="360" w:lineRule="auto"/>
        <w:rPr>
          <w:color w:val="000000"/>
          <w:sz w:val="32"/>
        </w:rPr>
      </w:pPr>
    </w:p>
    <w:p>
      <w:pPr>
        <w:spacing w:line="360" w:lineRule="auto"/>
        <w:jc w:val="center"/>
        <w:rPr>
          <w:rFonts w:hint="eastAsia"/>
          <w:color w:val="000000"/>
          <w:sz w:val="32"/>
        </w:rPr>
      </w:pPr>
    </w:p>
    <w:p>
      <w:pPr>
        <w:spacing w:line="360" w:lineRule="auto"/>
        <w:jc w:val="center"/>
        <w:rPr>
          <w:rFonts w:hint="eastAsia"/>
          <w:color w:val="000000"/>
          <w:sz w:val="32"/>
        </w:rPr>
      </w:pPr>
    </w:p>
    <w:p>
      <w:pPr>
        <w:spacing w:line="360" w:lineRule="auto"/>
        <w:jc w:val="center"/>
        <w:rPr>
          <w:rFonts w:hint="eastAsia"/>
          <w:color w:val="000000"/>
          <w:sz w:val="32"/>
        </w:rPr>
      </w:pPr>
    </w:p>
    <w:p>
      <w:pPr>
        <w:jc w:val="center"/>
        <w:rPr>
          <w:rFonts w:hint="eastAsia"/>
          <w:sz w:val="28"/>
        </w:rPr>
      </w:pPr>
    </w:p>
    <w:p>
      <w:pPr>
        <w:jc w:val="center"/>
        <w:rPr>
          <w:rFonts w:hint="eastAsia"/>
          <w:sz w:val="28"/>
        </w:rPr>
      </w:pPr>
    </w:p>
    <w:p>
      <w:pPr>
        <w:jc w:val="center"/>
        <w:rPr>
          <w:rFonts w:hint="eastAsia"/>
          <w:sz w:val="28"/>
        </w:rPr>
      </w:pPr>
    </w:p>
    <w:p>
      <w:pPr>
        <w:jc w:val="center"/>
        <w:rPr>
          <w:rFonts w:hint="eastAsia"/>
          <w:sz w:val="28"/>
        </w:rPr>
      </w:pPr>
    </w:p>
    <w:p>
      <w:pPr>
        <w:spacing w:line="360" w:lineRule="auto"/>
        <w:rPr>
          <w:rFonts w:eastAsia="黑体"/>
          <w:b/>
          <w:sz w:val="24"/>
        </w:rPr>
      </w:pPr>
      <w:r>
        <w:rPr>
          <w:rFonts w:eastAsia="黑体"/>
          <w:b/>
          <w:sz w:val="24"/>
        </w:rPr>
        <w:t>1</w:t>
      </w:r>
      <w:r>
        <w:rPr>
          <w:b/>
          <w:sz w:val="24"/>
        </w:rPr>
        <w:t xml:space="preserve">.  </w:t>
      </w:r>
      <w:r>
        <w:rPr>
          <w:rFonts w:eastAsia="黑体"/>
          <w:b/>
          <w:sz w:val="24"/>
        </w:rPr>
        <w:t>总则</w:t>
      </w:r>
    </w:p>
    <w:p>
      <w:pPr>
        <w:spacing w:line="360" w:lineRule="auto"/>
        <w:rPr>
          <w:sz w:val="24"/>
        </w:rPr>
      </w:pPr>
      <w:r>
        <w:rPr>
          <w:sz w:val="24"/>
        </w:rPr>
        <w:t>1.1   本设备技术规范书提出了该设备的功能设计、</w:t>
      </w:r>
      <w:r>
        <w:rPr>
          <w:rFonts w:hint="eastAsia"/>
          <w:sz w:val="24"/>
        </w:rPr>
        <w:t>结构、</w:t>
      </w:r>
      <w:r>
        <w:rPr>
          <w:sz w:val="24"/>
        </w:rPr>
        <w:t>性能</w:t>
      </w:r>
      <w:r>
        <w:rPr>
          <w:rFonts w:hint="eastAsia"/>
          <w:sz w:val="24"/>
        </w:rPr>
        <w:t>参数</w:t>
      </w:r>
      <w:r>
        <w:rPr>
          <w:sz w:val="24"/>
        </w:rPr>
        <w:t>等方面的技术要求。</w:t>
      </w:r>
    </w:p>
    <w:p>
      <w:pPr>
        <w:spacing w:line="360" w:lineRule="auto"/>
        <w:rPr>
          <w:rFonts w:hint="eastAsia"/>
          <w:kern w:val="0"/>
          <w:sz w:val="24"/>
        </w:rPr>
      </w:pPr>
      <w:r>
        <w:rPr>
          <w:kern w:val="0"/>
          <w:sz w:val="24"/>
        </w:rPr>
        <w:t xml:space="preserve">1.2   </w:t>
      </w:r>
      <w:r>
        <w:rPr>
          <w:sz w:val="24"/>
        </w:rPr>
        <w:t>本协议提出的是最低限度的技术要求，并未对一切技术细节作出规定，也未充分引述有关标准和规范，供方应保证提供符合本标书和工业标准的优质产品。</w:t>
      </w:r>
      <w:r>
        <w:rPr>
          <w:kern w:val="0"/>
          <w:sz w:val="24"/>
        </w:rPr>
        <w:t>本协议所提出的技术指标与供方所执行的标准发生矛盾时，按较高指标    执行</w:t>
      </w:r>
      <w:r>
        <w:rPr>
          <w:rFonts w:hint="eastAsia"/>
          <w:kern w:val="0"/>
          <w:sz w:val="24"/>
        </w:rPr>
        <w:t>,</w:t>
      </w:r>
      <w:r>
        <w:rPr>
          <w:rFonts w:hint="eastAsia" w:ascii="仿宋_GB2312" w:hAnsi="宋体" w:eastAsia="仿宋_GB2312"/>
          <w:sz w:val="32"/>
          <w:lang w:val="en-GB"/>
        </w:rPr>
        <w:t xml:space="preserve"> </w:t>
      </w:r>
      <w:r>
        <w:rPr>
          <w:rFonts w:hint="eastAsia"/>
          <w:kern w:val="0"/>
          <w:sz w:val="24"/>
        </w:rPr>
        <w:t>也均应符合相应的国家标准。</w:t>
      </w:r>
    </w:p>
    <w:p>
      <w:pPr>
        <w:widowControl/>
        <w:spacing w:line="360" w:lineRule="auto"/>
        <w:jc w:val="left"/>
        <w:rPr>
          <w:kern w:val="0"/>
          <w:sz w:val="24"/>
        </w:rPr>
      </w:pPr>
      <w:r>
        <w:rPr>
          <w:kern w:val="0"/>
          <w:sz w:val="24"/>
        </w:rPr>
        <w:t>1.3   供方所提供的组件或附件如需向第三方外购时，供方应对质量向需方</w:t>
      </w:r>
      <w:r>
        <w:rPr>
          <w:rFonts w:hint="eastAsia"/>
          <w:kern w:val="0"/>
          <w:sz w:val="24"/>
        </w:rPr>
        <w:t>负责</w:t>
      </w:r>
      <w:r>
        <w:rPr>
          <w:kern w:val="0"/>
          <w:sz w:val="24"/>
        </w:rPr>
        <w:t>，并提供相应的出厂和验收证明。</w:t>
      </w:r>
    </w:p>
    <w:p>
      <w:pPr>
        <w:pStyle w:val="3"/>
        <w:spacing w:line="360" w:lineRule="auto"/>
        <w:rPr>
          <w:rFonts w:ascii="Times New Roman" w:hAnsi="Times New Roman"/>
          <w:kern w:val="0"/>
          <w:sz w:val="24"/>
        </w:rPr>
      </w:pPr>
      <w:bookmarkStart w:id="0" w:name="_Toc469818029"/>
      <w:bookmarkEnd w:id="0"/>
      <w:bookmarkStart w:id="1" w:name="_Toc469818030"/>
      <w:bookmarkEnd w:id="1"/>
      <w:r>
        <w:rPr>
          <w:rFonts w:ascii="Times New Roman" w:hAnsi="Times New Roman"/>
          <w:kern w:val="0"/>
          <w:sz w:val="24"/>
        </w:rPr>
        <w:t>1.4   本协议经供需双方确认签字后作为订货合同的技术附件，与合同正文具有同等的法律效力。</w:t>
      </w:r>
    </w:p>
    <w:p>
      <w:pPr>
        <w:snapToGrid w:val="0"/>
        <w:spacing w:line="360" w:lineRule="auto"/>
        <w:rPr>
          <w:rFonts w:hint="eastAsia"/>
        </w:rPr>
      </w:pPr>
      <w:r>
        <w:rPr>
          <w:kern w:val="0"/>
          <w:sz w:val="24"/>
        </w:rPr>
        <w:t>1.5</w:t>
      </w:r>
      <w:r>
        <w:rPr>
          <w:sz w:val="24"/>
        </w:rPr>
        <w:t xml:space="preserve">   本协议未尽事宜，由供需双方协商确定</w:t>
      </w:r>
      <w:r>
        <w:rPr>
          <w:rFonts w:hint="eastAsia"/>
          <w:sz w:val="24"/>
        </w:rPr>
        <w:t>，并签订协议书后方生效</w:t>
      </w:r>
      <w:r>
        <w:rPr>
          <w:sz w:val="24"/>
        </w:rPr>
        <w:t>。</w:t>
      </w:r>
    </w:p>
    <w:p>
      <w:pPr>
        <w:spacing w:line="360" w:lineRule="auto"/>
        <w:rPr>
          <w:rFonts w:hint="eastAsia"/>
          <w:kern w:val="0"/>
          <w:sz w:val="24"/>
          <w:lang w:eastAsia="zh-CN"/>
        </w:rPr>
      </w:pPr>
      <w:r>
        <w:rPr>
          <w:rFonts w:hint="eastAsia" w:eastAsia="黑体"/>
          <w:b/>
          <w:sz w:val="24"/>
        </w:rPr>
        <w:t>2  技术参数及相关要求</w:t>
      </w:r>
    </w:p>
    <w:p>
      <w:pPr>
        <w:numPr>
          <w:ilvl w:val="0"/>
          <w:numId w:val="0"/>
        </w:numPr>
        <w:spacing w:line="360" w:lineRule="auto"/>
        <w:jc w:val="left"/>
        <w:rPr>
          <w:rFonts w:ascii="宋体" w:hAnsi="宋体" w:eastAsia="宋体" w:cs="宋体"/>
          <w:sz w:val="24"/>
          <w:szCs w:val="24"/>
        </w:rPr>
      </w:pPr>
      <w:r>
        <w:rPr>
          <w:rFonts w:hint="eastAsia" w:asciiTheme="minorEastAsia" w:hAnsiTheme="minorEastAsia" w:cstheme="minorEastAsia"/>
          <w:sz w:val="24"/>
          <w:szCs w:val="24"/>
          <w:highlight w:val="none"/>
          <w:lang w:val="en-US" w:eastAsia="zh-CN"/>
        </w:rPr>
        <w:t>2.1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功能</w:t>
      </w:r>
      <w:r>
        <w:rPr>
          <w:rFonts w:ascii="宋体" w:hAnsi="宋体" w:eastAsia="宋体" w:cs="宋体"/>
          <w:sz w:val="24"/>
          <w:szCs w:val="24"/>
        </w:rPr>
        <w:t>：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语音控制智能监测局部热敷</w:t>
      </w:r>
      <w:r>
        <w:rPr>
          <w:rFonts w:ascii="宋体" w:hAnsi="宋体" w:eastAsia="宋体" w:cs="宋体"/>
          <w:sz w:val="24"/>
          <w:szCs w:val="24"/>
        </w:rPr>
        <w:t>。</w:t>
      </w:r>
    </w:p>
    <w:p>
      <w:pPr>
        <w:numPr>
          <w:ilvl w:val="0"/>
          <w:numId w:val="0"/>
        </w:numPr>
        <w:spacing w:line="360" w:lineRule="auto"/>
        <w:jc w:val="left"/>
        <w:rPr>
          <w:rFonts w:asciiTheme="minorEastAsia" w:hAnsiTheme="minorEastAsia" w:cstheme="minorEastAsia"/>
          <w:sz w:val="24"/>
          <w:szCs w:val="24"/>
          <w:highlight w:val="none"/>
        </w:rPr>
      </w:pPr>
      <w:r>
        <w:rPr>
          <w:rFonts w:hint="eastAsia" w:asciiTheme="minorEastAsia" w:hAnsiTheme="minorEastAsia" w:cstheme="minorEastAsia"/>
          <w:color w:val="auto"/>
          <w:sz w:val="24"/>
          <w:szCs w:val="24"/>
          <w:highlight w:val="none"/>
          <w:lang w:val="en-US" w:eastAsia="zh-CN"/>
        </w:rPr>
        <w:t>2.2</w:t>
      </w:r>
      <w:r>
        <w:rPr>
          <w:rFonts w:ascii="宋体" w:hAnsi="宋体" w:eastAsia="宋体" w:cs="宋体"/>
          <w:sz w:val="24"/>
          <w:szCs w:val="24"/>
        </w:rPr>
        <w:t>导轨：SL型导轨。</w:t>
      </w:r>
    </w:p>
    <w:p>
      <w:pPr>
        <w:numPr>
          <w:ilvl w:val="0"/>
          <w:numId w:val="0"/>
        </w:numPr>
        <w:spacing w:line="360" w:lineRule="auto"/>
        <w:jc w:val="left"/>
        <w:rPr>
          <w:rFonts w:hint="eastAsia" w:asciiTheme="minorEastAsia" w:hAnsiTheme="minorEastAsia" w:cstheme="minorEastAsia"/>
          <w:sz w:val="24"/>
          <w:szCs w:val="24"/>
          <w:highlight w:val="none"/>
        </w:rPr>
      </w:pPr>
      <w:r>
        <w:rPr>
          <w:rFonts w:hint="eastAsia" w:asciiTheme="minorEastAsia" w:hAnsiTheme="minorEastAsia" w:cstheme="minorEastAsia"/>
          <w:sz w:val="24"/>
          <w:szCs w:val="24"/>
          <w:highlight w:val="none"/>
          <w:lang w:val="en-US" w:eastAsia="zh-CN"/>
        </w:rPr>
        <w:t>2.3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按摩程序</w:t>
      </w:r>
      <w:r>
        <w:rPr>
          <w:rFonts w:ascii="宋体" w:hAnsi="宋体" w:eastAsia="宋体" w:cs="宋体"/>
          <w:sz w:val="24"/>
          <w:szCs w:val="24"/>
        </w:rPr>
        <w:t>：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20套以上</w:t>
      </w:r>
      <w:r>
        <w:rPr>
          <w:rFonts w:ascii="宋体" w:hAnsi="宋体" w:eastAsia="宋体" w:cs="宋体"/>
          <w:sz w:val="24"/>
          <w:szCs w:val="24"/>
        </w:rPr>
        <w:t>。</w:t>
      </w:r>
    </w:p>
    <w:p>
      <w:pPr>
        <w:numPr>
          <w:ilvl w:val="0"/>
          <w:numId w:val="0"/>
        </w:numPr>
        <w:spacing w:line="360" w:lineRule="auto"/>
        <w:jc w:val="left"/>
        <w:rPr>
          <w:rFonts w:ascii="宋体" w:hAnsi="宋体" w:eastAsia="宋体" w:cs="宋体"/>
          <w:sz w:val="24"/>
          <w:szCs w:val="24"/>
        </w:rPr>
      </w:pPr>
      <w:r>
        <w:rPr>
          <w:rFonts w:hint="eastAsia" w:asciiTheme="minorEastAsia" w:hAnsiTheme="minorEastAsia" w:cstheme="minorEastAsia"/>
          <w:sz w:val="24"/>
          <w:szCs w:val="24"/>
          <w:highlight w:val="none"/>
          <w:lang w:val="en-US" w:eastAsia="zh-CN"/>
        </w:rPr>
        <w:t>2.4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内衬材质</w:t>
      </w:r>
      <w:r>
        <w:rPr>
          <w:rFonts w:ascii="宋体" w:hAnsi="宋体" w:eastAsia="宋体" w:cs="宋体"/>
          <w:sz w:val="24"/>
          <w:szCs w:val="24"/>
        </w:rPr>
        <w:t>：pu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及同等级</w:t>
      </w:r>
      <w:r>
        <w:rPr>
          <w:rFonts w:ascii="宋体" w:hAnsi="宋体" w:eastAsia="宋体" w:cs="宋体"/>
          <w:sz w:val="24"/>
          <w:szCs w:val="24"/>
        </w:rPr>
        <w:t>材质，耐水解无甲醛。</w:t>
      </w:r>
    </w:p>
    <w:p>
      <w:pPr>
        <w:numPr>
          <w:ilvl w:val="0"/>
          <w:numId w:val="0"/>
        </w:numPr>
        <w:spacing w:line="360" w:lineRule="auto"/>
        <w:jc w:val="left"/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2.5气囊数量：22个以上。</w:t>
      </w:r>
    </w:p>
    <w:p>
      <w:pPr>
        <w:spacing w:line="360" w:lineRule="auto"/>
        <w:rPr>
          <w:b/>
          <w:sz w:val="24"/>
        </w:rPr>
      </w:pPr>
      <w:r>
        <w:rPr>
          <w:rFonts w:hint="eastAsia"/>
          <w:b/>
          <w:sz w:val="24"/>
        </w:rPr>
        <w:t>3</w:t>
      </w:r>
      <w:r>
        <w:rPr>
          <w:b/>
          <w:sz w:val="24"/>
        </w:rPr>
        <w:t xml:space="preserve">   质量保证</w:t>
      </w:r>
    </w:p>
    <w:p>
      <w:pPr>
        <w:spacing w:line="360" w:lineRule="auto"/>
        <w:rPr>
          <w:sz w:val="24"/>
        </w:rPr>
      </w:pPr>
      <w:r>
        <w:rPr>
          <w:rFonts w:hint="eastAsia"/>
          <w:sz w:val="24"/>
        </w:rPr>
        <w:t>3</w:t>
      </w:r>
      <w:r>
        <w:rPr>
          <w:sz w:val="24"/>
        </w:rPr>
        <w:t>.1  设备制造应执行有关的国家标准、行业标准。</w:t>
      </w:r>
    </w:p>
    <w:p>
      <w:pPr>
        <w:spacing w:line="360" w:lineRule="auto"/>
        <w:rPr>
          <w:sz w:val="24"/>
        </w:rPr>
      </w:pPr>
      <w:r>
        <w:rPr>
          <w:rFonts w:hint="eastAsia"/>
          <w:sz w:val="24"/>
        </w:rPr>
        <w:t>3</w:t>
      </w:r>
      <w:r>
        <w:rPr>
          <w:sz w:val="24"/>
        </w:rPr>
        <w:t xml:space="preserve">.2  供方应提供下列设备质量证明：      </w:t>
      </w:r>
    </w:p>
    <w:p>
      <w:pPr>
        <w:spacing w:line="360" w:lineRule="auto"/>
        <w:rPr>
          <w:sz w:val="24"/>
        </w:rPr>
      </w:pPr>
      <w:r>
        <w:rPr>
          <w:sz w:val="24"/>
        </w:rPr>
        <w:t xml:space="preserve">        </w:t>
      </w:r>
      <w:r>
        <w:rPr>
          <w:rFonts w:hAnsi="宋体"/>
          <w:sz w:val="24"/>
        </w:rPr>
        <w:t>※</w:t>
      </w:r>
      <w:r>
        <w:rPr>
          <w:sz w:val="24"/>
        </w:rPr>
        <w:t xml:space="preserve">产品合格证；      </w:t>
      </w:r>
    </w:p>
    <w:p>
      <w:pPr>
        <w:spacing w:line="360" w:lineRule="auto"/>
        <w:rPr>
          <w:sz w:val="24"/>
        </w:rPr>
      </w:pPr>
      <w:r>
        <w:rPr>
          <w:sz w:val="24"/>
        </w:rPr>
        <w:t xml:space="preserve">        </w:t>
      </w:r>
      <w:r>
        <w:rPr>
          <w:rFonts w:hAnsi="宋体"/>
          <w:sz w:val="24"/>
        </w:rPr>
        <w:t>※</w:t>
      </w:r>
      <w:r>
        <w:rPr>
          <w:sz w:val="24"/>
        </w:rPr>
        <w:t xml:space="preserve">制造、检验记录；      </w:t>
      </w:r>
    </w:p>
    <w:p>
      <w:pPr>
        <w:spacing w:line="360" w:lineRule="auto"/>
        <w:rPr>
          <w:sz w:val="24"/>
        </w:rPr>
      </w:pPr>
      <w:r>
        <w:rPr>
          <w:sz w:val="24"/>
        </w:rPr>
        <w:t xml:space="preserve">        </w:t>
      </w:r>
      <w:r>
        <w:rPr>
          <w:rFonts w:hAnsi="宋体"/>
          <w:sz w:val="24"/>
        </w:rPr>
        <w:t>※</w:t>
      </w:r>
      <w:r>
        <w:rPr>
          <w:sz w:val="24"/>
        </w:rPr>
        <w:t xml:space="preserve">材料合格证；       </w:t>
      </w:r>
    </w:p>
    <w:p>
      <w:pPr>
        <w:spacing w:line="360" w:lineRule="auto"/>
        <w:rPr>
          <w:rFonts w:hint="eastAsia"/>
          <w:sz w:val="24"/>
        </w:rPr>
      </w:pPr>
      <w:r>
        <w:rPr>
          <w:rFonts w:hint="eastAsia"/>
          <w:sz w:val="24"/>
        </w:rPr>
        <w:t>3</w:t>
      </w:r>
      <w:r>
        <w:rPr>
          <w:sz w:val="24"/>
        </w:rPr>
        <w:t xml:space="preserve">.3  </w:t>
      </w:r>
      <w:r>
        <w:rPr>
          <w:rFonts w:hint="eastAsia"/>
          <w:sz w:val="24"/>
        </w:rPr>
        <w:t>质量保证期为合同签订后</w:t>
      </w:r>
      <w:r>
        <w:rPr>
          <w:rFonts w:hint="eastAsia"/>
          <w:sz w:val="24"/>
          <w:lang w:val="en-US" w:eastAsia="zh-CN"/>
        </w:rPr>
        <w:t>1</w:t>
      </w:r>
      <w:r>
        <w:rPr>
          <w:rFonts w:hint="eastAsia"/>
          <w:sz w:val="24"/>
        </w:rPr>
        <w:t>年。</w:t>
      </w:r>
    </w:p>
    <w:p>
      <w:pPr>
        <w:spacing w:line="360" w:lineRule="auto"/>
        <w:rPr>
          <w:rFonts w:hint="eastAsia"/>
          <w:sz w:val="24"/>
        </w:rPr>
      </w:pPr>
      <w:r>
        <w:rPr>
          <w:rFonts w:hint="eastAsia"/>
          <w:sz w:val="24"/>
        </w:rPr>
        <w:t>3.4  供货方保证其提供的产品是全新的、未使用过的，并在各个方面符合招标文件规定的质量、规格和性能，供货方保证其产品在正确安装、正常操作情况下，能安全可靠地运行，在合同规定的质量保证期内，因卖方设计、制造、运输和材料缺陷等原因而造成产品的任何破坏、缺陷或故障，则当供货方收到买方的书面通知后，供货方应在十天内免费负责更换，以达到技术条件规定的要求，并不得要求买方支付任何费用。</w:t>
      </w:r>
    </w:p>
    <w:p>
      <w:pPr>
        <w:spacing w:line="360" w:lineRule="auto"/>
        <w:rPr>
          <w:rFonts w:hint="eastAsia"/>
          <w:b/>
          <w:sz w:val="28"/>
        </w:rPr>
      </w:pPr>
      <w:r>
        <w:rPr>
          <w:rFonts w:hint="eastAsia"/>
          <w:b/>
          <w:sz w:val="28"/>
        </w:rPr>
        <w:t>4 运输和储存</w:t>
      </w:r>
    </w:p>
    <w:p>
      <w:pPr>
        <w:spacing w:line="360" w:lineRule="auto"/>
        <w:ind w:firstLine="450"/>
        <w:rPr>
          <w:rFonts w:hint="eastAsia"/>
          <w:sz w:val="24"/>
        </w:rPr>
      </w:pPr>
      <w:r>
        <w:rPr>
          <w:rFonts w:hint="eastAsia"/>
          <w:sz w:val="24"/>
        </w:rPr>
        <w:t>4.1</w:t>
      </w:r>
      <w:r>
        <w:rPr>
          <w:sz w:val="24"/>
        </w:rPr>
        <w:t>供货方应负责将设备运到指定目的地，并负责使设备在任何运输形式不    受损坏。</w:t>
      </w:r>
      <w:r>
        <w:rPr>
          <w:rFonts w:hint="eastAsia"/>
          <w:sz w:val="24"/>
        </w:rPr>
        <w:t>并配备人员负责将货物装卸到需方指定仓库或地点，所需装卸费、人工费等费用均由供货方承担。如不能按上述要求运输并卸到指定仓库或地点，需方不予收货，并予以退货处理，退货费用由供货方承担。</w:t>
      </w:r>
    </w:p>
    <w:p>
      <w:pPr>
        <w:spacing w:line="360" w:lineRule="auto"/>
        <w:ind w:firstLine="450"/>
        <w:rPr>
          <w:rFonts w:hint="eastAsia"/>
          <w:sz w:val="24"/>
        </w:rPr>
      </w:pPr>
      <w:r>
        <w:rPr>
          <w:rFonts w:hint="eastAsia"/>
          <w:sz w:val="24"/>
        </w:rPr>
        <w:t>4.2如果在运输、储存和安装时不能保证订货单中规定的使用条件(温度和湿度)，制造厂应当在投标时提出，并在供货合同中明确。为了在运输、储存和安装中以及在带电前保护绝缘，以防由于雨、雪或凝露等原因而吸潮，采取特殊的预防措施。运输中的振动也应予以考虑。说明书中对此应给予适当的说明。</w:t>
      </w:r>
    </w:p>
    <w:p>
      <w:pPr>
        <w:spacing w:line="360" w:lineRule="auto"/>
        <w:rPr>
          <w:rFonts w:eastAsia="黑体"/>
          <w:b/>
          <w:sz w:val="24"/>
        </w:rPr>
      </w:pPr>
      <w:r>
        <w:rPr>
          <w:rFonts w:hint="eastAsia" w:eastAsia="黑体"/>
          <w:b/>
          <w:sz w:val="24"/>
        </w:rPr>
        <w:t>5</w:t>
      </w:r>
      <w:r>
        <w:rPr>
          <w:rFonts w:eastAsia="黑体"/>
          <w:b/>
          <w:sz w:val="24"/>
        </w:rPr>
        <w:t xml:space="preserve">   供货</w:t>
      </w:r>
      <w:r>
        <w:rPr>
          <w:rFonts w:hint="eastAsia" w:eastAsia="黑体"/>
          <w:b/>
          <w:sz w:val="24"/>
        </w:rPr>
        <w:t>要求及供货</w:t>
      </w:r>
      <w:r>
        <w:rPr>
          <w:rFonts w:eastAsia="黑体"/>
          <w:b/>
          <w:sz w:val="24"/>
        </w:rPr>
        <w:t>范围</w:t>
      </w:r>
    </w:p>
    <w:p>
      <w:pPr>
        <w:spacing w:line="360" w:lineRule="auto"/>
        <w:rPr>
          <w:b/>
          <w:sz w:val="24"/>
        </w:rPr>
      </w:pPr>
      <w:r>
        <w:rPr>
          <w:rFonts w:hint="eastAsia"/>
          <w:b/>
          <w:sz w:val="24"/>
        </w:rPr>
        <w:t>5</w:t>
      </w:r>
      <w:r>
        <w:rPr>
          <w:b/>
          <w:sz w:val="24"/>
        </w:rPr>
        <w:t>.1 供货要求</w:t>
      </w:r>
    </w:p>
    <w:p>
      <w:pPr>
        <w:spacing w:line="360" w:lineRule="auto"/>
        <w:rPr>
          <w:b/>
          <w:sz w:val="24"/>
        </w:rPr>
      </w:pPr>
      <w:r>
        <w:rPr>
          <w:rFonts w:hint="eastAsia"/>
          <w:sz w:val="24"/>
        </w:rPr>
        <w:t>5</w:t>
      </w:r>
      <w:r>
        <w:rPr>
          <w:sz w:val="24"/>
        </w:rPr>
        <w:t>.1.1 供方保证提供设备为全新的、先进的、成熟的、完整的和安全可靠的</w:t>
      </w:r>
      <w:r>
        <w:rPr>
          <w:rFonts w:hint="eastAsia"/>
          <w:sz w:val="24"/>
        </w:rPr>
        <w:t>，</w:t>
      </w:r>
      <w:r>
        <w:rPr>
          <w:sz w:val="24"/>
        </w:rPr>
        <w:t>且设备的技术经济性能符合本协议的要求。</w:t>
      </w:r>
    </w:p>
    <w:p>
      <w:pPr>
        <w:spacing w:line="360" w:lineRule="auto"/>
        <w:rPr>
          <w:rFonts w:hint="eastAsia"/>
          <w:sz w:val="24"/>
        </w:rPr>
      </w:pPr>
      <w:r>
        <w:rPr>
          <w:rFonts w:hint="eastAsia"/>
          <w:sz w:val="24"/>
        </w:rPr>
        <w:t>5</w:t>
      </w:r>
      <w:r>
        <w:rPr>
          <w:sz w:val="24"/>
        </w:rPr>
        <w:t>.1.2 供方应提供详细供货清单，清单中依次说明型号、数量、产地、生产厂家等内容。</w:t>
      </w:r>
    </w:p>
    <w:p>
      <w:pPr>
        <w:spacing w:line="360" w:lineRule="auto"/>
        <w:rPr>
          <w:rFonts w:hint="eastAsia"/>
          <w:sz w:val="24"/>
        </w:rPr>
      </w:pPr>
      <w:r>
        <w:rPr>
          <w:rFonts w:hint="eastAsia"/>
          <w:sz w:val="24"/>
        </w:rPr>
        <w:t>5.1.3 供方需提供设备或货物的使用说明书。</w:t>
      </w:r>
    </w:p>
    <w:p>
      <w:pPr>
        <w:spacing w:line="360" w:lineRule="auto"/>
        <w:rPr>
          <w:rFonts w:hint="eastAsia"/>
          <w:sz w:val="24"/>
        </w:rPr>
      </w:pPr>
      <w:r>
        <w:rPr>
          <w:rFonts w:hint="eastAsia"/>
          <w:sz w:val="24"/>
        </w:rPr>
        <w:t>5.1.4供货方所提供设备或货物须与技术规范书要求一致，如有变动需与需方签订变更协议。无变更协议的，需方予收货付款，并退回货物，所有费用均为供方承担。</w:t>
      </w:r>
    </w:p>
    <w:p>
      <w:pPr>
        <w:jc w:val="left"/>
        <w:rPr>
          <w:sz w:val="24"/>
          <w:szCs w:val="24"/>
        </w:rPr>
      </w:pPr>
    </w:p>
    <w:p>
      <w:pPr>
        <w:jc w:val="left"/>
        <w:rPr>
          <w:sz w:val="24"/>
          <w:szCs w:val="24"/>
        </w:rPr>
      </w:pPr>
    </w:p>
    <w:p>
      <w:pPr>
        <w:jc w:val="left"/>
        <w:rPr>
          <w:sz w:val="24"/>
          <w:szCs w:val="24"/>
        </w:rPr>
      </w:pPr>
    </w:p>
    <w:p>
      <w:pPr>
        <w:jc w:val="left"/>
        <w:rPr>
          <w:sz w:val="24"/>
          <w:szCs w:val="24"/>
        </w:rPr>
      </w:pPr>
    </w:p>
    <w:p>
      <w:pPr>
        <w:jc w:val="left"/>
        <w:rPr>
          <w:sz w:val="24"/>
          <w:szCs w:val="24"/>
        </w:rPr>
      </w:pPr>
    </w:p>
    <w:p>
      <w:pPr>
        <w:jc w:val="left"/>
        <w:rPr>
          <w:sz w:val="24"/>
          <w:szCs w:val="24"/>
        </w:rPr>
      </w:pPr>
    </w:p>
    <w:p>
      <w:pPr>
        <w:jc w:val="left"/>
        <w:rPr>
          <w:sz w:val="24"/>
          <w:szCs w:val="24"/>
        </w:rPr>
      </w:pPr>
    </w:p>
    <w:p>
      <w:pPr>
        <w:jc w:val="left"/>
        <w:rPr>
          <w:sz w:val="24"/>
          <w:szCs w:val="24"/>
        </w:rPr>
      </w:pPr>
    </w:p>
    <w:p>
      <w:pPr>
        <w:jc w:val="left"/>
        <w:rPr>
          <w:sz w:val="24"/>
          <w:szCs w:val="24"/>
        </w:rPr>
      </w:pPr>
    </w:p>
    <w:p>
      <w:pPr>
        <w:jc w:val="left"/>
        <w:rPr>
          <w:sz w:val="24"/>
          <w:szCs w:val="24"/>
        </w:rPr>
      </w:pPr>
    </w:p>
    <w:p>
      <w:pPr>
        <w:jc w:val="left"/>
        <w:rPr>
          <w:sz w:val="24"/>
          <w:szCs w:val="24"/>
        </w:rPr>
      </w:pPr>
    </w:p>
    <w:p>
      <w:pPr>
        <w:jc w:val="left"/>
        <w:rPr>
          <w:sz w:val="24"/>
          <w:szCs w:val="24"/>
        </w:rPr>
      </w:pPr>
      <w:bookmarkStart w:id="3" w:name="_GoBack"/>
      <w:bookmarkEnd w:id="3"/>
    </w:p>
    <w:p>
      <w:pPr>
        <w:jc w:val="left"/>
        <w:rPr>
          <w:sz w:val="24"/>
          <w:szCs w:val="24"/>
        </w:rPr>
      </w:pPr>
    </w:p>
    <w:p>
      <w:pPr>
        <w:jc w:val="left"/>
        <w:rPr>
          <w:sz w:val="24"/>
          <w:szCs w:val="24"/>
        </w:rPr>
      </w:pPr>
    </w:p>
    <w:p>
      <w:pPr>
        <w:jc w:val="left"/>
        <w:rPr>
          <w:sz w:val="24"/>
          <w:szCs w:val="24"/>
        </w:rPr>
      </w:pPr>
    </w:p>
    <w:p>
      <w:pPr>
        <w:jc w:val="left"/>
        <w:rPr>
          <w:sz w:val="24"/>
          <w:szCs w:val="24"/>
        </w:rPr>
      </w:pPr>
    </w:p>
    <w:p>
      <w:pPr>
        <w:jc w:val="left"/>
        <w:rPr>
          <w:sz w:val="24"/>
          <w:szCs w:val="24"/>
        </w:rPr>
      </w:pPr>
    </w:p>
    <w:p>
      <w:pPr>
        <w:jc w:val="left"/>
        <w:rPr>
          <w:sz w:val="24"/>
          <w:szCs w:val="24"/>
        </w:rPr>
      </w:pPr>
    </w:p>
    <w:p>
      <w:pPr>
        <w:jc w:val="left"/>
        <w:rPr>
          <w:sz w:val="24"/>
          <w:szCs w:val="24"/>
        </w:rPr>
      </w:pPr>
    </w:p>
    <w:p>
      <w:pPr>
        <w:jc w:val="left"/>
        <w:rPr>
          <w:sz w:val="24"/>
          <w:szCs w:val="24"/>
        </w:rPr>
      </w:pPr>
    </w:p>
    <w:p>
      <w:pPr>
        <w:jc w:val="left"/>
        <w:rPr>
          <w:sz w:val="24"/>
          <w:szCs w:val="24"/>
        </w:rPr>
      </w:pPr>
    </w:p>
    <w:p>
      <w:pPr>
        <w:jc w:val="left"/>
        <w:rPr>
          <w:sz w:val="24"/>
          <w:szCs w:val="24"/>
        </w:rPr>
      </w:pPr>
    </w:p>
    <w:p>
      <w:pPr>
        <w:jc w:val="left"/>
        <w:rPr>
          <w:sz w:val="24"/>
          <w:szCs w:val="24"/>
        </w:rPr>
      </w:pPr>
    </w:p>
    <w:p>
      <w:pPr>
        <w:jc w:val="left"/>
        <w:rPr>
          <w:sz w:val="24"/>
          <w:szCs w:val="24"/>
        </w:rPr>
      </w:pPr>
    </w:p>
    <w:p>
      <w:pPr>
        <w:jc w:val="left"/>
        <w:rPr>
          <w:sz w:val="24"/>
          <w:szCs w:val="24"/>
        </w:rPr>
      </w:pPr>
    </w:p>
    <w:p>
      <w:pPr>
        <w:jc w:val="left"/>
        <w:rPr>
          <w:sz w:val="24"/>
          <w:szCs w:val="24"/>
        </w:rPr>
      </w:pPr>
    </w:p>
    <w:p>
      <w:pPr>
        <w:jc w:val="left"/>
        <w:rPr>
          <w:sz w:val="24"/>
          <w:szCs w:val="24"/>
        </w:rPr>
      </w:pPr>
    </w:p>
    <w:p>
      <w:pPr>
        <w:jc w:val="left"/>
        <w:rPr>
          <w:sz w:val="24"/>
          <w:szCs w:val="24"/>
        </w:rPr>
      </w:pPr>
    </w:p>
    <w:p>
      <w:pPr>
        <w:jc w:val="left"/>
        <w:rPr>
          <w:sz w:val="24"/>
          <w:szCs w:val="24"/>
        </w:rPr>
      </w:pPr>
    </w:p>
    <w:p>
      <w:pPr>
        <w:jc w:val="left"/>
        <w:rPr>
          <w:sz w:val="24"/>
          <w:szCs w:val="24"/>
        </w:rPr>
      </w:pPr>
    </w:p>
    <w:p>
      <w:pPr>
        <w:jc w:val="left"/>
        <w:rPr>
          <w:sz w:val="24"/>
          <w:szCs w:val="24"/>
        </w:rPr>
      </w:pPr>
    </w:p>
    <w:p>
      <w:pPr>
        <w:jc w:val="left"/>
        <w:rPr>
          <w:sz w:val="24"/>
          <w:szCs w:val="24"/>
        </w:rPr>
      </w:pPr>
    </w:p>
    <w:p>
      <w:pPr>
        <w:spacing w:before="0" w:line="519" w:lineRule="exact"/>
        <w:ind w:left="272" w:right="1191" w:firstLine="0"/>
        <w:jc w:val="center"/>
        <w:rPr>
          <w:rFonts w:hint="eastAsia" w:ascii="Microsoft JhengHei" w:eastAsia="Microsoft JhengHei"/>
          <w:b/>
          <w:sz w:val="32"/>
        </w:rPr>
      </w:pPr>
      <w:r>
        <w:rPr>
          <w:rFonts w:hint="eastAsia" w:ascii="Microsoft JhengHei" w:eastAsia="Microsoft JhengHei"/>
          <w:b/>
          <w:sz w:val="32"/>
        </w:rPr>
        <w:t>技术差异表</w:t>
      </w:r>
    </w:p>
    <w:p>
      <w:pPr>
        <w:jc w:val="left"/>
        <w:rPr>
          <w:sz w:val="24"/>
          <w:szCs w:val="24"/>
        </w:rPr>
      </w:pPr>
    </w:p>
    <w:p>
      <w:pPr>
        <w:jc w:val="left"/>
        <w:rPr>
          <w:sz w:val="24"/>
          <w:szCs w:val="24"/>
        </w:rPr>
      </w:pPr>
    </w:p>
    <w:p>
      <w:pPr>
        <w:jc w:val="left"/>
        <w:rPr>
          <w:sz w:val="24"/>
          <w:szCs w:val="24"/>
        </w:rPr>
      </w:pPr>
    </w:p>
    <w:p>
      <w:pPr>
        <w:jc w:val="left"/>
        <w:rPr>
          <w:sz w:val="24"/>
          <w:szCs w:val="24"/>
        </w:rPr>
      </w:pPr>
    </w:p>
    <w:p>
      <w:pPr>
        <w:jc w:val="left"/>
        <w:rPr>
          <w:sz w:val="24"/>
          <w:szCs w:val="24"/>
        </w:rPr>
      </w:pPr>
    </w:p>
    <w:p>
      <w:pPr>
        <w:jc w:val="left"/>
        <w:rPr>
          <w:sz w:val="24"/>
          <w:szCs w:val="24"/>
        </w:rPr>
      </w:pPr>
      <w:r>
        <w:rPr>
          <w:spacing w:val="-11"/>
          <w:sz w:val="24"/>
        </w:rPr>
        <w:t>注：</w:t>
      </w:r>
      <w:r>
        <w:rPr>
          <w:rFonts w:ascii="宋体" w:hAnsi="宋体" w:eastAsia="宋体" w:cs="宋体"/>
          <w:sz w:val="24"/>
          <w:szCs w:val="24"/>
        </w:rPr>
        <w:t>响应方所供设备与本次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按摩椅</w:t>
      </w:r>
      <w:r>
        <w:rPr>
          <w:rFonts w:ascii="宋体" w:hAnsi="宋体" w:eastAsia="宋体" w:cs="宋体"/>
          <w:sz w:val="24"/>
          <w:szCs w:val="24"/>
        </w:rPr>
        <w:t>技术要求有差异之处，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无论</w:t>
      </w:r>
      <w:r>
        <w:rPr>
          <w:rFonts w:hint="eastAsia" w:ascii="宋体" w:hAnsi="宋体" w:cs="宋体"/>
          <w:sz w:val="24"/>
          <w:szCs w:val="24"/>
          <w:lang w:eastAsia="zh-CN"/>
        </w:rPr>
        <w:t>优于或劣于本规范书要求，均汇集成此表。</w:t>
      </w:r>
    </w:p>
    <w:p>
      <w:pPr>
        <w:jc w:val="left"/>
        <w:rPr>
          <w:sz w:val="24"/>
          <w:szCs w:val="24"/>
        </w:rPr>
      </w:pPr>
    </w:p>
    <w:p>
      <w:pPr>
        <w:jc w:val="left"/>
        <w:rPr>
          <w:sz w:val="24"/>
          <w:szCs w:val="24"/>
        </w:rPr>
      </w:pPr>
    </w:p>
    <w:p>
      <w:pPr>
        <w:jc w:val="left"/>
        <w:rPr>
          <w:sz w:val="24"/>
          <w:szCs w:val="24"/>
        </w:rPr>
      </w:pPr>
    </w:p>
    <w:p>
      <w:pPr>
        <w:jc w:val="left"/>
        <w:rPr>
          <w:sz w:val="24"/>
          <w:szCs w:val="24"/>
        </w:rPr>
      </w:pPr>
    </w:p>
    <w:p>
      <w:pPr>
        <w:jc w:val="left"/>
        <w:rPr>
          <w:sz w:val="24"/>
          <w:szCs w:val="24"/>
        </w:rPr>
      </w:pPr>
    </w:p>
    <w:p>
      <w:pPr>
        <w:spacing w:before="0" w:line="519" w:lineRule="exact"/>
        <w:ind w:left="272" w:right="1191" w:firstLine="0"/>
        <w:jc w:val="center"/>
        <w:rPr>
          <w:rFonts w:hint="eastAsia" w:ascii="Microsoft JhengHei" w:eastAsia="Microsoft JhengHei"/>
          <w:b/>
          <w:sz w:val="32"/>
        </w:rPr>
      </w:pPr>
    </w:p>
    <w:p>
      <w:pPr>
        <w:spacing w:before="0" w:line="519" w:lineRule="exact"/>
        <w:ind w:left="272" w:right="1191" w:firstLine="0"/>
        <w:jc w:val="center"/>
        <w:rPr>
          <w:rFonts w:hint="eastAsia" w:ascii="Microsoft JhengHei" w:eastAsia="Microsoft JhengHei"/>
          <w:b/>
          <w:sz w:val="32"/>
        </w:rPr>
      </w:pPr>
    </w:p>
    <w:p>
      <w:pPr>
        <w:jc w:val="left"/>
        <w:rPr>
          <w:sz w:val="24"/>
          <w:szCs w:val="24"/>
        </w:rPr>
      </w:pPr>
    </w:p>
    <w:p>
      <w:pPr>
        <w:jc w:val="left"/>
        <w:rPr>
          <w:sz w:val="24"/>
          <w:szCs w:val="24"/>
        </w:rPr>
      </w:pPr>
    </w:p>
    <w:p>
      <w:pPr>
        <w:jc w:val="left"/>
        <w:rPr>
          <w:sz w:val="24"/>
          <w:szCs w:val="24"/>
        </w:rPr>
      </w:pPr>
    </w:p>
    <w:p>
      <w:pPr>
        <w:jc w:val="left"/>
        <w:rPr>
          <w:sz w:val="24"/>
          <w:szCs w:val="24"/>
        </w:rPr>
      </w:pPr>
    </w:p>
    <w:p>
      <w:pPr>
        <w:jc w:val="left"/>
        <w:rPr>
          <w:sz w:val="24"/>
          <w:szCs w:val="24"/>
        </w:rPr>
      </w:pPr>
    </w:p>
    <w:p>
      <w:pPr>
        <w:jc w:val="left"/>
        <w:rPr>
          <w:sz w:val="24"/>
          <w:szCs w:val="24"/>
        </w:rPr>
      </w:pPr>
    </w:p>
    <w:p>
      <w:pPr>
        <w:jc w:val="left"/>
        <w:rPr>
          <w:sz w:val="24"/>
          <w:szCs w:val="24"/>
        </w:rPr>
      </w:pPr>
    </w:p>
    <w:p>
      <w:pPr>
        <w:jc w:val="left"/>
        <w:rPr>
          <w:sz w:val="24"/>
          <w:szCs w:val="24"/>
        </w:rPr>
      </w:pPr>
    </w:p>
    <w:p>
      <w:pPr>
        <w:jc w:val="left"/>
        <w:rPr>
          <w:sz w:val="24"/>
          <w:szCs w:val="24"/>
        </w:rPr>
      </w:pPr>
    </w:p>
    <w:p>
      <w:pPr>
        <w:jc w:val="left"/>
        <w:rPr>
          <w:sz w:val="24"/>
          <w:szCs w:val="24"/>
        </w:rPr>
      </w:pPr>
    </w:p>
    <w:p>
      <w:pPr>
        <w:jc w:val="left"/>
        <w:rPr>
          <w:sz w:val="24"/>
          <w:szCs w:val="24"/>
        </w:rPr>
      </w:pPr>
    </w:p>
    <w:p>
      <w:pPr>
        <w:jc w:val="left"/>
        <w:rPr>
          <w:sz w:val="24"/>
          <w:szCs w:val="24"/>
        </w:rPr>
      </w:pPr>
    </w:p>
    <w:p>
      <w:pPr>
        <w:jc w:val="left"/>
        <w:rPr>
          <w:sz w:val="24"/>
          <w:szCs w:val="24"/>
        </w:rPr>
      </w:pPr>
    </w:p>
    <w:tbl>
      <w:tblPr>
        <w:tblStyle w:val="6"/>
        <w:tblpPr w:leftFromText="180" w:rightFromText="180" w:vertAnchor="text" w:horzAnchor="page" w:tblpX="1671" w:tblpY="-7421"/>
        <w:tblOverlap w:val="never"/>
        <w:tblW w:w="8316" w:type="dxa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37"/>
        <w:gridCol w:w="3553"/>
        <w:gridCol w:w="4026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3" w:hRule="atLeast"/>
        </w:trPr>
        <w:tc>
          <w:tcPr>
            <w:tcW w:w="737" w:type="dxa"/>
            <w:vAlign w:val="center"/>
          </w:tcPr>
          <w:p>
            <w:pPr>
              <w:pStyle w:val="10"/>
              <w:jc w:val="center"/>
              <w:rPr>
                <w:rFonts w:hint="eastAsia" w:ascii="Microsoft JhengHei" w:eastAsia="Microsoft JhengHei"/>
                <w:b/>
                <w:sz w:val="24"/>
              </w:rPr>
            </w:pPr>
            <w:r>
              <w:rPr>
                <w:rFonts w:hint="eastAsia" w:ascii="Microsoft JhengHei" w:eastAsia="Microsoft JhengHei"/>
                <w:b/>
                <w:sz w:val="24"/>
              </w:rPr>
              <w:t>序号</w:t>
            </w:r>
          </w:p>
        </w:tc>
        <w:tc>
          <w:tcPr>
            <w:tcW w:w="3553" w:type="dxa"/>
            <w:vAlign w:val="center"/>
          </w:tcPr>
          <w:p>
            <w:pPr>
              <w:pStyle w:val="10"/>
              <w:spacing w:before="82"/>
              <w:jc w:val="center"/>
              <w:rPr>
                <w:rFonts w:hint="eastAsia" w:ascii="Microsoft JhengHei" w:eastAsia="宋体"/>
                <w:b/>
                <w:sz w:val="24"/>
                <w:lang w:val="en-US" w:eastAsia="zh-CN"/>
              </w:rPr>
            </w:pPr>
            <w:r>
              <w:rPr>
                <w:rFonts w:hint="eastAsia" w:ascii="Microsoft JhengHei" w:eastAsia="宋体"/>
                <w:b/>
                <w:sz w:val="24"/>
                <w:lang w:eastAsia="zh-CN"/>
              </w:rPr>
              <w:t>按摩椅</w:t>
            </w:r>
            <w:r>
              <w:rPr>
                <w:rFonts w:hint="eastAsia" w:ascii="Microsoft JhengHei" w:eastAsia="Microsoft JhengHei"/>
                <w:b/>
                <w:sz w:val="24"/>
              </w:rPr>
              <w:t>技术规范书</w:t>
            </w:r>
            <w:r>
              <w:rPr>
                <w:rFonts w:hint="eastAsia" w:ascii="Microsoft JhengHei"/>
                <w:b/>
                <w:sz w:val="24"/>
                <w:lang w:val="en-US" w:eastAsia="zh-CN"/>
              </w:rPr>
              <w:t xml:space="preserve"> </w:t>
            </w:r>
          </w:p>
        </w:tc>
        <w:tc>
          <w:tcPr>
            <w:tcW w:w="4026" w:type="dxa"/>
            <w:vAlign w:val="center"/>
          </w:tcPr>
          <w:p>
            <w:pPr>
              <w:pStyle w:val="10"/>
              <w:spacing w:before="128" w:line="411" w:lineRule="exact"/>
              <w:ind w:right="1997"/>
              <w:jc w:val="center"/>
              <w:rPr>
                <w:rFonts w:hint="eastAsia" w:ascii="Microsoft JhengHei" w:eastAsia="Microsoft JhengHei"/>
                <w:b/>
                <w:sz w:val="24"/>
              </w:rPr>
            </w:pPr>
            <w:r>
              <w:rPr>
                <w:rFonts w:hint="eastAsia" w:ascii="Microsoft JhengHei" w:eastAsia="Microsoft JhengHei"/>
                <w:b/>
                <w:sz w:val="24"/>
              </w:rPr>
              <w:t>响应文件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0" w:hRule="atLeast"/>
        </w:trPr>
        <w:tc>
          <w:tcPr>
            <w:tcW w:w="737" w:type="dxa"/>
            <w:vAlign w:val="center"/>
          </w:tcPr>
          <w:p>
            <w:pPr>
              <w:pStyle w:val="10"/>
              <w:spacing w:before="208"/>
              <w:ind w:right="1"/>
              <w:jc w:val="center"/>
              <w:rPr>
                <w:sz w:val="24"/>
              </w:rPr>
            </w:pPr>
            <w:r>
              <w:rPr>
                <w:sz w:val="24"/>
              </w:rPr>
              <w:t>（1）</w:t>
            </w:r>
          </w:p>
        </w:tc>
        <w:tc>
          <w:tcPr>
            <w:tcW w:w="3553" w:type="dxa"/>
            <w:vAlign w:val="center"/>
          </w:tcPr>
          <w:p>
            <w:pPr>
              <w:pStyle w:val="10"/>
              <w:jc w:val="center"/>
              <w:rPr>
                <w:rFonts w:ascii="Times New Roman"/>
                <w:sz w:val="24"/>
              </w:rPr>
            </w:pPr>
          </w:p>
        </w:tc>
        <w:tc>
          <w:tcPr>
            <w:tcW w:w="4026" w:type="dxa"/>
            <w:vAlign w:val="center"/>
          </w:tcPr>
          <w:p>
            <w:pPr>
              <w:pStyle w:val="10"/>
              <w:jc w:val="center"/>
              <w:rPr>
                <w:rFonts w:ascii="Times New Roman"/>
                <w:sz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80" w:hRule="atLeast"/>
        </w:trPr>
        <w:tc>
          <w:tcPr>
            <w:tcW w:w="737" w:type="dxa"/>
            <w:vAlign w:val="center"/>
          </w:tcPr>
          <w:p>
            <w:pPr>
              <w:pStyle w:val="10"/>
              <w:spacing w:before="208"/>
              <w:ind w:right="1"/>
              <w:jc w:val="center"/>
              <w:rPr>
                <w:sz w:val="24"/>
              </w:rPr>
            </w:pPr>
            <w:r>
              <w:rPr>
                <w:sz w:val="24"/>
              </w:rPr>
              <w:t>（2）</w:t>
            </w:r>
          </w:p>
        </w:tc>
        <w:tc>
          <w:tcPr>
            <w:tcW w:w="3553" w:type="dxa"/>
            <w:vAlign w:val="center"/>
          </w:tcPr>
          <w:p>
            <w:pPr>
              <w:pStyle w:val="10"/>
              <w:jc w:val="center"/>
              <w:rPr>
                <w:rFonts w:ascii="Times New Roman"/>
                <w:sz w:val="24"/>
              </w:rPr>
            </w:pPr>
          </w:p>
        </w:tc>
        <w:tc>
          <w:tcPr>
            <w:tcW w:w="4026" w:type="dxa"/>
            <w:vAlign w:val="center"/>
          </w:tcPr>
          <w:p>
            <w:pPr>
              <w:pStyle w:val="10"/>
              <w:jc w:val="center"/>
              <w:rPr>
                <w:rFonts w:ascii="Times New Roman"/>
                <w:sz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0" w:hRule="atLeast"/>
        </w:trPr>
        <w:tc>
          <w:tcPr>
            <w:tcW w:w="737" w:type="dxa"/>
            <w:vAlign w:val="center"/>
          </w:tcPr>
          <w:p>
            <w:pPr>
              <w:pStyle w:val="10"/>
              <w:spacing w:before="208"/>
              <w:ind w:right="1"/>
              <w:jc w:val="center"/>
              <w:rPr>
                <w:sz w:val="24"/>
              </w:rPr>
            </w:pPr>
            <w:r>
              <w:rPr>
                <w:sz w:val="24"/>
              </w:rPr>
              <w:t>（3）</w:t>
            </w:r>
          </w:p>
        </w:tc>
        <w:tc>
          <w:tcPr>
            <w:tcW w:w="3553" w:type="dxa"/>
            <w:vAlign w:val="center"/>
          </w:tcPr>
          <w:p>
            <w:pPr>
              <w:pStyle w:val="10"/>
              <w:jc w:val="center"/>
              <w:rPr>
                <w:rFonts w:ascii="Times New Roman"/>
                <w:sz w:val="24"/>
              </w:rPr>
            </w:pPr>
          </w:p>
        </w:tc>
        <w:tc>
          <w:tcPr>
            <w:tcW w:w="4026" w:type="dxa"/>
            <w:vAlign w:val="center"/>
          </w:tcPr>
          <w:p>
            <w:pPr>
              <w:pStyle w:val="10"/>
              <w:jc w:val="center"/>
              <w:rPr>
                <w:rFonts w:ascii="Times New Roman"/>
                <w:sz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0" w:hRule="atLeast"/>
        </w:trPr>
        <w:tc>
          <w:tcPr>
            <w:tcW w:w="737" w:type="dxa"/>
            <w:vAlign w:val="center"/>
          </w:tcPr>
          <w:p>
            <w:pPr>
              <w:pStyle w:val="10"/>
              <w:spacing w:before="208"/>
              <w:ind w:right="1"/>
              <w:jc w:val="center"/>
              <w:rPr>
                <w:sz w:val="24"/>
              </w:rPr>
            </w:pPr>
            <w:r>
              <w:rPr>
                <w:sz w:val="24"/>
              </w:rPr>
              <w:t>（4）</w:t>
            </w:r>
          </w:p>
        </w:tc>
        <w:tc>
          <w:tcPr>
            <w:tcW w:w="3553" w:type="dxa"/>
            <w:vAlign w:val="center"/>
          </w:tcPr>
          <w:p>
            <w:pPr>
              <w:pStyle w:val="10"/>
              <w:jc w:val="center"/>
              <w:rPr>
                <w:rFonts w:ascii="Times New Roman"/>
                <w:sz w:val="24"/>
              </w:rPr>
            </w:pPr>
          </w:p>
        </w:tc>
        <w:tc>
          <w:tcPr>
            <w:tcW w:w="4026" w:type="dxa"/>
            <w:vAlign w:val="center"/>
          </w:tcPr>
          <w:p>
            <w:pPr>
              <w:pStyle w:val="10"/>
              <w:jc w:val="center"/>
              <w:rPr>
                <w:rFonts w:ascii="Times New Roman"/>
                <w:sz w:val="24"/>
              </w:rPr>
            </w:pPr>
          </w:p>
        </w:tc>
      </w:tr>
    </w:tbl>
    <w:p>
      <w:pPr>
        <w:bidi w:val="0"/>
        <w:jc w:val="left"/>
        <w:rPr>
          <w:rFonts w:hint="eastAsia"/>
          <w:lang w:val="en-US" w:eastAsia="zh-CN"/>
        </w:rPr>
        <w:sectPr>
          <w:footerReference r:id="rId3" w:type="default"/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  <w:bookmarkStart w:id="2" w:name="（三）技术商务差异表"/>
      <w:bookmarkEnd w:id="2"/>
    </w:p>
    <w:p>
      <w:pPr>
        <w:bidi w:val="0"/>
        <w:jc w:val="left"/>
        <w:rPr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Calibri">
    <w:panose1 w:val="020F0502020204030204"/>
    <w:charset w:val="86"/>
    <w:family w:val="swiss"/>
    <w:pitch w:val="default"/>
    <w:sig w:usb0="E00002FF" w:usb1="4000ACFF" w:usb2="00000001" w:usb3="00000000" w:csb0="2000019F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Microsoft JhengHei">
    <w:panose1 w:val="020B0604030504040204"/>
    <w:charset w:val="88"/>
    <w:family w:val="swiss"/>
    <w:pitch w:val="default"/>
    <w:sig w:usb0="00000087" w:usb1="28AF4000" w:usb2="00000016" w:usb3="00000000" w:csb0="00100009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rPr>
        <w:rFonts w:ascii="宋体" w:hAnsi="宋体"/>
        <w:sz w:val="28"/>
        <w:szCs w:val="28"/>
      </w:rPr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0BE5CB2"/>
    <w:rsid w:val="00144FBF"/>
    <w:rsid w:val="0016750E"/>
    <w:rsid w:val="001F4CA7"/>
    <w:rsid w:val="0033036E"/>
    <w:rsid w:val="003B27EC"/>
    <w:rsid w:val="010A0B3A"/>
    <w:rsid w:val="03982EDD"/>
    <w:rsid w:val="049575E1"/>
    <w:rsid w:val="073335F0"/>
    <w:rsid w:val="07D45592"/>
    <w:rsid w:val="07F603D6"/>
    <w:rsid w:val="089E63F5"/>
    <w:rsid w:val="08CB6970"/>
    <w:rsid w:val="0AB156D5"/>
    <w:rsid w:val="0B643A4A"/>
    <w:rsid w:val="0D431A72"/>
    <w:rsid w:val="0DC50EEF"/>
    <w:rsid w:val="0F9667A3"/>
    <w:rsid w:val="11013F3A"/>
    <w:rsid w:val="14A70DEA"/>
    <w:rsid w:val="189604CD"/>
    <w:rsid w:val="1975265B"/>
    <w:rsid w:val="1A7310AA"/>
    <w:rsid w:val="1CA312FB"/>
    <w:rsid w:val="1F982DA2"/>
    <w:rsid w:val="23934FB0"/>
    <w:rsid w:val="251B140A"/>
    <w:rsid w:val="28B6607C"/>
    <w:rsid w:val="2B3B1609"/>
    <w:rsid w:val="2B566B2B"/>
    <w:rsid w:val="2BC930F1"/>
    <w:rsid w:val="2BE92193"/>
    <w:rsid w:val="2D0D7258"/>
    <w:rsid w:val="2E0323D2"/>
    <w:rsid w:val="2F1B1F67"/>
    <w:rsid w:val="30082497"/>
    <w:rsid w:val="304E1ECF"/>
    <w:rsid w:val="30CF636F"/>
    <w:rsid w:val="31135ABD"/>
    <w:rsid w:val="328C1EA5"/>
    <w:rsid w:val="32BA4A68"/>
    <w:rsid w:val="337D1C8D"/>
    <w:rsid w:val="340930F8"/>
    <w:rsid w:val="342C7362"/>
    <w:rsid w:val="36F0494D"/>
    <w:rsid w:val="37527B82"/>
    <w:rsid w:val="377716E0"/>
    <w:rsid w:val="3A6219C5"/>
    <w:rsid w:val="3AB15866"/>
    <w:rsid w:val="3CA108A0"/>
    <w:rsid w:val="3CCF64F0"/>
    <w:rsid w:val="42E120E1"/>
    <w:rsid w:val="431C58E0"/>
    <w:rsid w:val="44093151"/>
    <w:rsid w:val="444C0B66"/>
    <w:rsid w:val="462E369E"/>
    <w:rsid w:val="468F4E7F"/>
    <w:rsid w:val="47A66DC9"/>
    <w:rsid w:val="4B393CB1"/>
    <w:rsid w:val="4BF33FDD"/>
    <w:rsid w:val="4BFB0F5C"/>
    <w:rsid w:val="4CF270D5"/>
    <w:rsid w:val="4E3E36B3"/>
    <w:rsid w:val="4E87530A"/>
    <w:rsid w:val="4F4C60E5"/>
    <w:rsid w:val="4FE85E63"/>
    <w:rsid w:val="501338EE"/>
    <w:rsid w:val="51A40C66"/>
    <w:rsid w:val="53D75C15"/>
    <w:rsid w:val="54C233F0"/>
    <w:rsid w:val="56B64FCA"/>
    <w:rsid w:val="57C02D25"/>
    <w:rsid w:val="593B633D"/>
    <w:rsid w:val="596E7D58"/>
    <w:rsid w:val="5A676EF1"/>
    <w:rsid w:val="5CA63C99"/>
    <w:rsid w:val="5FEE7C8E"/>
    <w:rsid w:val="6114648C"/>
    <w:rsid w:val="6321216B"/>
    <w:rsid w:val="648903E9"/>
    <w:rsid w:val="649A3F2D"/>
    <w:rsid w:val="66847D2C"/>
    <w:rsid w:val="66F43CB6"/>
    <w:rsid w:val="6749401D"/>
    <w:rsid w:val="68311DAF"/>
    <w:rsid w:val="698D3026"/>
    <w:rsid w:val="6F635EC5"/>
    <w:rsid w:val="70635E1E"/>
    <w:rsid w:val="70BE5CB2"/>
    <w:rsid w:val="71DC3E64"/>
    <w:rsid w:val="73105915"/>
    <w:rsid w:val="773B1ED1"/>
    <w:rsid w:val="79BD3997"/>
    <w:rsid w:val="79F94AA1"/>
    <w:rsid w:val="7C8876CB"/>
    <w:rsid w:val="7C9F2B6A"/>
    <w:rsid w:val="7FC62314"/>
    <w:rsid w:val="7FF643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semiHidden="0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semiHidden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cs="宋体" w:asciiTheme="minorHAnsi" w:hAnsiTheme="minorHAnsi" w:eastAsiaTheme="minorEastAsia"/>
      <w:sz w:val="21"/>
      <w:szCs w:val="22"/>
      <w:lang w:val="en-US" w:eastAsia="zh-CN" w:bidi="ar-SA"/>
    </w:rPr>
  </w:style>
  <w:style w:type="character" w:default="1" w:styleId="7">
    <w:name w:val="Default Paragraph Font"/>
    <w:unhideWhenUsed/>
    <w:qFormat/>
    <w:uiPriority w:val="1"/>
  </w:style>
  <w:style w:type="table" w:default="1" w:styleId="6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1"/>
    <w:rPr>
      <w:rFonts w:ascii="宋体" w:hAnsi="宋体" w:eastAsia="宋体" w:cs="宋体"/>
      <w:sz w:val="21"/>
      <w:szCs w:val="21"/>
      <w:lang w:val="zh-CN" w:eastAsia="zh-CN" w:bidi="zh-CN"/>
    </w:rPr>
  </w:style>
  <w:style w:type="paragraph" w:styleId="3">
    <w:name w:val="Plain Text"/>
    <w:basedOn w:val="1"/>
    <w:qFormat/>
    <w:uiPriority w:val="0"/>
    <w:rPr>
      <w:rFonts w:hint="eastAsia" w:ascii="宋体" w:hAnsi="Courier New"/>
      <w:szCs w:val="20"/>
    </w:rPr>
  </w:style>
  <w:style w:type="paragraph" w:styleId="4">
    <w:name w:val="Balloon Text"/>
    <w:basedOn w:val="1"/>
    <w:link w:val="9"/>
    <w:qFormat/>
    <w:uiPriority w:val="0"/>
    <w:rPr>
      <w:sz w:val="18"/>
      <w:szCs w:val="18"/>
    </w:rPr>
  </w:style>
  <w:style w:type="paragraph" w:styleId="5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styleId="8">
    <w:name w:val="Hyperlink"/>
    <w:basedOn w:val="7"/>
    <w:qFormat/>
    <w:uiPriority w:val="0"/>
    <w:rPr>
      <w:color w:val="0088CC"/>
      <w:u w:val="none"/>
    </w:rPr>
  </w:style>
  <w:style w:type="character" w:customStyle="1" w:styleId="9">
    <w:name w:val="批注框文本 Char"/>
    <w:basedOn w:val="7"/>
    <w:link w:val="4"/>
    <w:qFormat/>
    <w:uiPriority w:val="0"/>
    <w:rPr>
      <w:rFonts w:cs="宋体" w:asciiTheme="minorHAnsi" w:hAnsiTheme="minorHAnsi" w:eastAsiaTheme="minorEastAsia"/>
      <w:sz w:val="18"/>
      <w:szCs w:val="18"/>
    </w:rPr>
  </w:style>
  <w:style w:type="paragraph" w:customStyle="1" w:styleId="10">
    <w:name w:val="Table Paragraph"/>
    <w:basedOn w:val="1"/>
    <w:qFormat/>
    <w:uiPriority w:val="1"/>
    <w:rPr>
      <w:rFonts w:ascii="宋体" w:hAnsi="宋体" w:eastAsia="宋体" w:cs="宋体"/>
      <w:lang w:val="zh-CN" w:eastAsia="zh-CN" w:bidi="zh-CN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74</Words>
  <Characters>428</Characters>
  <Lines>3</Lines>
  <Paragraphs>1</Paragraphs>
  <TotalTime>1</TotalTime>
  <ScaleCrop>false</ScaleCrop>
  <LinksUpToDate>false</LinksUpToDate>
  <CharactersWithSpaces>501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2018-02-22T07:17:00Z</dcterms:created>
  <dc:creator>lanhui</dc:creator>
  <cp:lastModifiedBy>58F4EE7CE73B4215809E005F861357AF</cp:lastModifiedBy>
  <dcterms:modified xsi:type="dcterms:W3CDTF">2025-10-15T03:08:10Z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62A4FC05498049E080DC68520A38BA7B</vt:lpwstr>
  </property>
</Properties>
</file>