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4960BE">
      <w:pPr>
        <w:jc w:val="center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控制电缆技术规范</w:t>
      </w:r>
    </w:p>
    <w:p w14:paraId="55482410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before="60" w:beforeLines="25" w:after="60" w:afterLines="25" w:line="360" w:lineRule="auto"/>
        <w:outlineLvl w:val="1"/>
        <w:rPr>
          <w:rFonts w:eastAsia="黑体"/>
          <w:bCs/>
          <w:kern w:val="0"/>
          <w:sz w:val="28"/>
          <w:szCs w:val="21"/>
          <w:highlight w:val="none"/>
        </w:rPr>
      </w:pPr>
      <w:bookmarkStart w:id="0" w:name="_Toc18587"/>
      <w:bookmarkStart w:id="1" w:name="_Toc5905"/>
      <w:r>
        <w:rPr>
          <w:rFonts w:hint="eastAsia" w:eastAsia="黑体"/>
          <w:bCs/>
          <w:kern w:val="0"/>
          <w:sz w:val="28"/>
          <w:szCs w:val="21"/>
          <w:highlight w:val="none"/>
          <w:lang w:val="en-US" w:eastAsia="zh-CN"/>
        </w:rPr>
        <w:t>1</w:t>
      </w:r>
      <w:r>
        <w:rPr>
          <w:rFonts w:eastAsia="黑体"/>
          <w:bCs/>
          <w:kern w:val="0"/>
          <w:sz w:val="28"/>
          <w:szCs w:val="21"/>
          <w:highlight w:val="none"/>
        </w:rPr>
        <w:t>结构材料</w:t>
      </w:r>
      <w:bookmarkEnd w:id="0"/>
      <w:bookmarkEnd w:id="1"/>
    </w:p>
    <w:p w14:paraId="5D0FDC26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420" w:firstLineChars="200"/>
        <w:jc w:val="left"/>
        <w:rPr>
          <w:szCs w:val="24"/>
          <w:highlight w:val="none"/>
        </w:rPr>
      </w:pPr>
      <w:r>
        <w:rPr>
          <w:szCs w:val="24"/>
          <w:highlight w:val="none"/>
        </w:rPr>
        <w:t>电缆结构除符合GB/T 9330</w:t>
      </w:r>
      <w:r>
        <w:rPr>
          <w:rFonts w:hint="eastAsia"/>
          <w:szCs w:val="24"/>
          <w:highlight w:val="none"/>
          <w:lang w:val="en-US" w:eastAsia="zh-CN"/>
        </w:rPr>
        <w:t>-2020</w:t>
      </w:r>
      <w:r>
        <w:rPr>
          <w:szCs w:val="24"/>
          <w:highlight w:val="none"/>
        </w:rPr>
        <w:t>标准的规定外，还应满足以下要求。</w:t>
      </w:r>
    </w:p>
    <w:p w14:paraId="0447D567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360" w:lineRule="auto"/>
        <w:rPr>
          <w:szCs w:val="21"/>
          <w:highlight w:val="none"/>
        </w:rPr>
      </w:pPr>
      <w:r>
        <w:rPr>
          <w:szCs w:val="21"/>
          <w:highlight w:val="none"/>
        </w:rPr>
        <w:t>1.1 导体</w:t>
      </w:r>
    </w:p>
    <w:p w14:paraId="08BD6CED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360" w:lineRule="auto"/>
        <w:ind w:firstLine="430"/>
        <w:rPr>
          <w:szCs w:val="21"/>
          <w:highlight w:val="none"/>
        </w:rPr>
      </w:pPr>
      <w:r>
        <w:rPr>
          <w:szCs w:val="21"/>
          <w:highlight w:val="none"/>
        </w:rPr>
        <w:t>导体应是退火铜线</w:t>
      </w:r>
      <w:r>
        <w:rPr>
          <w:rFonts w:hint="eastAsia"/>
          <w:szCs w:val="21"/>
          <w:highlight w:val="none"/>
          <w:lang w:eastAsia="zh-CN"/>
        </w:rPr>
        <w:t>，耐火型控制电缆应在导体外绕包耐火云母带</w:t>
      </w:r>
      <w:r>
        <w:rPr>
          <w:szCs w:val="21"/>
          <w:highlight w:val="none"/>
        </w:rPr>
        <w:t>。</w:t>
      </w:r>
    </w:p>
    <w:p w14:paraId="2735E151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360" w:lineRule="auto"/>
        <w:rPr>
          <w:szCs w:val="21"/>
          <w:highlight w:val="none"/>
        </w:rPr>
      </w:pPr>
      <w:r>
        <w:rPr>
          <w:rFonts w:hint="eastAsia"/>
          <w:szCs w:val="21"/>
          <w:highlight w:val="none"/>
          <w:lang w:val="en-US" w:eastAsia="zh-CN"/>
        </w:rPr>
        <w:t>1</w:t>
      </w:r>
      <w:r>
        <w:rPr>
          <w:szCs w:val="21"/>
          <w:highlight w:val="none"/>
        </w:rPr>
        <w:t>.2 电缆的允许弯曲半径</w:t>
      </w:r>
    </w:p>
    <w:p w14:paraId="7A68CE6D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360" w:lineRule="auto"/>
        <w:ind w:firstLine="430"/>
        <w:rPr>
          <w:szCs w:val="21"/>
          <w:highlight w:val="none"/>
        </w:rPr>
      </w:pPr>
      <w:r>
        <w:rPr>
          <w:szCs w:val="21"/>
          <w:highlight w:val="none"/>
        </w:rPr>
        <w:t>无铠装层的电缆，应不小于电缆外径的6倍；有铠装或铜带屏蔽结构的电缆，应不小于电缆外径的12倍；有屏蔽层结构的软电缆，应不小于电缆外径的6倍。</w:t>
      </w:r>
    </w:p>
    <w:p w14:paraId="12E05B31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360" w:lineRule="auto"/>
        <w:rPr>
          <w:szCs w:val="21"/>
          <w:highlight w:val="none"/>
        </w:rPr>
      </w:pPr>
      <w:r>
        <w:rPr>
          <w:szCs w:val="21"/>
          <w:highlight w:val="none"/>
        </w:rPr>
        <w:t>1.3 绝缘</w:t>
      </w:r>
    </w:p>
    <w:p w14:paraId="253005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pacing w:line="360" w:lineRule="auto"/>
        <w:ind w:firstLine="432" w:firstLineChars="206"/>
        <w:jc w:val="left"/>
        <w:rPr>
          <w:szCs w:val="21"/>
          <w:highlight w:val="none"/>
        </w:rPr>
      </w:pPr>
      <w:r>
        <w:rPr>
          <w:szCs w:val="21"/>
          <w:highlight w:val="none"/>
        </w:rPr>
        <w:t>绝缘应紧密挤包在导体上，绝缘表面应平整，色泽均匀。且应容易剥离而不损伤绝缘体、导体或镀层。各截面绝缘标称厚度见GB/T 9330</w:t>
      </w:r>
      <w:r>
        <w:rPr>
          <w:rFonts w:hint="eastAsia"/>
          <w:szCs w:val="21"/>
          <w:highlight w:val="none"/>
          <w:lang w:val="en-US" w:eastAsia="zh-CN"/>
        </w:rPr>
        <w:t>-2020</w:t>
      </w:r>
      <w:r>
        <w:rPr>
          <w:szCs w:val="21"/>
          <w:highlight w:val="none"/>
        </w:rPr>
        <w:t xml:space="preserve">，绝缘厚度平均值最小测量值应不小于标称值。绝缘线芯应能经受GB/T 3048.9《电线电缆绝缘线芯工频火花试验方法》规定的交流50 Hz火花试验作为中间检查。绝缘线芯应采用颜色标志或数字标志以示识别，并应符合GB/T 6995.4《 电线电缆识别标志第四部分:电气装备电线电缆绝缘线芯鉴别标志》的规定。 </w:t>
      </w:r>
    </w:p>
    <w:p w14:paraId="21522F77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360" w:lineRule="auto"/>
        <w:rPr>
          <w:szCs w:val="21"/>
          <w:highlight w:val="none"/>
        </w:rPr>
      </w:pPr>
      <w:r>
        <w:rPr>
          <w:rFonts w:hint="eastAsia"/>
          <w:szCs w:val="21"/>
          <w:highlight w:val="none"/>
          <w:lang w:val="en-US" w:eastAsia="zh-CN"/>
        </w:rPr>
        <w:t>1</w:t>
      </w:r>
      <w:r>
        <w:rPr>
          <w:szCs w:val="21"/>
          <w:highlight w:val="none"/>
        </w:rPr>
        <w:t>.4 屏蔽</w:t>
      </w:r>
    </w:p>
    <w:p w14:paraId="438AA3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pacing w:line="360" w:lineRule="auto"/>
        <w:ind w:firstLine="432" w:firstLineChars="206"/>
        <w:jc w:val="left"/>
        <w:rPr>
          <w:szCs w:val="21"/>
          <w:highlight w:val="none"/>
        </w:rPr>
      </w:pPr>
      <w:r>
        <w:rPr>
          <w:szCs w:val="21"/>
          <w:highlight w:val="none"/>
        </w:rPr>
        <w:t>圆铜线编织屏蔽允许用软圆铜线或镀锡圆铜线构成，其编织密度应不小于80%。编织层不允许整体接续，露出的铜线头应修齐。每1m长度上允许更换金属线锭一次。</w:t>
      </w:r>
    </w:p>
    <w:p w14:paraId="75DF63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pacing w:line="360" w:lineRule="auto"/>
        <w:ind w:firstLine="432" w:firstLineChars="206"/>
        <w:jc w:val="left"/>
        <w:rPr>
          <w:szCs w:val="21"/>
          <w:highlight w:val="none"/>
        </w:rPr>
      </w:pPr>
      <w:r>
        <w:rPr>
          <w:szCs w:val="21"/>
          <w:highlight w:val="none"/>
        </w:rPr>
        <w:t>允许采用 0.05～0.15mm的软铜带重迭绕包。</w:t>
      </w:r>
    </w:p>
    <w:p w14:paraId="3C3236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pacing w:line="360" w:lineRule="auto"/>
        <w:ind w:firstLine="432" w:firstLineChars="206"/>
        <w:jc w:val="left"/>
        <w:rPr>
          <w:szCs w:val="21"/>
          <w:highlight w:val="none"/>
        </w:rPr>
      </w:pPr>
      <w:r>
        <w:rPr>
          <w:szCs w:val="21"/>
          <w:highlight w:val="none"/>
        </w:rPr>
        <w:t>屏蔽和缆芯之间应重迭绕包二层合适的非吸湿性带子。屏蔽后,允许绕包一层合适的非吸湿性带子。</w:t>
      </w:r>
    </w:p>
    <w:p w14:paraId="6F0BFBB8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360" w:lineRule="auto"/>
        <w:rPr>
          <w:szCs w:val="21"/>
          <w:highlight w:val="none"/>
        </w:rPr>
      </w:pPr>
      <w:r>
        <w:rPr>
          <w:szCs w:val="21"/>
          <w:highlight w:val="none"/>
        </w:rPr>
        <w:t>1.5 内衬层</w:t>
      </w:r>
    </w:p>
    <w:p w14:paraId="3C2DF71D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360" w:lineRule="auto"/>
        <w:ind w:firstLine="420" w:firstLineChars="200"/>
        <w:rPr>
          <w:szCs w:val="21"/>
          <w:highlight w:val="none"/>
        </w:rPr>
      </w:pPr>
      <w:r>
        <w:rPr>
          <w:szCs w:val="21"/>
          <w:highlight w:val="none"/>
        </w:rPr>
        <w:t>金属铠装电缆应有内衬层，内衬层可以挤包或绕包。挤包的内衬层应不粘连绝缘线芯，绕包的内衬层可以采用双层或多层重叠绕包。挤包或绕包内衬层厚度最小值应不小于GB/T 9330标准规定标称值的80%。</w:t>
      </w:r>
    </w:p>
    <w:p w14:paraId="0895D5D8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360" w:lineRule="auto"/>
        <w:rPr>
          <w:szCs w:val="21"/>
          <w:highlight w:val="none"/>
        </w:rPr>
      </w:pPr>
      <w:r>
        <w:rPr>
          <w:szCs w:val="21"/>
          <w:highlight w:val="none"/>
        </w:rPr>
        <w:t>1.6 填充物及隔离层</w:t>
      </w:r>
    </w:p>
    <w:p w14:paraId="333CFCB1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360" w:lineRule="auto"/>
        <w:ind w:firstLine="430"/>
        <w:rPr>
          <w:szCs w:val="21"/>
          <w:highlight w:val="none"/>
        </w:rPr>
      </w:pPr>
      <w:r>
        <w:rPr>
          <w:szCs w:val="21"/>
          <w:highlight w:val="none"/>
        </w:rPr>
        <w:t>绝缘线芯间的间隙允许采用非吸湿性、且适合电缆运行温度并与电缆绝缘材料相兼容的材料填充，填充物应不粘连绝缘线芯。</w:t>
      </w:r>
    </w:p>
    <w:p w14:paraId="461F7548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360" w:lineRule="auto"/>
        <w:ind w:firstLine="430"/>
        <w:rPr>
          <w:szCs w:val="21"/>
          <w:highlight w:val="none"/>
        </w:rPr>
      </w:pPr>
      <w:r>
        <w:rPr>
          <w:szCs w:val="21"/>
          <w:highlight w:val="none"/>
        </w:rPr>
        <w:t>成缆线芯和填充物可以用非吸湿性材料薄膜带绕包隔离层。</w:t>
      </w:r>
    </w:p>
    <w:p w14:paraId="428BAE03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360" w:lineRule="auto"/>
        <w:rPr>
          <w:szCs w:val="21"/>
          <w:highlight w:val="none"/>
        </w:rPr>
      </w:pPr>
      <w:r>
        <w:rPr>
          <w:szCs w:val="21"/>
          <w:highlight w:val="none"/>
        </w:rPr>
        <w:t>1.7 铠装</w:t>
      </w:r>
    </w:p>
    <w:p w14:paraId="3D88AECA">
      <w:pPr>
        <w:keepNext w:val="0"/>
        <w:keepLines w:val="0"/>
        <w:pageBreakBefore w:val="0"/>
        <w:widowControl w:val="0"/>
        <w:tabs>
          <w:tab w:val="left" w:pos="26001"/>
          <w:tab w:val="left" w:pos="30932"/>
          <w:tab w:val="left" w:pos="31600"/>
          <w:tab w:val="left" w:pos="31620"/>
          <w:tab w:val="left" w:pos="31640"/>
          <w:tab w:val="left" w:pos="31660"/>
          <w:tab w:val="left" w:pos="31680"/>
        </w:tabs>
        <w:kinsoku/>
        <w:wordWrap/>
        <w:overflowPunct/>
        <w:topLinePunct w:val="0"/>
        <w:bidi w:val="0"/>
        <w:spacing w:line="360" w:lineRule="auto"/>
        <w:ind w:firstLine="420" w:firstLineChars="200"/>
        <w:rPr>
          <w:szCs w:val="21"/>
          <w:highlight w:val="none"/>
        </w:rPr>
      </w:pPr>
      <w:r>
        <w:rPr>
          <w:szCs w:val="21"/>
          <w:highlight w:val="none"/>
        </w:rPr>
        <w:t>铠装采用双层镀锌钢带，螺旋绕包两层，外层钢带的中间大致在内层钢带间隙上方，包带间隙应不大于钢带宽度的50%。</w:t>
      </w:r>
    </w:p>
    <w:p w14:paraId="4D06C554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360" w:lineRule="auto"/>
        <w:rPr>
          <w:szCs w:val="21"/>
          <w:highlight w:val="none"/>
        </w:rPr>
      </w:pPr>
      <w:r>
        <w:rPr>
          <w:szCs w:val="21"/>
          <w:highlight w:val="none"/>
        </w:rPr>
        <w:t>1.8 外护套</w:t>
      </w:r>
    </w:p>
    <w:p w14:paraId="021610CE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360" w:lineRule="auto"/>
        <w:ind w:firstLine="430"/>
        <w:rPr>
          <w:szCs w:val="21"/>
          <w:highlight w:val="none"/>
        </w:rPr>
      </w:pPr>
      <w:r>
        <w:rPr>
          <w:szCs w:val="21"/>
          <w:highlight w:val="none"/>
        </w:rPr>
        <w:t>外护套应采用聚氯乙烯料挤包。</w:t>
      </w:r>
    </w:p>
    <w:p w14:paraId="45361536">
      <w:pPr>
        <w:keepNext w:val="0"/>
        <w:keepLines w:val="0"/>
        <w:pageBreakBefore w:val="0"/>
        <w:widowControl w:val="0"/>
        <w:tabs>
          <w:tab w:val="left" w:pos="26001"/>
          <w:tab w:val="left" w:pos="30932"/>
          <w:tab w:val="left" w:pos="31600"/>
          <w:tab w:val="left" w:pos="31620"/>
          <w:tab w:val="left" w:pos="31640"/>
          <w:tab w:val="left" w:pos="31660"/>
          <w:tab w:val="left" w:pos="31680"/>
        </w:tabs>
        <w:kinsoku/>
        <w:wordWrap/>
        <w:overflowPunct/>
        <w:topLinePunct w:val="0"/>
        <w:bidi w:val="0"/>
        <w:spacing w:line="360" w:lineRule="auto"/>
        <w:ind w:firstLine="420"/>
        <w:jc w:val="left"/>
        <w:rPr>
          <w:szCs w:val="21"/>
          <w:highlight w:val="none"/>
        </w:rPr>
      </w:pPr>
      <w:r>
        <w:rPr>
          <w:snapToGrid w:val="0"/>
          <w:kern w:val="0"/>
          <w:szCs w:val="21"/>
          <w:highlight w:val="none"/>
        </w:rPr>
        <w:t>外护套应紧密挤包在绞合的绝缘线芯、隔离层或金属铠装层（若有）上，且容易剥离而不损伤绝缘或护套。</w:t>
      </w:r>
      <w:r>
        <w:rPr>
          <w:szCs w:val="21"/>
          <w:highlight w:val="none"/>
        </w:rPr>
        <w:t>护套表面应光洁、色泽均匀。</w:t>
      </w:r>
    </w:p>
    <w:p w14:paraId="08AB4E11">
      <w:pPr>
        <w:keepNext w:val="0"/>
        <w:keepLines w:val="0"/>
        <w:pageBreakBefore w:val="0"/>
        <w:widowControl w:val="0"/>
        <w:tabs>
          <w:tab w:val="left" w:pos="26001"/>
          <w:tab w:val="left" w:pos="30932"/>
          <w:tab w:val="left" w:pos="31600"/>
          <w:tab w:val="left" w:pos="31620"/>
          <w:tab w:val="left" w:pos="31640"/>
          <w:tab w:val="left" w:pos="31660"/>
          <w:tab w:val="left" w:pos="31680"/>
        </w:tabs>
        <w:kinsoku/>
        <w:wordWrap/>
        <w:overflowPunct/>
        <w:topLinePunct w:val="0"/>
        <w:bidi w:val="0"/>
        <w:spacing w:line="360" w:lineRule="auto"/>
        <w:ind w:firstLine="420"/>
        <w:jc w:val="left"/>
        <w:rPr>
          <w:snapToGrid w:val="0"/>
          <w:kern w:val="0"/>
          <w:szCs w:val="21"/>
          <w:highlight w:val="none"/>
        </w:rPr>
      </w:pPr>
      <w:r>
        <w:rPr>
          <w:szCs w:val="21"/>
          <w:highlight w:val="none"/>
        </w:rPr>
        <w:t>外护套厚度符合GB/T 9330</w:t>
      </w:r>
      <w:r>
        <w:rPr>
          <w:rFonts w:hint="eastAsia"/>
          <w:szCs w:val="21"/>
          <w:highlight w:val="none"/>
          <w:lang w:val="en-US" w:eastAsia="zh-CN"/>
        </w:rPr>
        <w:t>-2020</w:t>
      </w:r>
      <w:r>
        <w:rPr>
          <w:szCs w:val="21"/>
          <w:highlight w:val="none"/>
        </w:rPr>
        <w:t>标准的规定。</w:t>
      </w:r>
      <w:r>
        <w:rPr>
          <w:snapToGrid w:val="0"/>
          <w:kern w:val="0"/>
          <w:szCs w:val="21"/>
          <w:highlight w:val="none"/>
        </w:rPr>
        <w:tab/>
      </w:r>
      <w:r>
        <w:rPr>
          <w:snapToGrid w:val="0"/>
          <w:kern w:val="0"/>
          <w:szCs w:val="21"/>
          <w:highlight w:val="none"/>
        </w:rPr>
        <w:t>4.1</w:t>
      </w:r>
    </w:p>
    <w:p w14:paraId="15A27811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360" w:lineRule="auto"/>
        <w:rPr>
          <w:szCs w:val="21"/>
          <w:highlight w:val="none"/>
        </w:rPr>
      </w:pPr>
      <w:r>
        <w:rPr>
          <w:szCs w:val="21"/>
          <w:highlight w:val="none"/>
        </w:rPr>
        <w:t>1.</w:t>
      </w:r>
      <w:r>
        <w:rPr>
          <w:rFonts w:hint="eastAsia"/>
          <w:szCs w:val="21"/>
          <w:highlight w:val="none"/>
          <w:lang w:val="en-US" w:eastAsia="zh-CN"/>
        </w:rPr>
        <w:t>9</w:t>
      </w:r>
      <w:r>
        <w:rPr>
          <w:szCs w:val="21"/>
          <w:highlight w:val="none"/>
        </w:rPr>
        <w:t xml:space="preserve"> 电缆阻燃要求</w:t>
      </w:r>
    </w:p>
    <w:p w14:paraId="05B718FC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360" w:lineRule="auto"/>
        <w:rPr>
          <w:rFonts w:ascii="Times New Roman" w:hAnsi="Times New Roman"/>
          <w:highlight w:val="none"/>
        </w:rPr>
      </w:pPr>
      <w:r>
        <w:rPr>
          <w:rFonts w:asciiTheme="minorHAnsi" w:hAnsiTheme="minorHAnsi" w:eastAsiaTheme="minorEastAsia" w:cstheme="minorBidi"/>
          <w:kern w:val="2"/>
          <w:sz w:val="21"/>
          <w:szCs w:val="21"/>
          <w:highlight w:val="none"/>
          <w:lang w:val="en-US" w:eastAsia="zh-CN" w:bidi="ar-SA"/>
        </w:rPr>
        <w:t>采用阻燃电缆时，电缆的阻燃特性和技术参数要求需符合GB/T 19666标准的规定。</w:t>
      </w:r>
    </w:p>
    <w:p w14:paraId="7486DBEE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before="60" w:beforeLines="25" w:after="60" w:afterLines="25" w:line="360" w:lineRule="auto"/>
        <w:outlineLvl w:val="1"/>
        <w:rPr>
          <w:rFonts w:eastAsia="黑体"/>
          <w:bCs/>
          <w:kern w:val="0"/>
          <w:sz w:val="28"/>
          <w:szCs w:val="21"/>
          <w:highlight w:val="none"/>
        </w:rPr>
      </w:pPr>
      <w:bookmarkStart w:id="2" w:name="_Toc12738"/>
      <w:bookmarkStart w:id="3" w:name="_Toc3620"/>
      <w:r>
        <w:rPr>
          <w:rFonts w:hint="eastAsia" w:eastAsia="黑体"/>
          <w:bCs/>
          <w:kern w:val="0"/>
          <w:sz w:val="28"/>
          <w:szCs w:val="21"/>
          <w:highlight w:val="none"/>
          <w:lang w:val="en-US" w:eastAsia="zh-CN"/>
        </w:rPr>
        <w:t>2</w:t>
      </w:r>
      <w:r>
        <w:rPr>
          <w:rFonts w:eastAsia="黑体"/>
          <w:bCs/>
          <w:kern w:val="0"/>
          <w:sz w:val="28"/>
          <w:szCs w:val="21"/>
          <w:highlight w:val="none"/>
        </w:rPr>
        <w:t>密封</w:t>
      </w:r>
      <w:bookmarkEnd w:id="2"/>
      <w:bookmarkEnd w:id="3"/>
    </w:p>
    <w:p w14:paraId="522C7968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420" w:firstLineChars="200"/>
        <w:jc w:val="left"/>
        <w:rPr>
          <w:szCs w:val="24"/>
          <w:highlight w:val="none"/>
        </w:rPr>
      </w:pPr>
      <w:r>
        <w:rPr>
          <w:szCs w:val="24"/>
          <w:highlight w:val="none"/>
        </w:rPr>
        <w:t>电缆端头应可靠密封。</w:t>
      </w:r>
    </w:p>
    <w:p w14:paraId="2A76FB7C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before="60" w:beforeLines="25" w:after="60" w:afterLines="25" w:line="360" w:lineRule="auto"/>
        <w:outlineLvl w:val="1"/>
        <w:rPr>
          <w:rFonts w:eastAsia="黑体"/>
          <w:bCs/>
          <w:kern w:val="0"/>
          <w:sz w:val="28"/>
          <w:szCs w:val="21"/>
          <w:highlight w:val="none"/>
        </w:rPr>
      </w:pPr>
      <w:bookmarkStart w:id="4" w:name="_Toc32543"/>
      <w:bookmarkStart w:id="5" w:name="_Toc29275"/>
      <w:r>
        <w:rPr>
          <w:rFonts w:hint="eastAsia" w:eastAsia="黑体"/>
          <w:bCs/>
          <w:kern w:val="0"/>
          <w:sz w:val="28"/>
          <w:szCs w:val="21"/>
          <w:highlight w:val="none"/>
          <w:lang w:val="en-US" w:eastAsia="zh-CN"/>
        </w:rPr>
        <w:t>3</w:t>
      </w:r>
      <w:r>
        <w:rPr>
          <w:rFonts w:eastAsia="黑体"/>
          <w:bCs/>
          <w:kern w:val="0"/>
          <w:sz w:val="28"/>
          <w:szCs w:val="21"/>
          <w:highlight w:val="none"/>
        </w:rPr>
        <w:t>试验</w:t>
      </w:r>
      <w:bookmarkEnd w:id="4"/>
      <w:bookmarkEnd w:id="5"/>
    </w:p>
    <w:p w14:paraId="51A93AF4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420" w:firstLineChars="200"/>
        <w:jc w:val="left"/>
        <w:rPr>
          <w:szCs w:val="24"/>
          <w:highlight w:val="none"/>
        </w:rPr>
      </w:pPr>
      <w:r>
        <w:rPr>
          <w:szCs w:val="24"/>
          <w:highlight w:val="none"/>
        </w:rPr>
        <w:t>对于电缆的试验及检验要按照相关标准及技术规范书进行试验。试验应在制造厂或买方指定的检验部门完成。所有试验费用应由卖方承担。</w:t>
      </w:r>
    </w:p>
    <w:p w14:paraId="2452E3CB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420" w:firstLineChars="200"/>
        <w:jc w:val="left"/>
        <w:rPr>
          <w:szCs w:val="24"/>
          <w:highlight w:val="none"/>
        </w:rPr>
      </w:pPr>
      <w:bookmarkStart w:id="6" w:name="_Toc265052585"/>
      <w:bookmarkStart w:id="7" w:name="_Toc236300725"/>
      <w:bookmarkStart w:id="8" w:name="_Toc119902302"/>
      <w:r>
        <w:rPr>
          <w:rFonts w:hint="eastAsia"/>
          <w:szCs w:val="24"/>
          <w:highlight w:val="none"/>
          <w:lang w:val="en-US" w:eastAsia="zh-CN"/>
        </w:rPr>
        <w:t>3</w:t>
      </w:r>
      <w:r>
        <w:rPr>
          <w:szCs w:val="24"/>
          <w:highlight w:val="none"/>
        </w:rPr>
        <w:t>.1 试验条件</w:t>
      </w:r>
      <w:bookmarkEnd w:id="6"/>
      <w:bookmarkEnd w:id="7"/>
      <w:bookmarkEnd w:id="8"/>
    </w:p>
    <w:p w14:paraId="73C237E9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420" w:firstLineChars="200"/>
        <w:jc w:val="left"/>
        <w:rPr>
          <w:szCs w:val="24"/>
          <w:highlight w:val="none"/>
        </w:rPr>
      </w:pPr>
      <w:r>
        <w:rPr>
          <w:szCs w:val="24"/>
          <w:highlight w:val="none"/>
        </w:rPr>
        <w:t>除个别试验另有具体规定外，其余试验应在环境温度为（20±15）℃时进行。</w:t>
      </w:r>
    </w:p>
    <w:p w14:paraId="74ABBF95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420" w:firstLineChars="200"/>
        <w:jc w:val="left"/>
        <w:rPr>
          <w:szCs w:val="24"/>
          <w:highlight w:val="none"/>
        </w:rPr>
      </w:pPr>
      <w:bookmarkStart w:id="9" w:name="_Toc265052586"/>
      <w:r>
        <w:rPr>
          <w:rFonts w:hint="eastAsia"/>
          <w:szCs w:val="24"/>
          <w:highlight w:val="none"/>
          <w:lang w:val="en-US" w:eastAsia="zh-CN"/>
        </w:rPr>
        <w:t>3.</w:t>
      </w:r>
      <w:r>
        <w:rPr>
          <w:szCs w:val="24"/>
          <w:highlight w:val="none"/>
        </w:rPr>
        <w:t>2 例行试验</w:t>
      </w:r>
      <w:bookmarkEnd w:id="9"/>
    </w:p>
    <w:p w14:paraId="65A66622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420" w:firstLineChars="200"/>
        <w:jc w:val="left"/>
        <w:rPr>
          <w:szCs w:val="24"/>
          <w:highlight w:val="none"/>
        </w:rPr>
      </w:pPr>
      <w:r>
        <w:rPr>
          <w:szCs w:val="24"/>
          <w:highlight w:val="none"/>
        </w:rPr>
        <w:t>每批电缆出厂前，制造厂必须对每盘电缆按 GB/T 9330</w:t>
      </w:r>
      <w:r>
        <w:rPr>
          <w:rFonts w:hint="eastAsia"/>
          <w:szCs w:val="24"/>
          <w:highlight w:val="none"/>
          <w:lang w:val="en-US" w:eastAsia="zh-CN"/>
        </w:rPr>
        <w:t>-2020</w:t>
      </w:r>
      <w:r>
        <w:rPr>
          <w:szCs w:val="24"/>
          <w:highlight w:val="none"/>
        </w:rPr>
        <w:t>要求进行例行试验。</w:t>
      </w:r>
    </w:p>
    <w:p w14:paraId="204203A5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420" w:firstLineChars="200"/>
        <w:jc w:val="left"/>
        <w:rPr>
          <w:szCs w:val="24"/>
          <w:highlight w:val="none"/>
        </w:rPr>
      </w:pPr>
      <w:bookmarkStart w:id="10" w:name="_Toc265052587"/>
      <w:r>
        <w:rPr>
          <w:rFonts w:hint="eastAsia"/>
          <w:szCs w:val="24"/>
          <w:highlight w:val="none"/>
          <w:lang w:val="en-US" w:eastAsia="zh-CN"/>
        </w:rPr>
        <w:t>3</w:t>
      </w:r>
      <w:r>
        <w:rPr>
          <w:szCs w:val="24"/>
          <w:highlight w:val="none"/>
        </w:rPr>
        <w:t>.3 抽样试验</w:t>
      </w:r>
      <w:bookmarkEnd w:id="10"/>
    </w:p>
    <w:p w14:paraId="565F9966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420" w:firstLineChars="200"/>
        <w:jc w:val="left"/>
        <w:rPr>
          <w:sz w:val="21"/>
          <w:szCs w:val="21"/>
          <w:highlight w:val="none"/>
        </w:rPr>
      </w:pPr>
      <w:r>
        <w:rPr>
          <w:szCs w:val="24"/>
          <w:highlight w:val="none"/>
        </w:rPr>
        <w:t>抽样试验应按GB/T 9330</w:t>
      </w:r>
      <w:r>
        <w:rPr>
          <w:rFonts w:hint="eastAsia"/>
          <w:szCs w:val="24"/>
          <w:highlight w:val="none"/>
          <w:lang w:val="en-US" w:eastAsia="zh-CN"/>
        </w:rPr>
        <w:t>-2020</w:t>
      </w:r>
      <w:r>
        <w:rPr>
          <w:szCs w:val="24"/>
          <w:highlight w:val="none"/>
        </w:rPr>
        <w:t xml:space="preserve"> 或买方要求进行。若买方有特殊需要，可另行补充。</w:t>
      </w:r>
    </w:p>
    <w:p w14:paraId="2C8C37D2">
      <w:pPr>
        <w:pStyle w:val="4"/>
        <w:ind w:left="0" w:leftChars="0" w:firstLine="0" w:firstLineChars="0"/>
        <w:rPr>
          <w:rFonts w:hint="eastAsia"/>
          <w:highlight w:val="none"/>
          <w:lang w:val="en-US" w:eastAsia="zh-CN"/>
        </w:rPr>
      </w:pPr>
      <w:bookmarkStart w:id="11" w:name="_GoBack"/>
      <w:bookmarkEnd w:id="1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EU-F1">
    <w:altName w:val="宋体"/>
    <w:panose1 w:val="00000000000000000000"/>
    <w:charset w:val="86"/>
    <w:family w:val="script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A8179B3"/>
    <w:rsid w:val="18F06267"/>
    <w:rsid w:val="3AFF1E7A"/>
    <w:rsid w:val="45C11549"/>
    <w:rsid w:val="52537143"/>
    <w:rsid w:val="7E470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2">
    <w:name w:val="heading 3"/>
    <w:basedOn w:val="1"/>
    <w:next w:val="1"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next w:val="1"/>
    <w:qFormat/>
    <w:uiPriority w:val="0"/>
    <w:pPr>
      <w:spacing w:line="500" w:lineRule="exact"/>
      <w:ind w:firstLine="420"/>
    </w:pPr>
    <w:rPr>
      <w:rFonts w:ascii="Calibri" w:hAnsi="Calibri" w:eastAsia="宋体" w:cs="Times New Roman"/>
      <w:sz w:val="28"/>
    </w:rPr>
  </w:style>
  <w:style w:type="paragraph" w:customStyle="1" w:styleId="7">
    <w:name w:val="wang正文"/>
    <w:basedOn w:val="1"/>
    <w:qFormat/>
    <w:uiPriority w:val="0"/>
    <w:pPr>
      <w:tabs>
        <w:tab w:val="left" w:pos="6840"/>
      </w:tabs>
      <w:autoSpaceDE w:val="0"/>
      <w:autoSpaceDN w:val="0"/>
      <w:adjustRightInd w:val="0"/>
      <w:spacing w:line="240" w:lineRule="auto"/>
      <w:ind w:firstLine="480" w:firstLineChars="200"/>
      <w:jc w:val="left"/>
      <w:textAlignment w:val="baseline"/>
    </w:pPr>
    <w:rPr>
      <w:rFonts w:ascii="宋体" w:hAnsi="Calibri" w:cs="Times New Roman"/>
    </w:rPr>
  </w:style>
  <w:style w:type="paragraph" w:customStyle="1" w:styleId="8">
    <w:name w:val="样式 2"/>
    <w:basedOn w:val="3"/>
    <w:qFormat/>
    <w:uiPriority w:val="0"/>
    <w:pPr>
      <w:keepNext w:val="0"/>
      <w:keepLines w:val="0"/>
      <w:spacing w:before="0" w:after="0" w:line="312" w:lineRule="exact"/>
    </w:pPr>
    <w:rPr>
      <w:rFonts w:ascii="EU-F1" w:hAnsi="Times New Roman"/>
      <w:b w:val="0"/>
      <w:sz w:val="21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2057</Words>
  <Characters>2476</Characters>
  <Lines>0</Lines>
  <Paragraphs>0</Paragraphs>
  <TotalTime>1</TotalTime>
  <ScaleCrop>false</ScaleCrop>
  <LinksUpToDate>false</LinksUpToDate>
  <CharactersWithSpaces>2656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2024-07-04T01:05:00Z</dcterms:created>
  <dc:creator>wangwei01</dc:creator>
  <cp:lastModifiedBy>王伟</cp:lastModifiedBy>
  <dcterms:modified xsi:type="dcterms:W3CDTF">2025-10-22T02:48:54Z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9592EA0A01914A26894180C32BCF9041</vt:lpwstr>
  </property>
  <property fmtid="{D5CDD505-2E9C-101B-9397-08002B2CF9AE}" pid="4" name="KSOTemplateDocerSaveRecord">
    <vt:lpwstr>eyJoZGlkIjoiYjQ2MDFlODI1ODk5Y2U3YTY0MTE2YjQzOTcxNTM1YTIiLCJ1c2VySWQiOiIxNDkyODA5NzM5In0=</vt:lpwstr>
  </property>
</Properties>
</file>