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C3C8F0">
      <w:pPr>
        <w:pStyle w:val="8"/>
        <w:jc w:val="center"/>
        <w:outlineLvl w:val="0"/>
        <w:rPr>
          <w:rFonts w:hint="default" w:ascii="仿宋" w:hAnsi="仿宋" w:eastAsia="仿宋" w:cs="仿宋"/>
          <w:color w:val="000000" w:themeColor="text1"/>
          <w:kern w:val="2"/>
          <w:sz w:val="32"/>
          <w:szCs w:val="32"/>
          <w:highlight w:val="none"/>
          <w:u w:val="single"/>
          <w:lang w:val="en-US" w:eastAsia="zh-CN" w:bidi="ar-SA"/>
          <w14:textFill>
            <w14:solidFill>
              <w14:schemeClr w14:val="tx1"/>
            </w14:solidFill>
          </w14:textFill>
        </w:rPr>
      </w:pPr>
      <w:bookmarkStart w:id="0" w:name="_Toc501202059"/>
      <w:r>
        <w:rPr>
          <w:rFonts w:hint="eastAsia" w:ascii="仿宋" w:hAnsi="仿宋" w:eastAsia="仿宋" w:cs="仿宋"/>
          <w:color w:val="000000" w:themeColor="text1"/>
          <w:kern w:val="2"/>
          <w:sz w:val="32"/>
          <w:szCs w:val="32"/>
          <w:highlight w:val="none"/>
          <w:u w:val="single"/>
          <w:lang w:val="en-US" w:eastAsia="zh-CN" w:bidi="ar-SA"/>
          <w14:textFill>
            <w14:solidFill>
              <w14:schemeClr w14:val="tx1"/>
            </w14:solidFill>
          </w14:textFill>
        </w:rPr>
        <w:t>广西博联信息通信技术有限责任公司运维部2025年南宁网区节点网络设备维护服务零星采购服务要求</w:t>
      </w:r>
    </w:p>
    <w:p w14:paraId="6F1FA7C5">
      <w:pPr>
        <w:pStyle w:val="8"/>
        <w:outlineLvl w:val="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_GB2312" w:hAnsi="仿宋_GB2312" w:eastAsia="仿宋_GB2312" w:cs="仿宋_GB2312"/>
          <w:lang w:val="en-US" w:eastAsia="zh-CN"/>
        </w:rPr>
        <w:t>1</w:t>
      </w:r>
      <w:r>
        <w:rPr>
          <w:rFonts w:hint="eastAsia" w:ascii="仿宋_GB2312" w:hAnsi="仿宋_GB2312" w:eastAsia="仿宋_GB2312" w:cs="仿宋_GB2312"/>
        </w:rPr>
        <w:t>、概述</w:t>
      </w:r>
      <w:bookmarkEnd w:id="0"/>
    </w:p>
    <w:p w14:paraId="7F1B0DEB">
      <w:pPr>
        <w:adjustRightInd w:val="0"/>
        <w:snapToGrid w:val="0"/>
        <w:spacing w:before="156" w:line="360" w:lineRule="auto"/>
        <w:ind w:firstLine="480" w:firstLineChars="200"/>
        <w:jc w:val="left"/>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本服务要求适用于广西博联信息通信技术有限责任公司（以下简称：采购人）</w:t>
      </w:r>
      <w:r>
        <w:rPr>
          <w:rFonts w:hint="eastAsia" w:ascii="仿宋" w:hAnsi="仿宋" w:eastAsia="仿宋" w:cs="仿宋"/>
          <w:color w:val="000000" w:themeColor="text1"/>
          <w:kern w:val="2"/>
          <w:sz w:val="24"/>
          <w:szCs w:val="24"/>
          <w:highlight w:val="none"/>
          <w:u w:val="single"/>
          <w:lang w:val="en-US" w:eastAsia="zh-CN" w:bidi="ar-SA"/>
          <w14:textFill>
            <w14:solidFill>
              <w14:schemeClr w14:val="tx1"/>
            </w14:solidFill>
          </w14:textFill>
        </w:rPr>
        <w:t>广西博联信息通信技术有限责任公司运维部2025年南宁网区节点网络设备维护服务零星采购</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（以下简称：本项目），本服务要求的最终解释权归采购人。</w:t>
      </w:r>
    </w:p>
    <w:p w14:paraId="30EE885B">
      <w:pPr>
        <w:pStyle w:val="9"/>
        <w:spacing w:line="360" w:lineRule="auto"/>
        <w:ind w:left="0" w:leftChars="0" w:firstLine="480" w:firstLineChars="200"/>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2）本服务要求提出了本项目需求的广度、深度和相应的技术指标要求，可供报价人编写技术响应文件之用。</w:t>
      </w:r>
    </w:p>
    <w:p w14:paraId="3FCA7144">
      <w:pPr>
        <w:pStyle w:val="9"/>
        <w:spacing w:line="360" w:lineRule="auto"/>
        <w:ind w:left="0" w:leftChars="0" w:firstLine="480" w:firstLineChars="200"/>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3） 报价人应保证所提供的所有资料真实、完整、准确无误，否则采购人将有权取消报价人的供货资格，由此产生的一切后果由报价人承担。</w:t>
      </w:r>
    </w:p>
    <w:p w14:paraId="33105DC7">
      <w:pPr>
        <w:pStyle w:val="9"/>
        <w:spacing w:line="360" w:lineRule="auto"/>
        <w:ind w:left="0" w:leftChars="0" w:firstLine="480" w:firstLineChars="200"/>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 本服务要求中带“★”符号为必要事项要求。报价人要特别加以注意，必须完全满足这些要求。</w:t>
      </w:r>
    </w:p>
    <w:p w14:paraId="5EB1890C">
      <w:pPr>
        <w:pStyle w:val="8"/>
        <w:spacing w:line="360" w:lineRule="auto"/>
        <w:outlineLvl w:val="0"/>
        <w:rPr>
          <w:rFonts w:hint="eastAsia" w:ascii="仿宋_GB2312" w:hAnsi="仿宋_GB2312" w:eastAsia="仿宋_GB2312" w:cs="仿宋_GB2312"/>
        </w:rPr>
      </w:pPr>
      <w:bookmarkStart w:id="1" w:name="_Toc501202060"/>
      <w:r>
        <w:rPr>
          <w:rFonts w:hint="eastAsia" w:ascii="仿宋_GB2312" w:hAnsi="仿宋_GB2312" w:eastAsia="仿宋_GB2312" w:cs="仿宋_GB2312"/>
          <w:lang w:val="en-US" w:eastAsia="zh-CN"/>
        </w:rPr>
        <w:t>2</w:t>
      </w:r>
      <w:r>
        <w:rPr>
          <w:rFonts w:hint="eastAsia" w:ascii="仿宋_GB2312" w:hAnsi="仿宋_GB2312" w:eastAsia="仿宋_GB2312" w:cs="仿宋_GB2312"/>
        </w:rPr>
        <w:t>、定义</w:t>
      </w:r>
      <w:bookmarkEnd w:id="1"/>
    </w:p>
    <w:p w14:paraId="548585A1">
      <w:pPr>
        <w:pStyle w:val="9"/>
        <w:spacing w:line="360" w:lineRule="auto"/>
        <w:rPr>
          <w:rFonts w:hint="eastAsia" w:ascii="仿宋" w:hAnsi="仿宋" w:eastAsia="仿宋" w:cs="仿宋"/>
          <w:sz w:val="24"/>
          <w:szCs w:val="24"/>
        </w:rPr>
      </w:pPr>
      <w:r>
        <w:rPr>
          <w:rFonts w:hint="eastAsia" w:ascii="仿宋" w:hAnsi="仿宋" w:eastAsia="仿宋" w:cs="仿宋"/>
          <w:sz w:val="24"/>
          <w:szCs w:val="24"/>
          <w:lang w:eastAsia="zh-CN"/>
        </w:rPr>
        <w:t>采购人</w:t>
      </w:r>
      <w:r>
        <w:rPr>
          <w:rFonts w:hint="eastAsia" w:ascii="仿宋" w:hAnsi="仿宋" w:eastAsia="仿宋" w:cs="仿宋"/>
          <w:sz w:val="24"/>
          <w:szCs w:val="24"/>
        </w:rPr>
        <w:t>：广西博联信息通信技术有限责任公司。</w:t>
      </w:r>
    </w:p>
    <w:p w14:paraId="4B436EF5">
      <w:pPr>
        <w:pStyle w:val="9"/>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报价人</w:t>
      </w:r>
      <w:r>
        <w:rPr>
          <w:rFonts w:hint="eastAsia" w:ascii="仿宋" w:hAnsi="仿宋" w:eastAsia="仿宋" w:cs="仿宋"/>
          <w:sz w:val="24"/>
          <w:szCs w:val="24"/>
        </w:rPr>
        <w:t>：</w:t>
      </w:r>
      <w:r>
        <w:rPr>
          <w:rFonts w:hint="eastAsia" w:ascii="仿宋" w:hAnsi="仿宋" w:eastAsia="仿宋" w:cs="仿宋"/>
          <w:sz w:val="24"/>
          <w:szCs w:val="24"/>
          <w:lang w:val="en-US" w:eastAsia="zh-CN"/>
        </w:rPr>
        <w:t>本项目服务提供单位</w:t>
      </w:r>
    </w:p>
    <w:p w14:paraId="18EC5BEB">
      <w:pPr>
        <w:pStyle w:val="9"/>
        <w:spacing w:line="360" w:lineRule="auto"/>
        <w:rPr>
          <w:rFonts w:hint="eastAsia" w:ascii="仿宋" w:hAnsi="仿宋" w:eastAsia="仿宋" w:cs="仿宋"/>
          <w:color w:val="000000" w:themeColor="text1"/>
          <w:sz w:val="24"/>
          <w:szCs w:val="24"/>
          <w:highlight w:val="none"/>
          <w14:textFill>
            <w14:solidFill>
              <w14:schemeClr w14:val="tx1"/>
            </w14:solidFill>
          </w14:textFill>
        </w:rPr>
      </w:pPr>
    </w:p>
    <w:p w14:paraId="29E517E4">
      <w:pPr>
        <w:pStyle w:val="8"/>
        <w:spacing w:line="360" w:lineRule="auto"/>
        <w:outlineLvl w:val="0"/>
        <w:rPr>
          <w:rFonts w:hint="eastAsia" w:ascii="仿宋" w:hAnsi="仿宋" w:eastAsia="仿宋" w:cs="仿宋"/>
          <w:color w:val="000000" w:themeColor="text1"/>
          <w:sz w:val="24"/>
          <w:szCs w:val="24"/>
          <w:highlight w:val="none"/>
          <w:lang w:eastAsia="zh-CN"/>
          <w14:textFill>
            <w14:solidFill>
              <w14:schemeClr w14:val="tx1"/>
            </w14:solidFill>
          </w14:textFill>
        </w:rPr>
      </w:pPr>
      <w:bookmarkStart w:id="2" w:name="_Toc501202061"/>
      <w:r>
        <w:rPr>
          <w:rFonts w:hint="eastAsia" w:ascii="仿宋_GB2312" w:hAnsi="仿宋_GB2312" w:eastAsia="仿宋_GB2312" w:cs="仿宋_GB2312"/>
          <w:lang w:val="en-US" w:eastAsia="zh-CN"/>
        </w:rPr>
        <w:t>3</w:t>
      </w:r>
      <w:r>
        <w:rPr>
          <w:rFonts w:hint="eastAsia" w:ascii="仿宋_GB2312" w:hAnsi="仿宋_GB2312" w:eastAsia="仿宋_GB2312" w:cs="仿宋_GB2312"/>
        </w:rPr>
        <w:t>、</w:t>
      </w:r>
      <w:r>
        <w:rPr>
          <w:rFonts w:hint="eastAsia" w:ascii="仿宋" w:hAnsi="仿宋" w:eastAsia="仿宋" w:cs="仿宋"/>
          <w:color w:val="000000" w:themeColor="text1"/>
          <w:sz w:val="24"/>
          <w:szCs w:val="24"/>
          <w:highlight w:val="none"/>
          <w14:textFill>
            <w14:solidFill>
              <w14:schemeClr w14:val="tx1"/>
            </w14:solidFill>
          </w14:textFill>
        </w:rPr>
        <w:t>采购范围</w:t>
      </w:r>
      <w:bookmarkEnd w:id="2"/>
      <w:r>
        <w:rPr>
          <w:rFonts w:hint="eastAsia" w:ascii="仿宋" w:hAnsi="仿宋" w:eastAsia="仿宋" w:cs="仿宋"/>
          <w:color w:val="000000" w:themeColor="text1"/>
          <w:sz w:val="24"/>
          <w:szCs w:val="24"/>
          <w:highlight w:val="none"/>
          <w:lang w:val="en-US" w:eastAsia="zh-CN"/>
          <w14:textFill>
            <w14:solidFill>
              <w14:schemeClr w14:val="tx1"/>
            </w14:solidFill>
          </w14:textFill>
        </w:rPr>
        <w:t>和内容</w:t>
      </w:r>
    </w:p>
    <w:p w14:paraId="04D36111">
      <w:pPr>
        <w:spacing w:line="360" w:lineRule="auto"/>
        <w:ind w:left="158" w:leftChars="75" w:firstLine="480" w:firstLineChars="200"/>
        <w:rPr>
          <w:rFonts w:hint="eastAsia" w:ascii="仿宋" w:hAnsi="仿宋" w:eastAsia="仿宋" w:cs="仿宋"/>
          <w:color w:val="000000" w:themeColor="text1"/>
          <w:sz w:val="24"/>
          <w:szCs w:val="24"/>
          <w:highlight w:val="none"/>
          <w14:textFill>
            <w14:solidFill>
              <w14:schemeClr w14:val="tx1"/>
            </w14:solidFill>
          </w14:textFill>
        </w:rPr>
      </w:pPr>
      <w:bookmarkStart w:id="3" w:name="_Toc501202062"/>
      <w:r>
        <w:rPr>
          <w:rFonts w:hint="eastAsia" w:ascii="仿宋" w:hAnsi="仿宋" w:eastAsia="仿宋" w:cs="仿宋"/>
          <w:b w:val="0"/>
          <w:bCs w:val="0"/>
          <w:color w:val="000000" w:themeColor="text1"/>
          <w:kern w:val="2"/>
          <w:sz w:val="24"/>
          <w:szCs w:val="24"/>
          <w:highlight w:val="none"/>
          <w:lang w:val="en-US" w:eastAsia="zh-CN" w:bidi="ar-SA"/>
          <w14:textFill>
            <w14:solidFill>
              <w14:schemeClr w14:val="tx1"/>
            </w14:solidFill>
          </w14:textFill>
        </w:rPr>
        <w:t>本次</w:t>
      </w:r>
      <w:r>
        <w:rPr>
          <w:rFonts w:hint="eastAsia" w:ascii="仿宋" w:hAnsi="仿宋" w:eastAsia="仿宋" w:cs="仿宋"/>
          <w:color w:val="000000" w:themeColor="text1"/>
          <w:kern w:val="2"/>
          <w:sz w:val="24"/>
          <w:szCs w:val="24"/>
          <w:highlight w:val="none"/>
          <w:u w:val="single"/>
          <w:lang w:val="en-US" w:eastAsia="zh-CN" w:bidi="ar-SA"/>
          <w14:textFill>
            <w14:solidFill>
              <w14:schemeClr w14:val="tx1"/>
            </w14:solidFill>
          </w14:textFill>
        </w:rPr>
        <w:t>广西博联信息通信技术有限责任公司运维部2025年南宁网区节点网络设备维护服务零星采购</w:t>
      </w:r>
      <w:r>
        <w:rPr>
          <w:rFonts w:hint="eastAsia" w:ascii="仿宋" w:hAnsi="仿宋" w:eastAsia="仿宋" w:cs="仿宋"/>
          <w:b w:val="0"/>
          <w:bCs w:val="0"/>
          <w:color w:val="000000" w:themeColor="text1"/>
          <w:kern w:val="2"/>
          <w:sz w:val="24"/>
          <w:szCs w:val="24"/>
          <w:highlight w:val="none"/>
          <w:lang w:val="en-US" w:eastAsia="zh-CN" w:bidi="ar-SA"/>
          <w14:textFill>
            <w14:solidFill>
              <w14:schemeClr w14:val="tx1"/>
            </w14:solidFill>
          </w14:textFill>
        </w:rPr>
        <w:t>采购范围和内容如下。</w:t>
      </w:r>
    </w:p>
    <w:tbl>
      <w:tblPr>
        <w:tblStyle w:val="6"/>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5632"/>
        <w:gridCol w:w="990"/>
        <w:gridCol w:w="1095"/>
      </w:tblGrid>
      <w:tr w14:paraId="0730C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812" w:type="dxa"/>
            <w:tcBorders>
              <w:top w:val="single" w:color="auto" w:sz="4" w:space="0"/>
              <w:left w:val="single" w:color="auto" w:sz="4" w:space="0"/>
              <w:bottom w:val="single" w:color="auto" w:sz="4" w:space="0"/>
              <w:right w:val="single" w:color="auto" w:sz="4" w:space="0"/>
            </w:tcBorders>
            <w:vAlign w:val="top"/>
          </w:tcPr>
          <w:p w14:paraId="4B7FB681">
            <w:pPr>
              <w:spacing w:line="360" w:lineRule="auto"/>
              <w:ind w:left="0" w:leftChars="0" w:firstLine="0" w:firstLineChars="0"/>
              <w:jc w:val="both"/>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序号</w:t>
            </w:r>
          </w:p>
        </w:tc>
        <w:tc>
          <w:tcPr>
            <w:tcW w:w="5632" w:type="dxa"/>
            <w:tcBorders>
              <w:top w:val="single" w:color="auto" w:sz="4" w:space="0"/>
              <w:left w:val="single" w:color="auto" w:sz="4" w:space="0"/>
              <w:bottom w:val="single" w:color="auto" w:sz="4" w:space="0"/>
              <w:right w:val="single" w:color="auto" w:sz="4" w:space="0"/>
            </w:tcBorders>
            <w:vAlign w:val="center"/>
          </w:tcPr>
          <w:p w14:paraId="4D9211D8">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内容</w:t>
            </w:r>
          </w:p>
        </w:tc>
        <w:tc>
          <w:tcPr>
            <w:tcW w:w="990" w:type="dxa"/>
            <w:tcBorders>
              <w:top w:val="single" w:color="auto" w:sz="4" w:space="0"/>
              <w:left w:val="single" w:color="auto" w:sz="4" w:space="0"/>
              <w:bottom w:val="single" w:color="auto" w:sz="4" w:space="0"/>
              <w:right w:val="single" w:color="auto" w:sz="4" w:space="0"/>
            </w:tcBorders>
            <w:vAlign w:val="center"/>
          </w:tcPr>
          <w:p w14:paraId="0269C97B">
            <w:pPr>
              <w:spacing w:line="360" w:lineRule="auto"/>
              <w:ind w:left="0" w:leftChars="0" w:firstLine="0" w:firstLineChars="0"/>
              <w:jc w:val="both"/>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数量</w:t>
            </w:r>
          </w:p>
        </w:tc>
        <w:tc>
          <w:tcPr>
            <w:tcW w:w="1095" w:type="dxa"/>
            <w:tcBorders>
              <w:top w:val="single" w:color="auto" w:sz="4" w:space="0"/>
              <w:left w:val="single" w:color="auto" w:sz="4" w:space="0"/>
              <w:bottom w:val="single" w:color="auto" w:sz="4" w:space="0"/>
              <w:right w:val="single" w:color="auto" w:sz="4" w:space="0"/>
            </w:tcBorders>
            <w:vAlign w:val="center"/>
          </w:tcPr>
          <w:p w14:paraId="06884324">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单位</w:t>
            </w:r>
          </w:p>
        </w:tc>
      </w:tr>
      <w:tr w14:paraId="16E0F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812" w:type="dxa"/>
            <w:tcBorders>
              <w:top w:val="single" w:color="auto" w:sz="4" w:space="0"/>
              <w:left w:val="single" w:color="auto" w:sz="4" w:space="0"/>
              <w:bottom w:val="single" w:color="auto" w:sz="4" w:space="0"/>
              <w:right w:val="single" w:color="auto" w:sz="4" w:space="0"/>
            </w:tcBorders>
            <w:vAlign w:val="center"/>
          </w:tcPr>
          <w:p w14:paraId="7BFC94D3">
            <w:pPr>
              <w:spacing w:line="360" w:lineRule="auto"/>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p>
        </w:tc>
        <w:tc>
          <w:tcPr>
            <w:tcW w:w="5632" w:type="dxa"/>
            <w:tcBorders>
              <w:top w:val="single" w:color="auto" w:sz="4" w:space="0"/>
              <w:left w:val="single" w:color="auto" w:sz="4" w:space="0"/>
              <w:bottom w:val="single" w:color="auto" w:sz="4" w:space="0"/>
              <w:right w:val="single" w:color="auto" w:sz="4" w:space="0"/>
            </w:tcBorders>
            <w:vAlign w:val="center"/>
          </w:tcPr>
          <w:p w14:paraId="3A3502FB">
            <w:pPr>
              <w:spacing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协助</w:t>
            </w:r>
            <w:r>
              <w:rPr>
                <w:rFonts w:hint="eastAsia" w:ascii="仿宋" w:hAnsi="仿宋" w:eastAsia="仿宋" w:cs="仿宋"/>
                <w:color w:val="000000" w:themeColor="text1"/>
                <w:sz w:val="24"/>
                <w:szCs w:val="24"/>
                <w:highlight w:val="none"/>
                <w14:textFill>
                  <w14:solidFill>
                    <w14:schemeClr w14:val="tx1"/>
                  </w14:solidFill>
                </w14:textFill>
              </w:rPr>
              <w:t>设备巡检</w:t>
            </w:r>
          </w:p>
        </w:tc>
        <w:tc>
          <w:tcPr>
            <w:tcW w:w="990" w:type="dxa"/>
            <w:tcBorders>
              <w:top w:val="single" w:color="auto" w:sz="4" w:space="0"/>
              <w:left w:val="single" w:color="auto" w:sz="4" w:space="0"/>
              <w:bottom w:val="single" w:color="auto" w:sz="4" w:space="0"/>
              <w:right w:val="single" w:color="auto" w:sz="4" w:space="0"/>
            </w:tcBorders>
            <w:vAlign w:val="center"/>
          </w:tcPr>
          <w:p w14:paraId="7ADE73F8">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1095" w:type="dxa"/>
            <w:tcBorders>
              <w:top w:val="single" w:color="auto" w:sz="4" w:space="0"/>
              <w:left w:val="single" w:color="auto" w:sz="4" w:space="0"/>
              <w:bottom w:val="single" w:color="auto" w:sz="4" w:space="0"/>
              <w:right w:val="single" w:color="auto" w:sz="4" w:space="0"/>
            </w:tcBorders>
            <w:vAlign w:val="center"/>
          </w:tcPr>
          <w:p w14:paraId="0996F463">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项</w:t>
            </w:r>
          </w:p>
        </w:tc>
      </w:tr>
      <w:tr w14:paraId="65E98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812" w:type="dxa"/>
            <w:tcBorders>
              <w:top w:val="single" w:color="auto" w:sz="4" w:space="0"/>
              <w:left w:val="single" w:color="auto" w:sz="4" w:space="0"/>
              <w:bottom w:val="single" w:color="auto" w:sz="4" w:space="0"/>
              <w:right w:val="single" w:color="auto" w:sz="4" w:space="0"/>
            </w:tcBorders>
            <w:vAlign w:val="center"/>
          </w:tcPr>
          <w:p w14:paraId="132CB958">
            <w:pPr>
              <w:spacing w:line="360" w:lineRule="auto"/>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p>
        </w:tc>
        <w:tc>
          <w:tcPr>
            <w:tcW w:w="5632" w:type="dxa"/>
            <w:tcBorders>
              <w:top w:val="single" w:color="auto" w:sz="4" w:space="0"/>
              <w:left w:val="single" w:color="auto" w:sz="4" w:space="0"/>
              <w:bottom w:val="single" w:color="auto" w:sz="4" w:space="0"/>
              <w:right w:val="single" w:color="auto" w:sz="4" w:space="0"/>
            </w:tcBorders>
            <w:vAlign w:val="center"/>
          </w:tcPr>
          <w:p w14:paraId="1A35BA52">
            <w:pPr>
              <w:spacing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协助</w:t>
            </w:r>
            <w:r>
              <w:rPr>
                <w:rFonts w:hint="eastAsia" w:ascii="仿宋" w:hAnsi="仿宋" w:eastAsia="仿宋" w:cs="仿宋"/>
                <w:color w:val="000000" w:themeColor="text1"/>
                <w:sz w:val="24"/>
                <w:szCs w:val="24"/>
                <w:highlight w:val="none"/>
                <w14:textFill>
                  <w14:solidFill>
                    <w14:schemeClr w14:val="tx1"/>
                  </w14:solidFill>
                </w14:textFill>
              </w:rPr>
              <w:t>故障诊断及排除</w:t>
            </w:r>
          </w:p>
        </w:tc>
        <w:tc>
          <w:tcPr>
            <w:tcW w:w="990" w:type="dxa"/>
            <w:tcBorders>
              <w:top w:val="single" w:color="auto" w:sz="4" w:space="0"/>
              <w:left w:val="single" w:color="auto" w:sz="4" w:space="0"/>
              <w:bottom w:val="single" w:color="auto" w:sz="4" w:space="0"/>
              <w:right w:val="single" w:color="auto" w:sz="4" w:space="0"/>
            </w:tcBorders>
            <w:vAlign w:val="center"/>
          </w:tcPr>
          <w:p w14:paraId="7FAE129B">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1095" w:type="dxa"/>
            <w:tcBorders>
              <w:top w:val="single" w:color="auto" w:sz="4" w:space="0"/>
              <w:left w:val="single" w:color="auto" w:sz="4" w:space="0"/>
              <w:bottom w:val="single" w:color="auto" w:sz="4" w:space="0"/>
              <w:right w:val="single" w:color="auto" w:sz="4" w:space="0"/>
            </w:tcBorders>
            <w:vAlign w:val="center"/>
          </w:tcPr>
          <w:p w14:paraId="38392479">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项</w:t>
            </w:r>
          </w:p>
        </w:tc>
      </w:tr>
      <w:tr w14:paraId="13AE2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812" w:type="dxa"/>
            <w:tcBorders>
              <w:top w:val="single" w:color="auto" w:sz="4" w:space="0"/>
              <w:left w:val="single" w:color="auto" w:sz="4" w:space="0"/>
              <w:bottom w:val="single" w:color="auto" w:sz="4" w:space="0"/>
              <w:right w:val="single" w:color="auto" w:sz="4" w:space="0"/>
            </w:tcBorders>
            <w:vAlign w:val="center"/>
          </w:tcPr>
          <w:p w14:paraId="1B74D0A4">
            <w:pPr>
              <w:spacing w:line="360" w:lineRule="auto"/>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p>
        </w:tc>
        <w:tc>
          <w:tcPr>
            <w:tcW w:w="5632" w:type="dxa"/>
            <w:tcBorders>
              <w:top w:val="single" w:color="auto" w:sz="4" w:space="0"/>
              <w:left w:val="single" w:color="auto" w:sz="4" w:space="0"/>
              <w:bottom w:val="single" w:color="auto" w:sz="4" w:space="0"/>
              <w:right w:val="single" w:color="auto" w:sz="4" w:space="0"/>
            </w:tcBorders>
            <w:vAlign w:val="center"/>
          </w:tcPr>
          <w:p w14:paraId="0C5EDF45">
            <w:pPr>
              <w:spacing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协助</w:t>
            </w:r>
            <w:r>
              <w:rPr>
                <w:rFonts w:hint="eastAsia" w:ascii="仿宋" w:hAnsi="仿宋" w:eastAsia="仿宋" w:cs="仿宋"/>
                <w:color w:val="000000" w:themeColor="text1"/>
                <w:sz w:val="24"/>
                <w:szCs w:val="24"/>
                <w:highlight w:val="none"/>
                <w14:textFill>
                  <w14:solidFill>
                    <w14:schemeClr w14:val="tx1"/>
                  </w14:solidFill>
                </w14:textFill>
              </w:rPr>
              <w:t>配置完善与安全加固</w:t>
            </w:r>
          </w:p>
        </w:tc>
        <w:tc>
          <w:tcPr>
            <w:tcW w:w="990" w:type="dxa"/>
            <w:tcBorders>
              <w:top w:val="single" w:color="auto" w:sz="4" w:space="0"/>
              <w:left w:val="single" w:color="auto" w:sz="4" w:space="0"/>
              <w:bottom w:val="single" w:color="auto" w:sz="4" w:space="0"/>
              <w:right w:val="single" w:color="auto" w:sz="4" w:space="0"/>
            </w:tcBorders>
            <w:vAlign w:val="center"/>
          </w:tcPr>
          <w:p w14:paraId="5DC74496">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1095" w:type="dxa"/>
            <w:tcBorders>
              <w:top w:val="single" w:color="auto" w:sz="4" w:space="0"/>
              <w:left w:val="single" w:color="auto" w:sz="4" w:space="0"/>
              <w:bottom w:val="single" w:color="auto" w:sz="4" w:space="0"/>
              <w:right w:val="single" w:color="auto" w:sz="4" w:space="0"/>
            </w:tcBorders>
            <w:vAlign w:val="center"/>
          </w:tcPr>
          <w:p w14:paraId="0A537BEC">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项</w:t>
            </w:r>
          </w:p>
        </w:tc>
      </w:tr>
      <w:tr w14:paraId="3A3EB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812" w:type="dxa"/>
            <w:tcBorders>
              <w:top w:val="single" w:color="auto" w:sz="4" w:space="0"/>
              <w:left w:val="single" w:color="auto" w:sz="4" w:space="0"/>
              <w:bottom w:val="single" w:color="auto" w:sz="4" w:space="0"/>
              <w:right w:val="single" w:color="auto" w:sz="4" w:space="0"/>
            </w:tcBorders>
            <w:vAlign w:val="center"/>
          </w:tcPr>
          <w:p w14:paraId="7F44E410">
            <w:pPr>
              <w:spacing w:line="360" w:lineRule="auto"/>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p>
        </w:tc>
        <w:tc>
          <w:tcPr>
            <w:tcW w:w="5632" w:type="dxa"/>
            <w:tcBorders>
              <w:top w:val="single" w:color="auto" w:sz="4" w:space="0"/>
              <w:left w:val="single" w:color="auto" w:sz="4" w:space="0"/>
              <w:bottom w:val="single" w:color="auto" w:sz="4" w:space="0"/>
              <w:right w:val="single" w:color="auto" w:sz="4" w:space="0"/>
            </w:tcBorders>
            <w:vAlign w:val="center"/>
          </w:tcPr>
          <w:p w14:paraId="0183929E">
            <w:pPr>
              <w:spacing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协助</w:t>
            </w:r>
            <w:r>
              <w:rPr>
                <w:rFonts w:hint="eastAsia" w:ascii="仿宋" w:hAnsi="仿宋" w:eastAsia="仿宋" w:cs="仿宋"/>
                <w:color w:val="000000" w:themeColor="text1"/>
                <w:sz w:val="24"/>
                <w:szCs w:val="24"/>
                <w:highlight w:val="none"/>
                <w14:textFill>
                  <w14:solidFill>
                    <w14:schemeClr w14:val="tx1"/>
                  </w14:solidFill>
                </w14:textFill>
              </w:rPr>
              <w:t>设备异动运维</w:t>
            </w:r>
          </w:p>
        </w:tc>
        <w:tc>
          <w:tcPr>
            <w:tcW w:w="990" w:type="dxa"/>
            <w:tcBorders>
              <w:top w:val="single" w:color="auto" w:sz="4" w:space="0"/>
              <w:left w:val="single" w:color="auto" w:sz="4" w:space="0"/>
              <w:bottom w:val="single" w:color="auto" w:sz="4" w:space="0"/>
              <w:right w:val="single" w:color="auto" w:sz="4" w:space="0"/>
            </w:tcBorders>
            <w:vAlign w:val="center"/>
          </w:tcPr>
          <w:p w14:paraId="670D4668">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1095" w:type="dxa"/>
            <w:tcBorders>
              <w:top w:val="single" w:color="auto" w:sz="4" w:space="0"/>
              <w:left w:val="single" w:color="auto" w:sz="4" w:space="0"/>
              <w:bottom w:val="single" w:color="auto" w:sz="4" w:space="0"/>
              <w:right w:val="single" w:color="auto" w:sz="4" w:space="0"/>
            </w:tcBorders>
            <w:vAlign w:val="center"/>
          </w:tcPr>
          <w:p w14:paraId="0493F7AC">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项</w:t>
            </w:r>
          </w:p>
        </w:tc>
      </w:tr>
    </w:tbl>
    <w:p w14:paraId="11189297">
      <w:pPr>
        <w:spacing w:line="360" w:lineRule="auto"/>
        <w:ind w:firstLine="480" w:firstLineChars="200"/>
        <w:jc w:val="both"/>
        <w:rPr>
          <w:rFonts w:hint="eastAsia" w:ascii="仿宋" w:hAnsi="仿宋" w:eastAsia="仿宋" w:cs="仿宋"/>
          <w:color w:val="000000" w:themeColor="text1"/>
          <w:sz w:val="24"/>
          <w:szCs w:val="24"/>
          <w:highlight w:val="none"/>
          <w14:textFill>
            <w14:solidFill>
              <w14:schemeClr w14:val="tx1"/>
            </w14:solidFill>
          </w14:textFill>
        </w:rPr>
      </w:pPr>
    </w:p>
    <w:p w14:paraId="64C39C3B">
      <w:pPr>
        <w:spacing w:line="360" w:lineRule="auto"/>
        <w:ind w:firstLine="480" w:firstLineChars="200"/>
        <w:jc w:val="both"/>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本项目服务期：合同签订之日起至2025年11月21日</w:t>
      </w:r>
    </w:p>
    <w:p w14:paraId="17DAEEFE">
      <w:pPr>
        <w:spacing w:line="360" w:lineRule="auto"/>
        <w:ind w:firstLine="480" w:firstLineChars="200"/>
        <w:jc w:val="both"/>
        <w:rPr>
          <w:rFonts w:hint="default" w:ascii="仿宋" w:hAnsi="仿宋" w:eastAsia="仿宋" w:cs="仿宋"/>
          <w:color w:val="000000" w:themeColor="text1"/>
          <w:sz w:val="24"/>
          <w:szCs w:val="24"/>
          <w:highlight w:val="none"/>
          <w:lang w:val="en-US" w:eastAsia="zh-CN"/>
          <w14:textFill>
            <w14:solidFill>
              <w14:schemeClr w14:val="tx1"/>
            </w14:solidFill>
          </w14:textFill>
        </w:rPr>
      </w:pPr>
    </w:p>
    <w:bookmarkEnd w:id="3"/>
    <w:p w14:paraId="7207EF78">
      <w:pPr>
        <w:pStyle w:val="8"/>
        <w:numPr>
          <w:ilvl w:val="0"/>
          <w:numId w:val="0"/>
        </w:numPr>
        <w:spacing w:line="360" w:lineRule="auto"/>
        <w:outlineLvl w:val="0"/>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微软雅黑" w:hAnsi="微软雅黑" w:eastAsia="微软雅黑" w:cs="微软雅黑"/>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团队要求</w:t>
      </w:r>
    </w:p>
    <w:p w14:paraId="4172588E">
      <w:pPr>
        <w:pStyle w:val="10"/>
        <w:numPr>
          <w:ilvl w:val="2"/>
          <w:numId w:val="0"/>
        </w:numPr>
        <w:bidi w:val="0"/>
        <w:spacing w:line="360" w:lineRule="auto"/>
        <w:ind w:left="0" w:leftChars="0" w:firstLine="0" w:firstLineChars="0"/>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bookmarkStart w:id="4" w:name="_Toc501202063"/>
      <w:bookmarkStart w:id="5" w:name="_Toc300816580"/>
      <w:bookmarkStart w:id="6" w:name="_Toc299720409"/>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4.1 </w:t>
      </w:r>
      <w:r>
        <w:rPr>
          <w:rFonts w:hint="eastAsia" w:ascii="微软雅黑" w:hAnsi="微软雅黑" w:eastAsia="微软雅黑" w:cs="微软雅黑"/>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团队成员</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具有丰富相关系统维护经验、有独立处理技术问题能力的工程师组成专门的维护服务工程师团队进行专项服务，必须实际参与本合同的维护服务工作，日常应至少指派驻场人员1人，机动人员不少于5人。项目机动人员需7*24小时待命，采购人发出请求时需2小时到场提供服务。</w:t>
      </w:r>
    </w:p>
    <w:p w14:paraId="0A0FE90B">
      <w:pPr>
        <w:pStyle w:val="10"/>
        <w:numPr>
          <w:ilvl w:val="2"/>
          <w:numId w:val="0"/>
        </w:numPr>
        <w:bidi w:val="0"/>
        <w:spacing w:line="360" w:lineRule="auto"/>
        <w:ind w:left="0" w:leftChars="0" w:firstLine="0" w:firstLineChars="0"/>
        <w:rPr>
          <w:rFonts w:hint="default"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 xml:space="preserve">4.2 </w:t>
      </w:r>
      <w:r>
        <w:rPr>
          <w:rFonts w:hint="eastAsia" w:ascii="微软雅黑" w:hAnsi="微软雅黑" w:eastAsia="微软雅黑" w:cs="微软雅黑"/>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若遇到特殊网络保障工作，报价人应指派驻场人员参与7*24小时值班工作。</w:t>
      </w:r>
    </w:p>
    <w:p w14:paraId="4AD3C736">
      <w:pPr>
        <w:pStyle w:val="10"/>
        <w:numPr>
          <w:ilvl w:val="2"/>
          <w:numId w:val="0"/>
        </w:numPr>
        <w:bidi w:val="0"/>
        <w:spacing w:line="360" w:lineRule="auto"/>
        <w:ind w:left="0" w:leftChars="0" w:firstLine="0" w:firstLineChars="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4.3 </w:t>
      </w:r>
      <w:r>
        <w:rPr>
          <w:rFonts w:hint="eastAsia" w:ascii="微软雅黑" w:hAnsi="微软雅黑" w:eastAsia="微软雅黑" w:cs="微软雅黑"/>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报价人</w:t>
      </w:r>
      <w:r>
        <w:rPr>
          <w:rFonts w:hint="eastAsia" w:ascii="仿宋" w:hAnsi="仿宋" w:eastAsia="仿宋" w:cs="仿宋"/>
          <w:color w:val="000000" w:themeColor="text1"/>
          <w:sz w:val="24"/>
          <w:szCs w:val="24"/>
          <w:highlight w:val="none"/>
          <w14:textFill>
            <w14:solidFill>
              <w14:schemeClr w14:val="tx1"/>
            </w14:solidFill>
          </w14:textFill>
        </w:rPr>
        <w:t>若更换服务人员，需</w:t>
      </w:r>
      <w:r>
        <w:rPr>
          <w:rFonts w:hint="eastAsia" w:ascii="仿宋" w:hAnsi="仿宋" w:eastAsia="仿宋" w:cs="仿宋"/>
          <w:color w:val="000000" w:themeColor="text1"/>
          <w:sz w:val="24"/>
          <w:szCs w:val="24"/>
          <w:highlight w:val="none"/>
          <w:lang w:val="en-US" w:eastAsia="zh-CN"/>
          <w14:textFill>
            <w14:solidFill>
              <w14:schemeClr w14:val="tx1"/>
            </w14:solidFill>
          </w14:textFill>
        </w:rPr>
        <w:t>书面申请并</w:t>
      </w:r>
      <w:r>
        <w:rPr>
          <w:rFonts w:hint="eastAsia" w:ascii="仿宋" w:hAnsi="仿宋" w:eastAsia="仿宋" w:cs="仿宋"/>
          <w:color w:val="000000" w:themeColor="text1"/>
          <w:sz w:val="24"/>
          <w:szCs w:val="24"/>
          <w:highlight w:val="none"/>
          <w14:textFill>
            <w14:solidFill>
              <w14:schemeClr w14:val="tx1"/>
            </w14:solidFill>
          </w14:textFill>
        </w:rPr>
        <w:t>经</w:t>
      </w:r>
      <w:r>
        <w:rPr>
          <w:rFonts w:hint="eastAsia" w:ascii="仿宋" w:hAnsi="仿宋" w:eastAsia="仿宋" w:cs="仿宋"/>
          <w:color w:val="000000" w:themeColor="text1"/>
          <w:sz w:val="24"/>
          <w:szCs w:val="24"/>
          <w:highlight w:val="none"/>
          <w:lang w:eastAsia="zh-CN"/>
          <w14:textFill>
            <w14:solidFill>
              <w14:schemeClr w14:val="tx1"/>
            </w14:solidFill>
          </w14:textFill>
        </w:rPr>
        <w:t>采购人</w:t>
      </w:r>
      <w:r>
        <w:rPr>
          <w:rFonts w:hint="eastAsia" w:ascii="仿宋" w:hAnsi="仿宋" w:eastAsia="仿宋" w:cs="仿宋"/>
          <w:color w:val="000000" w:themeColor="text1"/>
          <w:sz w:val="24"/>
          <w:szCs w:val="24"/>
          <w:highlight w:val="none"/>
          <w14:textFill>
            <w14:solidFill>
              <w14:schemeClr w14:val="tx1"/>
            </w14:solidFill>
          </w14:textFill>
        </w:rPr>
        <w:t>同意，且更换的服务人员应</w:t>
      </w:r>
      <w:r>
        <w:rPr>
          <w:rFonts w:hint="eastAsia" w:ascii="仿宋" w:hAnsi="仿宋" w:eastAsia="仿宋" w:cs="仿宋"/>
          <w:color w:val="000000" w:themeColor="text1"/>
          <w:sz w:val="24"/>
          <w:szCs w:val="24"/>
          <w:highlight w:val="none"/>
          <w:lang w:val="en-US" w:eastAsia="zh-CN"/>
          <w14:textFill>
            <w14:solidFill>
              <w14:schemeClr w14:val="tx1"/>
            </w14:solidFill>
          </w14:textFill>
        </w:rPr>
        <w:t>在</w:t>
      </w:r>
      <w:r>
        <w:rPr>
          <w:rFonts w:hint="eastAsia" w:ascii="仿宋" w:hAnsi="仿宋" w:eastAsia="仿宋" w:cs="仿宋"/>
          <w:color w:val="000000" w:themeColor="text1"/>
          <w:sz w:val="24"/>
          <w:szCs w:val="24"/>
          <w:highlight w:val="none"/>
          <w14:textFill>
            <w14:solidFill>
              <w14:schemeClr w14:val="tx1"/>
            </w14:solidFill>
          </w14:textFill>
        </w:rPr>
        <w:t>经验、资格、能力</w:t>
      </w:r>
      <w:r>
        <w:rPr>
          <w:rFonts w:hint="eastAsia" w:ascii="仿宋" w:hAnsi="仿宋" w:eastAsia="仿宋" w:cs="仿宋"/>
          <w:color w:val="000000" w:themeColor="text1"/>
          <w:sz w:val="24"/>
          <w:szCs w:val="24"/>
          <w:highlight w:val="none"/>
          <w:lang w:val="en-US" w:eastAsia="zh-CN"/>
          <w14:textFill>
            <w14:solidFill>
              <w14:schemeClr w14:val="tx1"/>
            </w14:solidFill>
          </w14:textFill>
        </w:rPr>
        <w:t>方面</w:t>
      </w:r>
      <w:r>
        <w:rPr>
          <w:rFonts w:hint="eastAsia" w:ascii="仿宋" w:hAnsi="仿宋" w:eastAsia="仿宋" w:cs="仿宋"/>
          <w:color w:val="000000" w:themeColor="text1"/>
          <w:sz w:val="24"/>
          <w:szCs w:val="24"/>
          <w:highlight w:val="none"/>
          <w14:textFill>
            <w14:solidFill>
              <w14:schemeClr w14:val="tx1"/>
            </w14:solidFill>
          </w14:textFill>
        </w:rPr>
        <w:t>相当</w:t>
      </w:r>
      <w:r>
        <w:rPr>
          <w:rFonts w:hint="eastAsia" w:ascii="仿宋" w:hAnsi="仿宋" w:eastAsia="仿宋" w:cs="仿宋"/>
          <w:color w:val="000000" w:themeColor="text1"/>
          <w:sz w:val="24"/>
          <w:szCs w:val="24"/>
          <w:highlight w:val="none"/>
          <w:lang w:val="en-US" w:eastAsia="zh-CN"/>
          <w14:textFill>
            <w14:solidFill>
              <w14:schemeClr w14:val="tx1"/>
            </w14:solidFill>
          </w14:textFill>
        </w:rPr>
        <w:t>或高于</w:t>
      </w:r>
      <w:r>
        <w:rPr>
          <w:rFonts w:hint="eastAsia" w:ascii="仿宋" w:hAnsi="仿宋" w:eastAsia="仿宋" w:cs="仿宋"/>
          <w:color w:val="000000" w:themeColor="text1"/>
          <w:sz w:val="24"/>
          <w:szCs w:val="24"/>
          <w:highlight w:val="none"/>
          <w14:textFill>
            <w14:solidFill>
              <w14:schemeClr w14:val="tx1"/>
            </w14:solidFill>
          </w14:textFill>
        </w:rPr>
        <w:t>原人员。</w:t>
      </w:r>
    </w:p>
    <w:bookmarkEnd w:id="4"/>
    <w:p w14:paraId="35962250">
      <w:pPr>
        <w:bidi w:val="0"/>
        <w:rPr>
          <w:rFonts w:hint="eastAsia"/>
        </w:rPr>
      </w:pPr>
    </w:p>
    <w:p w14:paraId="503CC2E3">
      <w:pPr>
        <w:pStyle w:val="8"/>
        <w:numPr>
          <w:ilvl w:val="0"/>
          <w:numId w:val="0"/>
        </w:numPr>
        <w:spacing w:line="360" w:lineRule="auto"/>
        <w:outlineLvl w:val="0"/>
        <w:rPr>
          <w:rFonts w:hint="default" w:ascii="仿宋" w:hAnsi="仿宋" w:eastAsia="仿宋" w:cs="仿宋"/>
          <w:color w:val="000000" w:themeColor="text1"/>
          <w:sz w:val="24"/>
          <w:szCs w:val="24"/>
          <w:highlight w:val="none"/>
          <w:lang w:val="en-US"/>
          <w14:textFill>
            <w14:solidFill>
              <w14:schemeClr w14:val="tx1"/>
            </w14:solidFill>
          </w14:textFill>
        </w:rPr>
      </w:pPr>
      <w:r>
        <w:rPr>
          <w:rFonts w:hint="eastAsia"/>
          <w:lang w:val="en-US" w:eastAsia="zh-CN"/>
        </w:rPr>
        <w:t>5、服务要求</w:t>
      </w:r>
    </w:p>
    <w:p w14:paraId="7D0C0D97">
      <w:pPr>
        <w:pStyle w:val="4"/>
        <w:numPr>
          <w:ilvl w:val="0"/>
          <w:numId w:val="0"/>
        </w:numPr>
        <w:tabs>
          <w:tab w:val="left" w:pos="0"/>
        </w:tabs>
        <w:spacing w:line="360" w:lineRule="auto"/>
        <w:ind w:leftChars="0"/>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5.1协助设备巡检</w:t>
      </w:r>
    </w:p>
    <w:p w14:paraId="346F71C7">
      <w:pPr>
        <w:numPr>
          <w:ilvl w:val="0"/>
          <w:numId w:val="0"/>
        </w:numPr>
        <w:spacing w:line="360" w:lineRule="auto"/>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5.1.1 报价人协助采购人</w:t>
      </w:r>
      <w:r>
        <w:rPr>
          <w:rFonts w:hint="eastAsia" w:ascii="仿宋" w:hAnsi="仿宋" w:eastAsia="仿宋" w:cs="仿宋"/>
          <w:color w:val="000000" w:themeColor="text1"/>
          <w:sz w:val="24"/>
          <w:szCs w:val="24"/>
          <w:highlight w:val="none"/>
          <w:lang w:val="zh-CN"/>
          <w14:textFill>
            <w14:solidFill>
              <w14:schemeClr w14:val="tx1"/>
            </w14:solidFill>
          </w14:textFill>
        </w:rPr>
        <w:t>对</w:t>
      </w:r>
      <w:r>
        <w:rPr>
          <w:rFonts w:hint="eastAsia" w:ascii="仿宋" w:hAnsi="仿宋" w:eastAsia="仿宋" w:cs="仿宋"/>
          <w:color w:val="000000" w:themeColor="text1"/>
          <w:sz w:val="24"/>
          <w:szCs w:val="24"/>
          <w:highlight w:val="none"/>
          <w:lang w:val="en-US" w:eastAsia="zh-CN"/>
          <w14:textFill>
            <w14:solidFill>
              <w14:schemeClr w14:val="tx1"/>
            </w14:solidFill>
          </w14:textFill>
        </w:rPr>
        <w:t>现场网络设备开展巡检服务，协助采购人检查设备运行状态、设备配置备份、安全配置核查。</w:t>
      </w:r>
    </w:p>
    <w:p w14:paraId="33E17352">
      <w:pPr>
        <w:pStyle w:val="10"/>
        <w:numPr>
          <w:ilvl w:val="2"/>
          <w:numId w:val="0"/>
        </w:numPr>
        <w:spacing w:line="360" w:lineRule="auto"/>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5.1.2报价人协助采购人观察各类</w:t>
      </w:r>
      <w:r>
        <w:rPr>
          <w:rFonts w:hint="eastAsia" w:ascii="仿宋" w:hAnsi="仿宋" w:eastAsia="仿宋" w:cs="仿宋"/>
          <w:color w:val="000000" w:themeColor="text1"/>
          <w:sz w:val="24"/>
          <w:szCs w:val="24"/>
          <w:highlight w:val="none"/>
          <w:lang w:val="zh-CN"/>
          <w14:textFill>
            <w14:solidFill>
              <w14:schemeClr w14:val="tx1"/>
            </w14:solidFill>
          </w14:textFill>
        </w:rPr>
        <w:t>关键设备的运行情况，</w:t>
      </w:r>
      <w:r>
        <w:rPr>
          <w:rFonts w:hint="eastAsia" w:ascii="仿宋" w:hAnsi="仿宋" w:eastAsia="仿宋" w:cs="仿宋"/>
          <w:color w:val="000000" w:themeColor="text1"/>
          <w:sz w:val="24"/>
          <w:szCs w:val="24"/>
          <w:highlight w:val="none"/>
          <w:lang w:val="en-US" w:eastAsia="zh-CN"/>
          <w14:textFill>
            <w14:solidFill>
              <w14:schemeClr w14:val="tx1"/>
            </w14:solidFill>
          </w14:textFill>
        </w:rPr>
        <w:t>协助</w:t>
      </w:r>
      <w:r>
        <w:rPr>
          <w:rFonts w:hint="eastAsia" w:ascii="仿宋" w:hAnsi="仿宋" w:eastAsia="仿宋" w:cs="仿宋"/>
          <w:color w:val="000000" w:themeColor="text1"/>
          <w:sz w:val="24"/>
          <w:szCs w:val="24"/>
          <w:highlight w:val="none"/>
          <w:lang w:val="zh-CN"/>
          <w14:textFill>
            <w14:solidFill>
              <w14:schemeClr w14:val="tx1"/>
            </w14:solidFill>
          </w14:textFill>
        </w:rPr>
        <w:t>监测和周期度量风险隐患、发现设备风险，</w:t>
      </w:r>
      <w:r>
        <w:rPr>
          <w:rFonts w:hint="eastAsia" w:ascii="仿宋" w:hAnsi="仿宋" w:eastAsia="仿宋" w:cs="仿宋"/>
          <w:color w:val="000000" w:themeColor="text1"/>
          <w:sz w:val="24"/>
          <w:szCs w:val="24"/>
          <w:highlight w:val="none"/>
          <w:lang w:val="en-US" w:eastAsia="zh-CN"/>
          <w14:textFill>
            <w14:solidFill>
              <w14:schemeClr w14:val="tx1"/>
            </w14:solidFill>
          </w14:textFill>
        </w:rPr>
        <w:t>发现风险时及时告知采购人</w:t>
      </w:r>
      <w:r>
        <w:rPr>
          <w:rFonts w:hint="eastAsia" w:ascii="仿宋" w:hAnsi="仿宋" w:eastAsia="仿宋" w:cs="仿宋"/>
          <w:color w:val="000000" w:themeColor="text1"/>
          <w:sz w:val="24"/>
          <w:szCs w:val="24"/>
          <w:highlight w:val="none"/>
          <w:lang w:val="zh-CN"/>
          <w14:textFill>
            <w14:solidFill>
              <w14:schemeClr w14:val="tx1"/>
            </w14:solidFill>
          </w14:textFill>
        </w:rPr>
        <w:t>。</w:t>
      </w:r>
    </w:p>
    <w:p w14:paraId="0E561874">
      <w:pPr>
        <w:pStyle w:val="10"/>
        <w:numPr>
          <w:ilvl w:val="2"/>
          <w:numId w:val="0"/>
        </w:numP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5.1.3 </w:t>
      </w:r>
      <w:r>
        <w:rPr>
          <w:rFonts w:hint="eastAsia" w:ascii="微软雅黑" w:hAnsi="微软雅黑" w:eastAsia="微软雅黑" w:cs="微软雅黑"/>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报价人协助采购人开展自动化脚本设备巡检工作，报价人派出的服务人员应具备自动化巡检脚本编写及使用能力，对运维现场网络节点设备品牌及型号编写相应脚本、并开展部署使用工作。</w:t>
      </w:r>
    </w:p>
    <w:bookmarkEnd w:id="5"/>
    <w:bookmarkEnd w:id="6"/>
    <w:p w14:paraId="010EF112">
      <w:pPr>
        <w:pStyle w:val="4"/>
        <w:numPr>
          <w:ilvl w:val="0"/>
          <w:numId w:val="0"/>
        </w:numPr>
        <w:tabs>
          <w:tab w:val="left" w:pos="0"/>
        </w:tabs>
        <w:spacing w:line="360" w:lineRule="auto"/>
        <w:ind w:leftChars="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5.2协助</w:t>
      </w:r>
      <w:r>
        <w:rPr>
          <w:rFonts w:hint="eastAsia" w:ascii="仿宋" w:hAnsi="仿宋" w:eastAsia="仿宋" w:cs="仿宋"/>
          <w:color w:val="000000" w:themeColor="text1"/>
          <w:sz w:val="24"/>
          <w:szCs w:val="24"/>
          <w:highlight w:val="none"/>
          <w14:textFill>
            <w14:solidFill>
              <w14:schemeClr w14:val="tx1"/>
            </w14:solidFill>
          </w14:textFill>
        </w:rPr>
        <w:t>故障诊断及排除</w:t>
      </w:r>
    </w:p>
    <w:p w14:paraId="47F1A298">
      <w:pPr>
        <w:pStyle w:val="10"/>
        <w:numPr>
          <w:ilvl w:val="2"/>
          <w:numId w:val="0"/>
        </w:numPr>
        <w:spacing w:line="360" w:lineRule="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 xml:space="preserve">5.2.1 </w:t>
      </w:r>
      <w:r>
        <w:rPr>
          <w:rFonts w:hint="eastAsia" w:ascii="仿宋" w:hAnsi="仿宋" w:eastAsia="仿宋" w:cs="仿宋"/>
          <w:color w:val="000000" w:themeColor="text1"/>
          <w:sz w:val="24"/>
          <w:szCs w:val="24"/>
          <w:highlight w:val="none"/>
          <w:lang w:val="en-US" w:eastAsia="zh-CN"/>
          <w14:textFill>
            <w14:solidFill>
              <w14:schemeClr w14:val="tx1"/>
            </w14:solidFill>
          </w14:textFill>
        </w:rPr>
        <w:t>报价人</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协助</w:t>
      </w:r>
      <w:r>
        <w:rPr>
          <w:rFonts w:hint="eastAsia" w:ascii="仿宋" w:hAnsi="仿宋" w:eastAsia="仿宋" w:cs="仿宋"/>
          <w:color w:val="000000" w:themeColor="text1"/>
          <w:sz w:val="24"/>
          <w:szCs w:val="24"/>
          <w:highlight w:val="none"/>
          <w:lang w:val="zh-CN"/>
          <w14:textFill>
            <w14:solidFill>
              <w14:schemeClr w14:val="tx1"/>
            </w14:solidFill>
          </w14:textFill>
        </w:rPr>
        <w:t>观察</w:t>
      </w:r>
      <w:r>
        <w:rPr>
          <w:rFonts w:hint="eastAsia" w:ascii="仿宋" w:hAnsi="仿宋" w:eastAsia="仿宋" w:cs="仿宋"/>
          <w:color w:val="000000" w:themeColor="text1"/>
          <w:sz w:val="24"/>
          <w:szCs w:val="24"/>
          <w:highlight w:val="none"/>
          <w:lang w:val="en-US" w:eastAsia="zh-CN"/>
          <w14:textFill>
            <w14:solidFill>
              <w14:schemeClr w14:val="tx1"/>
            </w14:solidFill>
          </w14:textFill>
        </w:rPr>
        <w:t>各类网络</w:t>
      </w:r>
      <w:r>
        <w:rPr>
          <w:rFonts w:hint="eastAsia" w:ascii="仿宋" w:hAnsi="仿宋" w:eastAsia="仿宋" w:cs="仿宋"/>
          <w:color w:val="000000" w:themeColor="text1"/>
          <w:sz w:val="24"/>
          <w:szCs w:val="24"/>
          <w:highlight w:val="none"/>
          <w:lang w:val="zh-CN"/>
          <w14:textFill>
            <w14:solidFill>
              <w14:schemeClr w14:val="tx1"/>
            </w14:solidFill>
          </w14:textFill>
        </w:rPr>
        <w:t>设备运行情况，</w:t>
      </w:r>
      <w:r>
        <w:rPr>
          <w:rFonts w:hint="eastAsia" w:ascii="仿宋" w:hAnsi="仿宋" w:eastAsia="仿宋" w:cs="仿宋"/>
          <w:color w:val="000000" w:themeColor="text1"/>
          <w:sz w:val="24"/>
          <w:szCs w:val="24"/>
          <w:highlight w:val="none"/>
          <w:lang w:val="en-US" w:eastAsia="zh-CN"/>
          <w14:textFill>
            <w14:solidFill>
              <w14:schemeClr w14:val="tx1"/>
            </w14:solidFill>
          </w14:textFill>
        </w:rPr>
        <w:t>有故障情况时及时告知采购人</w:t>
      </w:r>
      <w:r>
        <w:rPr>
          <w:rFonts w:hint="eastAsia" w:ascii="仿宋" w:hAnsi="仿宋" w:eastAsia="仿宋" w:cs="仿宋"/>
          <w:color w:val="000000" w:themeColor="text1"/>
          <w:sz w:val="24"/>
          <w:szCs w:val="24"/>
          <w:highlight w:val="none"/>
          <w:lang w:val="zh-CN"/>
          <w14:textFill>
            <w14:solidFill>
              <w14:schemeClr w14:val="tx1"/>
            </w14:solidFill>
          </w14:textFill>
        </w:rPr>
        <w:t>。</w:t>
      </w:r>
    </w:p>
    <w:p w14:paraId="4CB36DA5">
      <w:pPr>
        <w:pStyle w:val="10"/>
        <w:numPr>
          <w:ilvl w:val="2"/>
          <w:numId w:val="0"/>
        </w:numPr>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5.2.2 当采购人确认设备故障后，报价人协助采购人开展故障处理及排除。</w:t>
      </w:r>
    </w:p>
    <w:p w14:paraId="588EE6E0">
      <w:pPr>
        <w:pStyle w:val="4"/>
        <w:numPr>
          <w:ilvl w:val="0"/>
          <w:numId w:val="0"/>
        </w:numPr>
        <w:tabs>
          <w:tab w:val="left" w:pos="0"/>
        </w:tabs>
        <w:spacing w:line="360" w:lineRule="auto"/>
        <w:ind w:leftChars="0"/>
        <w:rPr>
          <w:rFonts w:hint="eastAsia" w:ascii="仿宋" w:hAnsi="仿宋" w:eastAsia="仿宋" w:cs="仿宋"/>
          <w:color w:val="000000" w:themeColor="text1"/>
          <w:sz w:val="24"/>
          <w:szCs w:val="24"/>
          <w:highlight w:val="none"/>
          <w:lang w:val="en-US" w:eastAsia="zh-CN"/>
          <w14:textFill>
            <w14:solidFill>
              <w14:schemeClr w14:val="tx1"/>
            </w14:solidFill>
          </w14:textFill>
        </w:rPr>
      </w:pPr>
      <w:bookmarkStart w:id="7" w:name="_Toc18439"/>
      <w:r>
        <w:rPr>
          <w:rFonts w:hint="eastAsia" w:ascii="仿宋" w:hAnsi="仿宋" w:eastAsia="仿宋" w:cs="仿宋"/>
          <w:color w:val="000000" w:themeColor="text1"/>
          <w:sz w:val="24"/>
          <w:szCs w:val="24"/>
          <w:highlight w:val="none"/>
          <w:lang w:val="en-US" w:eastAsia="zh-CN"/>
          <w14:textFill>
            <w14:solidFill>
              <w14:schemeClr w14:val="tx1"/>
            </w14:solidFill>
          </w14:textFill>
        </w:rPr>
        <w:t>5.</w:t>
      </w:r>
      <w:bookmarkEnd w:id="7"/>
      <w:r>
        <w:rPr>
          <w:rFonts w:hint="eastAsia" w:ascii="仿宋" w:hAnsi="仿宋" w:eastAsia="仿宋" w:cs="仿宋"/>
          <w:color w:val="000000" w:themeColor="text1"/>
          <w:sz w:val="24"/>
          <w:szCs w:val="24"/>
          <w:highlight w:val="none"/>
          <w:lang w:val="en-US" w:eastAsia="zh-CN"/>
          <w14:textFill>
            <w14:solidFill>
              <w14:schemeClr w14:val="tx1"/>
            </w14:solidFill>
          </w14:textFill>
        </w:rPr>
        <w:t>3协助</w:t>
      </w:r>
      <w:r>
        <w:rPr>
          <w:rFonts w:hint="eastAsia" w:ascii="仿宋" w:hAnsi="仿宋" w:eastAsia="仿宋" w:cs="仿宋"/>
          <w:color w:val="000000" w:themeColor="text1"/>
          <w:sz w:val="24"/>
          <w:szCs w:val="24"/>
          <w:highlight w:val="none"/>
          <w14:textFill>
            <w14:solidFill>
              <w14:schemeClr w14:val="tx1"/>
            </w14:solidFill>
          </w14:textFill>
        </w:rPr>
        <w:t>配置完善与安全加固</w:t>
      </w:r>
    </w:p>
    <w:p w14:paraId="4A3FFD82">
      <w:pPr>
        <w:pStyle w:val="10"/>
        <w:numPr>
          <w:ilvl w:val="2"/>
          <w:numId w:val="0"/>
        </w:numPr>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5.3.1 </w:t>
      </w:r>
      <w:bookmarkStart w:id="8" w:name="_Toc426385738"/>
      <w:bookmarkStart w:id="9" w:name="_Toc448136413"/>
      <w:r>
        <w:rPr>
          <w:rFonts w:hint="eastAsia" w:ascii="仿宋" w:hAnsi="仿宋" w:eastAsia="仿宋" w:cs="仿宋"/>
          <w:color w:val="000000" w:themeColor="text1"/>
          <w:sz w:val="24"/>
          <w:szCs w:val="24"/>
          <w:highlight w:val="none"/>
          <w:lang w:val="en-US" w:eastAsia="zh-CN"/>
          <w14:textFill>
            <w14:solidFill>
              <w14:schemeClr w14:val="tx1"/>
            </w14:solidFill>
          </w14:textFill>
        </w:rPr>
        <w:t>根据网安全基线及各项管理、合规要求，报价人需协助采购人对网络设备配置进行完善；</w:t>
      </w:r>
    </w:p>
    <w:p w14:paraId="25DE6944">
      <w:pPr>
        <w:pStyle w:val="10"/>
        <w:numPr>
          <w:ilvl w:val="2"/>
          <w:numId w:val="0"/>
        </w:num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5.3.2 </w:t>
      </w:r>
      <w:bookmarkEnd w:id="8"/>
      <w:bookmarkEnd w:id="9"/>
      <w:r>
        <w:rPr>
          <w:rFonts w:hint="eastAsia" w:ascii="仿宋" w:hAnsi="仿宋" w:eastAsia="仿宋" w:cs="仿宋"/>
          <w:color w:val="000000" w:themeColor="text1"/>
          <w:sz w:val="24"/>
          <w:szCs w:val="24"/>
          <w:highlight w:val="none"/>
          <w:lang w:val="en-US" w:eastAsia="zh-CN"/>
          <w14:textFill>
            <w14:solidFill>
              <w14:schemeClr w14:val="tx1"/>
            </w14:solidFill>
          </w14:textFill>
        </w:rPr>
        <w:t>依据上级部门安全通告中发现的新型安全漏洞</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报价人协助采购人</w:t>
      </w:r>
      <w:r>
        <w:rPr>
          <w:rFonts w:hint="eastAsia" w:ascii="仿宋" w:hAnsi="仿宋" w:eastAsia="仿宋" w:cs="仿宋"/>
          <w:color w:val="000000" w:themeColor="text1"/>
          <w:sz w:val="24"/>
          <w:szCs w:val="24"/>
          <w:highlight w:val="none"/>
          <w14:textFill>
            <w14:solidFill>
              <w14:schemeClr w14:val="tx1"/>
            </w14:solidFill>
          </w14:textFill>
        </w:rPr>
        <w:t>落实具体预防性</w:t>
      </w:r>
      <w:r>
        <w:rPr>
          <w:rFonts w:hint="eastAsia" w:ascii="仿宋" w:hAnsi="仿宋" w:eastAsia="仿宋" w:cs="仿宋"/>
          <w:color w:val="000000" w:themeColor="text1"/>
          <w:sz w:val="24"/>
          <w:szCs w:val="24"/>
          <w:highlight w:val="none"/>
          <w:lang w:val="en-US" w:eastAsia="zh-CN"/>
          <w14:textFill>
            <w14:solidFill>
              <w14:schemeClr w14:val="tx1"/>
            </w14:solidFill>
          </w14:textFill>
        </w:rPr>
        <w:t>安全加固</w:t>
      </w:r>
      <w:r>
        <w:rPr>
          <w:rFonts w:hint="eastAsia" w:ascii="仿宋" w:hAnsi="仿宋" w:eastAsia="仿宋" w:cs="仿宋"/>
          <w:color w:val="000000" w:themeColor="text1"/>
          <w:sz w:val="24"/>
          <w:szCs w:val="24"/>
          <w:highlight w:val="none"/>
          <w14:textFill>
            <w14:solidFill>
              <w14:schemeClr w14:val="tx1"/>
            </w14:solidFill>
          </w14:textFill>
        </w:rPr>
        <w:t>措施。</w:t>
      </w:r>
    </w:p>
    <w:p w14:paraId="5D18CDA1">
      <w:pPr>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5.3.3报价人依据采购人需求协助对局域网 IPV6 建设涉及到的网络设备版本升级与协助安全加固；</w:t>
      </w:r>
    </w:p>
    <w:p w14:paraId="3D9A2C49">
      <w:pPr>
        <w:spacing w:line="360" w:lineRule="auto"/>
        <w:ind w:firstLine="480" w:firstLineChars="200"/>
        <w:rPr>
          <w:rFonts w:hint="eastAsia" w:ascii="仿宋" w:hAnsi="仿宋" w:eastAsia="仿宋" w:cs="仿宋"/>
          <w:color w:val="000000" w:themeColor="text1"/>
          <w:sz w:val="24"/>
          <w:szCs w:val="24"/>
          <w:highlight w:val="none"/>
          <w:lang w:val="en-US" w:eastAsia="zh-CN"/>
          <w14:textFill>
            <w14:solidFill>
              <w14:schemeClr w14:val="tx1"/>
            </w14:solidFill>
          </w14:textFill>
        </w:rPr>
      </w:pPr>
    </w:p>
    <w:p w14:paraId="6C37445B">
      <w:pPr>
        <w:pStyle w:val="4"/>
        <w:numPr>
          <w:ilvl w:val="0"/>
          <w:numId w:val="0"/>
        </w:numPr>
        <w:tabs>
          <w:tab w:val="left" w:pos="0"/>
        </w:tabs>
        <w:spacing w:line="360" w:lineRule="auto"/>
        <w:ind w:leftChars="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5.4协助设备异动运维</w:t>
      </w:r>
    </w:p>
    <w:p w14:paraId="32E19B3B">
      <w:pPr>
        <w:numPr>
          <w:ilvl w:val="0"/>
          <w:numId w:val="0"/>
        </w:numPr>
        <w:spacing w:line="360" w:lineRule="auto"/>
        <w:ind w:leftChars="0" w:firstLine="240" w:firstLineChars="100"/>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为</w:t>
      </w:r>
      <w:r>
        <w:rPr>
          <w:rFonts w:hint="eastAsia" w:ascii="仿宋" w:hAnsi="仿宋" w:eastAsia="仿宋" w:cs="仿宋"/>
          <w:color w:val="000000" w:themeColor="text1"/>
          <w:sz w:val="24"/>
          <w:szCs w:val="24"/>
          <w:highlight w:val="none"/>
          <w14:textFill>
            <w14:solidFill>
              <w14:schemeClr w14:val="tx1"/>
            </w14:solidFill>
          </w14:textFill>
        </w:rPr>
        <w:t>保证</w:t>
      </w:r>
      <w:r>
        <w:rPr>
          <w:rFonts w:hint="eastAsia" w:ascii="仿宋" w:hAnsi="仿宋" w:eastAsia="仿宋" w:cs="仿宋"/>
          <w:color w:val="000000" w:themeColor="text1"/>
          <w:sz w:val="24"/>
          <w:szCs w:val="24"/>
          <w:highlight w:val="none"/>
          <w:lang w:val="en-US" w:eastAsia="zh-CN"/>
          <w14:textFill>
            <w14:solidFill>
              <w14:schemeClr w14:val="tx1"/>
            </w14:solidFill>
          </w14:textFill>
        </w:rPr>
        <w:t>南宁网区的信息</w:t>
      </w:r>
      <w:r>
        <w:rPr>
          <w:rFonts w:hint="eastAsia" w:ascii="仿宋" w:hAnsi="仿宋" w:eastAsia="仿宋" w:cs="仿宋"/>
          <w:color w:val="000000" w:themeColor="text1"/>
          <w:sz w:val="24"/>
          <w:szCs w:val="24"/>
          <w:highlight w:val="none"/>
          <w14:textFill>
            <w14:solidFill>
              <w14:schemeClr w14:val="tx1"/>
            </w14:solidFill>
          </w14:textFill>
        </w:rPr>
        <w:t>系统</w:t>
      </w:r>
      <w:r>
        <w:rPr>
          <w:rFonts w:hint="eastAsia" w:ascii="仿宋" w:hAnsi="仿宋" w:eastAsia="仿宋" w:cs="仿宋"/>
          <w:color w:val="000000" w:themeColor="text1"/>
          <w:sz w:val="24"/>
          <w:szCs w:val="24"/>
          <w:highlight w:val="none"/>
          <w:lang w:val="en-US" w:eastAsia="zh-CN"/>
          <w14:textFill>
            <w14:solidFill>
              <w14:schemeClr w14:val="tx1"/>
            </w14:solidFill>
          </w14:textFill>
        </w:rPr>
        <w:t>安全稳定</w:t>
      </w:r>
      <w:r>
        <w:rPr>
          <w:rFonts w:hint="eastAsia" w:ascii="仿宋" w:hAnsi="仿宋" w:eastAsia="仿宋" w:cs="仿宋"/>
          <w:color w:val="000000" w:themeColor="text1"/>
          <w:sz w:val="24"/>
          <w:szCs w:val="24"/>
          <w:highlight w:val="none"/>
          <w14:textFill>
            <w14:solidFill>
              <w14:schemeClr w14:val="tx1"/>
            </w14:solidFill>
          </w14:textFill>
        </w:rPr>
        <w:t>运行</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b w:val="0"/>
          <w:bCs w:val="0"/>
          <w:color w:val="000000" w:themeColor="text1"/>
          <w:kern w:val="2"/>
          <w:sz w:val="24"/>
          <w:szCs w:val="24"/>
          <w:highlight w:val="none"/>
          <w:lang w:val="en-US" w:eastAsia="zh-CN" w:bidi="ar-SA"/>
          <w14:textFill>
            <w14:solidFill>
              <w14:schemeClr w14:val="tx1"/>
            </w14:solidFill>
          </w14:textFill>
        </w:rPr>
        <w:t>报价人需协助采购人对南宁网区局域网、互联网专网网络设备进行设备信息维护：</w:t>
      </w:r>
    </w:p>
    <w:p w14:paraId="47293912">
      <w:pPr>
        <w:numPr>
          <w:ilvl w:val="0"/>
          <w:numId w:val="0"/>
        </w:numPr>
        <w:spacing w:line="360" w:lineRule="auto"/>
        <w:ind w:leftChars="0" w:firstLine="240" w:firstLineChars="1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sz w:val="24"/>
          <w:szCs w:val="24"/>
          <w:lang w:val="en-US" w:eastAsia="zh-CN"/>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协助采购人</w:t>
      </w:r>
      <w:r>
        <w:rPr>
          <w:rFonts w:hint="eastAsia" w:ascii="仿宋" w:hAnsi="仿宋" w:eastAsia="仿宋" w:cs="仿宋"/>
          <w:color w:val="000000" w:themeColor="text1"/>
          <w:sz w:val="24"/>
          <w:szCs w:val="24"/>
          <w:highlight w:val="none"/>
          <w:lang w:eastAsia="zh-CN"/>
          <w14:textFill>
            <w14:solidFill>
              <w14:schemeClr w14:val="tx1"/>
            </w14:solidFill>
          </w14:textFill>
        </w:rPr>
        <w:t>对局域网终端设备 IP-MAC</w:t>
      </w:r>
      <w:r>
        <w:rPr>
          <w:rFonts w:hint="eastAsia" w:ascii="仿宋" w:hAnsi="仿宋" w:eastAsia="仿宋" w:cs="仿宋"/>
          <w:color w:val="000000" w:themeColor="text1"/>
          <w:sz w:val="24"/>
          <w:szCs w:val="24"/>
          <w:highlight w:val="none"/>
          <w:lang w:val="en-US" w:eastAsia="zh-CN"/>
          <w14:textFill>
            <w14:solidFill>
              <w14:schemeClr w14:val="tx1"/>
            </w14:solidFill>
          </w14:textFill>
        </w:rPr>
        <w:t>信息</w:t>
      </w:r>
      <w:r>
        <w:rPr>
          <w:rFonts w:hint="eastAsia" w:ascii="仿宋" w:hAnsi="仿宋" w:eastAsia="仿宋" w:cs="仿宋"/>
          <w:color w:val="000000" w:themeColor="text1"/>
          <w:sz w:val="24"/>
          <w:szCs w:val="24"/>
          <w:highlight w:val="none"/>
          <w:lang w:eastAsia="zh-CN"/>
          <w14:textFill>
            <w14:solidFill>
              <w14:schemeClr w14:val="tx1"/>
            </w14:solidFill>
          </w14:textFill>
        </w:rPr>
        <w:t>绑定及调整</w:t>
      </w:r>
    </w:p>
    <w:p w14:paraId="58891A27">
      <w:pPr>
        <w:numPr>
          <w:ilvl w:val="0"/>
          <w:numId w:val="0"/>
        </w:numPr>
        <w:spacing w:line="360" w:lineRule="auto"/>
        <w:ind w:leftChars="0" w:firstLine="240" w:firstLineChars="1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sz w:val="24"/>
          <w:szCs w:val="24"/>
          <w:lang w:val="en-US" w:eastAsia="zh-CN"/>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协助采购人对</w:t>
      </w:r>
      <w:r>
        <w:rPr>
          <w:rFonts w:hint="eastAsia" w:ascii="仿宋" w:hAnsi="仿宋" w:eastAsia="仿宋" w:cs="仿宋"/>
          <w:color w:val="000000" w:themeColor="text1"/>
          <w:sz w:val="24"/>
          <w:szCs w:val="24"/>
          <w:highlight w:val="none"/>
          <w:lang w:eastAsia="zh-CN"/>
          <w14:textFill>
            <w14:solidFill>
              <w14:schemeClr w14:val="tx1"/>
            </w14:solidFill>
          </w14:textFill>
        </w:rPr>
        <w:t>网络设备</w:t>
      </w:r>
      <w:r>
        <w:rPr>
          <w:rFonts w:hint="eastAsia" w:ascii="仿宋" w:hAnsi="仿宋" w:eastAsia="仿宋" w:cs="仿宋"/>
          <w:color w:val="000000" w:themeColor="text1"/>
          <w:sz w:val="24"/>
          <w:szCs w:val="24"/>
          <w:highlight w:val="none"/>
          <w:lang w:val="en-US" w:eastAsia="zh-CN"/>
          <w14:textFill>
            <w14:solidFill>
              <w14:schemeClr w14:val="tx1"/>
            </w14:solidFill>
          </w14:textFill>
        </w:rPr>
        <w:t>信息</w:t>
      </w:r>
      <w:r>
        <w:rPr>
          <w:rFonts w:hint="eastAsia" w:ascii="仿宋" w:hAnsi="仿宋" w:eastAsia="仿宋" w:cs="仿宋"/>
          <w:color w:val="000000" w:themeColor="text1"/>
          <w:sz w:val="24"/>
          <w:szCs w:val="24"/>
          <w:highlight w:val="none"/>
          <w:lang w:eastAsia="zh-CN"/>
          <w14:textFill>
            <w14:solidFill>
              <w14:schemeClr w14:val="tx1"/>
            </w14:solidFill>
          </w14:textFill>
        </w:rPr>
        <w:t>表格</w:t>
      </w:r>
      <w:r>
        <w:rPr>
          <w:rFonts w:hint="eastAsia" w:ascii="仿宋" w:hAnsi="仿宋" w:eastAsia="仿宋" w:cs="仿宋"/>
          <w:color w:val="000000" w:themeColor="text1"/>
          <w:sz w:val="24"/>
          <w:szCs w:val="24"/>
          <w:highlight w:val="none"/>
          <w:lang w:val="en-US" w:eastAsia="zh-CN"/>
          <w14:textFill>
            <w14:solidFill>
              <w14:schemeClr w14:val="tx1"/>
            </w14:solidFill>
          </w14:textFill>
        </w:rPr>
        <w:t>维护</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0CA6AF2C">
      <w:pPr>
        <w:numPr>
          <w:ilvl w:val="0"/>
          <w:numId w:val="0"/>
        </w:numPr>
        <w:spacing w:line="360" w:lineRule="auto"/>
        <w:ind w:leftChars="0" w:firstLine="240" w:firstLineChars="1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sz w:val="24"/>
          <w:szCs w:val="24"/>
          <w:lang w:val="en-US" w:eastAsia="zh-CN"/>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协助采购人对</w:t>
      </w:r>
      <w:r>
        <w:rPr>
          <w:rFonts w:hint="eastAsia" w:ascii="仿宋" w:hAnsi="仿宋" w:eastAsia="仿宋" w:cs="仿宋"/>
          <w:color w:val="000000" w:themeColor="text1"/>
          <w:sz w:val="24"/>
          <w:szCs w:val="24"/>
          <w:highlight w:val="none"/>
          <w:lang w:eastAsia="zh-CN"/>
          <w14:textFill>
            <w14:solidFill>
              <w14:schemeClr w14:val="tx1"/>
            </w14:solidFill>
          </w14:textFill>
        </w:rPr>
        <w:t>终端设备网络端口信息</w:t>
      </w:r>
      <w:r>
        <w:rPr>
          <w:rFonts w:hint="eastAsia" w:ascii="仿宋" w:hAnsi="仿宋" w:eastAsia="仿宋" w:cs="仿宋"/>
          <w:color w:val="000000" w:themeColor="text1"/>
          <w:sz w:val="24"/>
          <w:szCs w:val="24"/>
          <w:highlight w:val="none"/>
          <w:lang w:val="en-US" w:eastAsia="zh-CN"/>
          <w14:textFill>
            <w14:solidFill>
              <w14:schemeClr w14:val="tx1"/>
            </w14:solidFill>
          </w14:textFill>
        </w:rPr>
        <w:t>维护</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2AD482B1">
      <w:pPr>
        <w:numPr>
          <w:ilvl w:val="0"/>
          <w:numId w:val="0"/>
        </w:numPr>
        <w:spacing w:line="360" w:lineRule="auto"/>
        <w:ind w:leftChars="0" w:firstLine="240" w:firstLineChars="1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sz w:val="24"/>
          <w:szCs w:val="24"/>
          <w:lang w:val="en-US" w:eastAsia="zh-CN"/>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协助采购人对</w:t>
      </w:r>
      <w:r>
        <w:rPr>
          <w:rFonts w:hint="eastAsia" w:ascii="仿宋" w:hAnsi="仿宋" w:eastAsia="仿宋" w:cs="仿宋"/>
          <w:color w:val="000000" w:themeColor="text1"/>
          <w:sz w:val="24"/>
          <w:szCs w:val="24"/>
          <w:highlight w:val="none"/>
          <w:lang w:eastAsia="zh-CN"/>
          <w14:textFill>
            <w14:solidFill>
              <w14:schemeClr w14:val="tx1"/>
            </w14:solidFill>
          </w14:textFill>
        </w:rPr>
        <w:t>域控权限调整及维护异动信息。</w:t>
      </w:r>
    </w:p>
    <w:p w14:paraId="1467918C">
      <w:pPr>
        <w:numPr>
          <w:ilvl w:val="0"/>
          <w:numId w:val="0"/>
        </w:numPr>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p>
    <w:p w14:paraId="6A20F269">
      <w:pPr>
        <w:pStyle w:val="8"/>
        <w:numPr>
          <w:ilvl w:val="0"/>
          <w:numId w:val="0"/>
        </w:numPr>
        <w:spacing w:line="360" w:lineRule="auto"/>
        <w:outlineLvl w:val="0"/>
        <w:rPr>
          <w:rFonts w:hint="eastAsia"/>
          <w:lang w:val="en-US" w:eastAsia="zh-CN"/>
        </w:rPr>
      </w:pPr>
      <w:r>
        <w:rPr>
          <w:rFonts w:hint="eastAsia"/>
          <w:lang w:val="en-US" w:eastAsia="zh-CN"/>
        </w:rPr>
        <w:t>6、评审与验收</w:t>
      </w:r>
    </w:p>
    <w:p w14:paraId="41BEC1BB">
      <w:pPr>
        <w:numPr>
          <w:ilvl w:val="0"/>
          <w:numId w:val="0"/>
        </w:numPr>
        <w:spacing w:line="360" w:lineRule="auto"/>
        <w:ind w:firstLine="480" w:firstLineChars="2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1）报价人</w:t>
      </w:r>
      <w:r>
        <w:rPr>
          <w:rFonts w:hint="eastAsia" w:ascii="仿宋" w:hAnsi="仿宋" w:eastAsia="仿宋" w:cs="仿宋"/>
          <w:color w:val="000000" w:themeColor="text1"/>
          <w:sz w:val="24"/>
          <w:szCs w:val="24"/>
          <w:highlight w:val="none"/>
          <w:lang w:eastAsia="zh-CN"/>
          <w14:textFill>
            <w14:solidFill>
              <w14:schemeClr w14:val="tx1"/>
            </w14:solidFill>
          </w14:textFill>
        </w:rPr>
        <w:t>应在项目服务期满时将项目的全部有关技术文件包括不限于技术</w:t>
      </w:r>
      <w:r>
        <w:rPr>
          <w:rFonts w:hint="eastAsia" w:ascii="仿宋" w:hAnsi="仿宋" w:eastAsia="仿宋" w:cs="仿宋"/>
          <w:color w:val="000000" w:themeColor="text1"/>
          <w:sz w:val="24"/>
          <w:szCs w:val="24"/>
          <w:highlight w:val="none"/>
          <w:lang w:val="en-US" w:eastAsia="zh-CN"/>
          <w14:textFill>
            <w14:solidFill>
              <w14:schemeClr w14:val="tx1"/>
            </w14:solidFill>
          </w14:textFill>
        </w:rPr>
        <w:t>服务</w:t>
      </w:r>
      <w:r>
        <w:rPr>
          <w:rFonts w:hint="eastAsia" w:ascii="仿宋" w:hAnsi="仿宋" w:eastAsia="仿宋" w:cs="仿宋"/>
          <w:color w:val="000000" w:themeColor="text1"/>
          <w:sz w:val="24"/>
          <w:szCs w:val="24"/>
          <w:highlight w:val="none"/>
          <w:lang w:eastAsia="zh-CN"/>
          <w14:textFill>
            <w14:solidFill>
              <w14:schemeClr w14:val="tx1"/>
            </w14:solidFill>
          </w14:textFill>
        </w:rPr>
        <w:t>记录、运维服务报告等文档汇集成册交付给</w:t>
      </w:r>
      <w:r>
        <w:rPr>
          <w:rFonts w:hint="eastAsia" w:ascii="仿宋" w:hAnsi="仿宋" w:eastAsia="仿宋" w:cs="仿宋"/>
          <w:color w:val="000000" w:themeColor="text1"/>
          <w:sz w:val="24"/>
          <w:szCs w:val="24"/>
          <w:highlight w:val="none"/>
          <w:lang w:val="en-US" w:eastAsia="zh-CN"/>
          <w14:textFill>
            <w14:solidFill>
              <w14:schemeClr w14:val="tx1"/>
            </w14:solidFill>
          </w14:textFill>
        </w:rPr>
        <w:t>采购人</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76F13BD1">
      <w:pPr>
        <w:numPr>
          <w:ilvl w:val="0"/>
          <w:numId w:val="0"/>
        </w:numPr>
        <w:spacing w:line="360" w:lineRule="auto"/>
        <w:ind w:firstLine="480" w:firstLineChars="2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2）采购人对报价人所提交项目文档进行正确性及完整性检查，</w:t>
      </w:r>
      <w:r>
        <w:rPr>
          <w:rFonts w:hint="eastAsia" w:ascii="仿宋" w:hAnsi="仿宋" w:eastAsia="仿宋" w:cs="仿宋"/>
          <w:color w:val="000000" w:themeColor="text1"/>
          <w:sz w:val="24"/>
          <w:szCs w:val="24"/>
          <w:highlight w:val="none"/>
          <w:lang w:eastAsia="zh-CN"/>
          <w14:textFill>
            <w14:solidFill>
              <w14:schemeClr w14:val="tx1"/>
            </w14:solidFill>
          </w14:textFill>
        </w:rPr>
        <w:t>经双方签字确认后形成验收</w:t>
      </w:r>
      <w:r>
        <w:rPr>
          <w:rFonts w:hint="eastAsia" w:ascii="仿宋" w:hAnsi="仿宋" w:eastAsia="仿宋" w:cs="仿宋"/>
          <w:color w:val="000000" w:themeColor="text1"/>
          <w:sz w:val="24"/>
          <w:szCs w:val="24"/>
          <w:highlight w:val="none"/>
          <w:lang w:val="en-US" w:eastAsia="zh-CN"/>
          <w14:textFill>
            <w14:solidFill>
              <w14:schemeClr w14:val="tx1"/>
            </w14:solidFill>
          </w14:textFill>
        </w:rPr>
        <w:t>证明</w:t>
      </w:r>
      <w:r>
        <w:rPr>
          <w:rFonts w:hint="eastAsia" w:ascii="仿宋" w:hAnsi="仿宋" w:eastAsia="仿宋" w:cs="仿宋"/>
          <w:color w:val="000000" w:themeColor="text1"/>
          <w:sz w:val="24"/>
          <w:szCs w:val="24"/>
          <w:highlight w:val="none"/>
          <w:lang w:eastAsia="zh-CN"/>
          <w14:textFill>
            <w14:solidFill>
              <w14:schemeClr w14:val="tx1"/>
            </w14:solidFill>
          </w14:textFill>
        </w:rPr>
        <w:t>文件。</w:t>
      </w:r>
    </w:p>
    <w:p w14:paraId="5DA1570D">
      <w:pPr>
        <w:numPr>
          <w:ilvl w:val="0"/>
          <w:numId w:val="0"/>
        </w:numPr>
        <w:spacing w:line="360" w:lineRule="auto"/>
        <w:ind w:firstLine="480" w:firstLineChars="2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3）若</w:t>
      </w:r>
      <w:r>
        <w:rPr>
          <w:rFonts w:hint="eastAsia" w:ascii="仿宋" w:hAnsi="仿宋" w:eastAsia="仿宋" w:cs="仿宋"/>
          <w:color w:val="000000" w:themeColor="text1"/>
          <w:sz w:val="24"/>
          <w:szCs w:val="24"/>
          <w:highlight w:val="none"/>
          <w:lang w:eastAsia="zh-CN"/>
          <w14:textFill>
            <w14:solidFill>
              <w14:schemeClr w14:val="tx1"/>
            </w14:solidFill>
          </w14:textFill>
        </w:rPr>
        <w:t>由于</w:t>
      </w:r>
      <w:r>
        <w:rPr>
          <w:rFonts w:hint="eastAsia" w:ascii="仿宋" w:hAnsi="仿宋" w:eastAsia="仿宋" w:cs="仿宋"/>
          <w:color w:val="000000" w:themeColor="text1"/>
          <w:sz w:val="24"/>
          <w:szCs w:val="24"/>
          <w:highlight w:val="none"/>
          <w:lang w:val="en-US" w:eastAsia="zh-CN"/>
          <w14:textFill>
            <w14:solidFill>
              <w14:schemeClr w14:val="tx1"/>
            </w14:solidFill>
          </w14:textFill>
        </w:rPr>
        <w:t>报价人</w:t>
      </w:r>
      <w:r>
        <w:rPr>
          <w:rFonts w:hint="eastAsia" w:ascii="仿宋" w:hAnsi="仿宋" w:eastAsia="仿宋" w:cs="仿宋"/>
          <w:color w:val="000000" w:themeColor="text1"/>
          <w:sz w:val="24"/>
          <w:szCs w:val="24"/>
          <w:highlight w:val="none"/>
          <w:lang w:eastAsia="zh-CN"/>
          <w14:textFill>
            <w14:solidFill>
              <w14:schemeClr w14:val="tx1"/>
            </w14:solidFill>
          </w14:textFill>
        </w:rPr>
        <w:t>的原因，有一条或多条达不到规定的技术要求时，</w:t>
      </w:r>
      <w:r>
        <w:rPr>
          <w:rFonts w:hint="eastAsia" w:ascii="仿宋" w:hAnsi="仿宋" w:eastAsia="仿宋" w:cs="仿宋"/>
          <w:color w:val="000000" w:themeColor="text1"/>
          <w:sz w:val="24"/>
          <w:szCs w:val="24"/>
          <w:highlight w:val="none"/>
          <w:lang w:val="en-US" w:eastAsia="zh-CN"/>
          <w14:textFill>
            <w14:solidFill>
              <w14:schemeClr w14:val="tx1"/>
            </w14:solidFill>
          </w14:textFill>
        </w:rPr>
        <w:t>报价人</w:t>
      </w:r>
      <w:r>
        <w:rPr>
          <w:rFonts w:hint="eastAsia" w:ascii="仿宋" w:hAnsi="仿宋" w:eastAsia="仿宋" w:cs="仿宋"/>
          <w:color w:val="000000" w:themeColor="text1"/>
          <w:sz w:val="24"/>
          <w:szCs w:val="24"/>
          <w:highlight w:val="none"/>
          <w:lang w:eastAsia="zh-CN"/>
          <w14:textFill>
            <w14:solidFill>
              <w14:schemeClr w14:val="tx1"/>
            </w14:solidFill>
          </w14:textFill>
        </w:rPr>
        <w:t>应在附加的4周内采取有效措施，使该项目完全达到规定的技术要求，在此期间的一切费用由</w:t>
      </w:r>
      <w:r>
        <w:rPr>
          <w:rFonts w:hint="eastAsia" w:ascii="仿宋" w:hAnsi="仿宋" w:eastAsia="仿宋" w:cs="仿宋"/>
          <w:color w:val="000000" w:themeColor="text1"/>
          <w:sz w:val="24"/>
          <w:szCs w:val="24"/>
          <w:highlight w:val="none"/>
          <w:lang w:val="en-US" w:eastAsia="zh-CN"/>
          <w14:textFill>
            <w14:solidFill>
              <w14:schemeClr w14:val="tx1"/>
            </w14:solidFill>
          </w14:textFill>
        </w:rPr>
        <w:t>报价人</w:t>
      </w:r>
      <w:r>
        <w:rPr>
          <w:rFonts w:hint="eastAsia" w:ascii="仿宋" w:hAnsi="仿宋" w:eastAsia="仿宋" w:cs="仿宋"/>
          <w:color w:val="000000" w:themeColor="text1"/>
          <w:sz w:val="24"/>
          <w:szCs w:val="24"/>
          <w:highlight w:val="none"/>
          <w:lang w:eastAsia="zh-CN"/>
          <w14:textFill>
            <w14:solidFill>
              <w14:schemeClr w14:val="tx1"/>
            </w14:solidFill>
          </w14:textFill>
        </w:rPr>
        <w:t>承担。</w:t>
      </w:r>
    </w:p>
    <w:p w14:paraId="345F18A7">
      <w:pPr>
        <w:numPr>
          <w:ilvl w:val="0"/>
          <w:numId w:val="0"/>
        </w:numPr>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p>
    <w:p w14:paraId="755C418E">
      <w:pPr>
        <w:pStyle w:val="8"/>
        <w:numPr>
          <w:ilvl w:val="0"/>
          <w:numId w:val="0"/>
        </w:numPr>
        <w:spacing w:line="360" w:lineRule="auto"/>
        <w:outlineLvl w:val="0"/>
        <w:rPr>
          <w:rFonts w:hint="eastAsia"/>
          <w:lang w:val="en-US" w:eastAsia="zh-CN"/>
        </w:rPr>
      </w:pPr>
      <w:r>
        <w:rPr>
          <w:rFonts w:hint="eastAsia"/>
          <w:lang w:val="en-US" w:eastAsia="zh-CN"/>
        </w:rPr>
        <w:t>7、安全要求</w:t>
      </w:r>
    </w:p>
    <w:p w14:paraId="1EC9FCBF">
      <w:pPr>
        <w:spacing w:line="360" w:lineRule="auto"/>
        <w:ind w:firstLine="480" w:firstLineChars="200"/>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报价人须配合采购人进行网络安全审查。</w:t>
      </w:r>
    </w:p>
    <w:p w14:paraId="684A16E7">
      <w:pPr>
        <w:spacing w:line="360" w:lineRule="auto"/>
        <w:ind w:firstLine="480" w:firstLineChars="200"/>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报价人须承诺不利用提供产品和服务的便利条件非法获取用户数据、非法控制和操纵用户设备。</w:t>
      </w:r>
    </w:p>
    <w:p w14:paraId="7EA3E9FE">
      <w:pPr>
        <w:spacing w:line="360" w:lineRule="auto"/>
        <w:ind w:firstLine="480" w:firstLineChars="200"/>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报价人在服务期内无正当理由不中断必要的技术支持服务等。</w:t>
      </w:r>
    </w:p>
    <w:p w14:paraId="707127DC">
      <w:pPr>
        <w:spacing w:line="360" w:lineRule="auto"/>
        <w:ind w:firstLine="480" w:firstLineChars="200"/>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报价人所派出人员应服从采购人或其指定人员工作安排，满足现场安全措施，开展运维工作前，应办理相关工作手续。</w:t>
      </w:r>
    </w:p>
    <w:p w14:paraId="042EBC33">
      <w:pPr>
        <w:pStyle w:val="2"/>
      </w:pPr>
    </w:p>
    <w:p w14:paraId="5D1D8998">
      <w:pPr>
        <w:pStyle w:val="8"/>
        <w:numPr>
          <w:ilvl w:val="0"/>
          <w:numId w:val="0"/>
        </w:numPr>
        <w:spacing w:line="360" w:lineRule="auto"/>
        <w:outlineLvl w:val="0"/>
        <w:rPr>
          <w:rFonts w:hint="default"/>
          <w:lang w:val="en-US" w:eastAsia="zh-CN"/>
        </w:rPr>
      </w:pPr>
      <w:r>
        <w:rPr>
          <w:rFonts w:hint="eastAsia"/>
          <w:lang w:val="en-US" w:eastAsia="zh-CN"/>
        </w:rPr>
        <w:t>8、人员保密要求</w:t>
      </w:r>
    </w:p>
    <w:p w14:paraId="67B5A3EB">
      <w:pPr>
        <w:widowControl/>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sz w:val="24"/>
          <w:szCs w:val="24"/>
          <w:lang w:val="en-US" w:eastAsia="zh-CN"/>
        </w:rPr>
        <w:t>报价人的</w:t>
      </w:r>
      <w:r>
        <w:rPr>
          <w:rFonts w:hint="eastAsia" w:ascii="仿宋" w:hAnsi="仿宋" w:eastAsia="仿宋" w:cs="仿宋"/>
          <w:color w:val="000000"/>
          <w:sz w:val="24"/>
          <w:szCs w:val="24"/>
        </w:rPr>
        <w:t>项目人员所获知的保密信息须在本单位内部谨慎的使用，只能透露给本单位直接参与项目的人员，透露的内容只能是与其工作相关的信息。</w:t>
      </w:r>
    </w:p>
    <w:p w14:paraId="0D8BE300">
      <w:pPr>
        <w:widowControl/>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sz w:val="24"/>
          <w:szCs w:val="24"/>
          <w:lang w:val="en-US" w:eastAsia="zh-CN"/>
        </w:rPr>
        <w:t>报价人的</w:t>
      </w:r>
      <w:r>
        <w:rPr>
          <w:rFonts w:hint="eastAsia" w:ascii="仿宋" w:hAnsi="仿宋" w:eastAsia="仿宋" w:cs="仿宋"/>
          <w:color w:val="000000"/>
          <w:sz w:val="24"/>
          <w:szCs w:val="24"/>
        </w:rPr>
        <w:t>项目人员应当采取必要的措施防止保密信息被复制、泄漏或遗失。</w:t>
      </w:r>
      <w:r>
        <w:rPr>
          <w:rFonts w:hint="eastAsia" w:ascii="仿宋" w:hAnsi="仿宋" w:eastAsia="仿宋" w:cs="仿宋"/>
          <w:color w:val="000000"/>
          <w:sz w:val="24"/>
          <w:szCs w:val="24"/>
          <w:lang w:val="en-US" w:eastAsia="zh-CN"/>
        </w:rPr>
        <w:t>报价人的</w:t>
      </w:r>
      <w:r>
        <w:rPr>
          <w:rFonts w:hint="eastAsia" w:ascii="仿宋" w:hAnsi="仿宋" w:eastAsia="仿宋" w:cs="仿宋"/>
          <w:color w:val="000000"/>
          <w:sz w:val="24"/>
          <w:szCs w:val="24"/>
        </w:rPr>
        <w:t>项目人员亦不得依据保密信息，就任何问题，向第三方做出任何建议。</w:t>
      </w:r>
    </w:p>
    <w:p w14:paraId="2B2EBAD0">
      <w:pPr>
        <w:widowControl/>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sz w:val="24"/>
          <w:szCs w:val="24"/>
          <w:lang w:val="en-US" w:eastAsia="zh-CN"/>
        </w:rPr>
        <w:t>报价人的</w:t>
      </w:r>
      <w:r>
        <w:rPr>
          <w:rFonts w:hint="eastAsia" w:ascii="仿宋" w:hAnsi="仿宋" w:eastAsia="仿宋" w:cs="仿宋"/>
          <w:color w:val="000000"/>
          <w:sz w:val="24"/>
          <w:szCs w:val="24"/>
        </w:rPr>
        <w:t>项目人员非经</w:t>
      </w:r>
      <w:r>
        <w:rPr>
          <w:rFonts w:hint="eastAsia" w:ascii="仿宋" w:hAnsi="仿宋" w:eastAsia="仿宋" w:cs="仿宋"/>
          <w:color w:val="000000"/>
          <w:sz w:val="24"/>
          <w:szCs w:val="24"/>
          <w:lang w:val="en-US" w:eastAsia="zh-CN"/>
        </w:rPr>
        <w:t>采购人</w:t>
      </w:r>
      <w:r>
        <w:rPr>
          <w:rFonts w:hint="eastAsia" w:ascii="仿宋" w:hAnsi="仿宋" w:eastAsia="仿宋" w:cs="仿宋"/>
          <w:color w:val="000000"/>
          <w:sz w:val="24"/>
          <w:szCs w:val="24"/>
        </w:rPr>
        <w:t>书面同意，</w:t>
      </w:r>
      <w:r>
        <w:rPr>
          <w:rFonts w:hint="eastAsia" w:ascii="仿宋" w:hAnsi="仿宋" w:eastAsia="仿宋" w:cs="仿宋"/>
          <w:color w:val="000000"/>
          <w:sz w:val="24"/>
          <w:szCs w:val="24"/>
          <w:lang w:val="en-US" w:eastAsia="zh-CN"/>
        </w:rPr>
        <w:t>报价人</w:t>
      </w:r>
      <w:r>
        <w:rPr>
          <w:rFonts w:hint="eastAsia" w:ascii="仿宋" w:hAnsi="仿宋" w:eastAsia="仿宋" w:cs="仿宋"/>
          <w:color w:val="000000"/>
          <w:sz w:val="24"/>
          <w:szCs w:val="24"/>
        </w:rPr>
        <w:t>及其相关人员应负保密责任，不得以任何方式就保密信息及工作成果之全部或部分泄漏、告知、复制、传播、或对外发表、或为自己及第三人使用。</w:t>
      </w:r>
    </w:p>
    <w:p w14:paraId="65EDE1F9">
      <w:pPr>
        <w:widowControl/>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sz w:val="24"/>
          <w:szCs w:val="24"/>
        </w:rPr>
        <w:t>在现场实施过程中，</w:t>
      </w:r>
      <w:r>
        <w:rPr>
          <w:rFonts w:hint="eastAsia" w:ascii="仿宋" w:hAnsi="仿宋" w:eastAsia="仿宋" w:cs="仿宋"/>
          <w:color w:val="000000"/>
          <w:sz w:val="24"/>
          <w:szCs w:val="24"/>
          <w:lang w:val="en-US" w:eastAsia="zh-CN"/>
        </w:rPr>
        <w:t>报价人的</w:t>
      </w:r>
      <w:r>
        <w:rPr>
          <w:rFonts w:hint="eastAsia" w:ascii="仿宋" w:hAnsi="仿宋" w:eastAsia="仿宋" w:cs="仿宋"/>
          <w:color w:val="000000"/>
          <w:sz w:val="24"/>
          <w:szCs w:val="24"/>
        </w:rPr>
        <w:t>项目人员必须在</w:t>
      </w:r>
      <w:r>
        <w:rPr>
          <w:rFonts w:hint="eastAsia" w:ascii="仿宋" w:hAnsi="仿宋" w:eastAsia="仿宋" w:cs="仿宋"/>
          <w:color w:val="000000"/>
          <w:sz w:val="24"/>
          <w:szCs w:val="24"/>
          <w:lang w:val="en-US" w:eastAsia="zh-CN"/>
        </w:rPr>
        <w:t>采购人</w:t>
      </w:r>
      <w:r>
        <w:rPr>
          <w:rFonts w:hint="eastAsia" w:ascii="仿宋" w:hAnsi="仿宋" w:eastAsia="仿宋" w:cs="仿宋"/>
          <w:color w:val="000000"/>
          <w:sz w:val="24"/>
          <w:szCs w:val="24"/>
        </w:rPr>
        <w:t>指定地点办公，并遵守</w:t>
      </w:r>
      <w:r>
        <w:rPr>
          <w:rFonts w:hint="eastAsia" w:ascii="仿宋" w:hAnsi="仿宋" w:eastAsia="仿宋" w:cs="仿宋"/>
          <w:color w:val="000000"/>
          <w:sz w:val="24"/>
          <w:szCs w:val="24"/>
          <w:lang w:val="en-US" w:eastAsia="zh-CN"/>
        </w:rPr>
        <w:t>其</w:t>
      </w:r>
      <w:r>
        <w:rPr>
          <w:rFonts w:hint="eastAsia" w:ascii="仿宋" w:hAnsi="仿宋" w:eastAsia="仿宋" w:cs="仿宋"/>
          <w:color w:val="000000"/>
          <w:sz w:val="24"/>
          <w:szCs w:val="24"/>
        </w:rPr>
        <w:t>关于第三方人员管理规定要求。未经许可不得将保密信息带离办公场所。</w:t>
      </w:r>
    </w:p>
    <w:p w14:paraId="1768B6F8">
      <w:pPr>
        <w:widowControl/>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sz w:val="24"/>
          <w:szCs w:val="24"/>
        </w:rPr>
        <w:t>项目验收结束后</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报价人的</w:t>
      </w:r>
      <w:r>
        <w:rPr>
          <w:rFonts w:hint="eastAsia" w:ascii="仿宋" w:hAnsi="仿宋" w:eastAsia="仿宋" w:cs="仿宋"/>
          <w:color w:val="000000"/>
          <w:sz w:val="24"/>
          <w:szCs w:val="24"/>
        </w:rPr>
        <w:t>项目人员不得保留登录系统的权限。如确实需要登录系统，需经</w:t>
      </w:r>
      <w:r>
        <w:rPr>
          <w:rFonts w:hint="eastAsia" w:ascii="仿宋" w:hAnsi="仿宋" w:eastAsia="仿宋" w:cs="仿宋"/>
          <w:color w:val="000000"/>
          <w:sz w:val="24"/>
          <w:szCs w:val="24"/>
          <w:lang w:val="en-US" w:eastAsia="zh-CN"/>
        </w:rPr>
        <w:t>采购</w:t>
      </w:r>
      <w:r>
        <w:rPr>
          <w:rFonts w:hint="eastAsia" w:ascii="仿宋" w:hAnsi="仿宋" w:eastAsia="仿宋" w:cs="仿宋"/>
          <w:color w:val="000000"/>
          <w:sz w:val="24"/>
          <w:szCs w:val="24"/>
        </w:rPr>
        <w:t>人的书面批准，且有</w:t>
      </w:r>
      <w:r>
        <w:rPr>
          <w:rFonts w:hint="eastAsia" w:ascii="仿宋" w:hAnsi="仿宋" w:eastAsia="仿宋" w:cs="仿宋"/>
          <w:color w:val="000000"/>
          <w:sz w:val="24"/>
          <w:szCs w:val="24"/>
          <w:lang w:val="en-US" w:eastAsia="zh-CN"/>
        </w:rPr>
        <w:t>采购</w:t>
      </w:r>
      <w:r>
        <w:rPr>
          <w:rFonts w:hint="eastAsia" w:ascii="仿宋" w:hAnsi="仿宋" w:eastAsia="仿宋" w:cs="仿宋"/>
          <w:color w:val="000000"/>
          <w:sz w:val="24"/>
          <w:szCs w:val="24"/>
        </w:rPr>
        <w:t>人在场监控方可进行相关操作。</w:t>
      </w:r>
    </w:p>
    <w:p w14:paraId="274BF123">
      <w:pPr>
        <w:widowControl/>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r>
        <w:rPr>
          <w:rFonts w:hint="eastAsia" w:ascii="仿宋" w:hAnsi="仿宋" w:eastAsia="仿宋" w:cs="仿宋"/>
          <w:color w:val="000000"/>
          <w:sz w:val="24"/>
          <w:szCs w:val="24"/>
          <w:lang w:val="en-US" w:eastAsia="zh-CN"/>
        </w:rPr>
        <w:t>报价人的</w:t>
      </w:r>
      <w:r>
        <w:rPr>
          <w:rFonts w:hint="eastAsia" w:ascii="仿宋" w:hAnsi="仿宋" w:eastAsia="仿宋" w:cs="仿宋"/>
          <w:color w:val="000000"/>
          <w:sz w:val="24"/>
          <w:szCs w:val="24"/>
        </w:rPr>
        <w:t>项目人员保证按</w:t>
      </w:r>
      <w:r>
        <w:rPr>
          <w:rFonts w:hint="eastAsia" w:ascii="仿宋" w:hAnsi="仿宋" w:eastAsia="仿宋" w:cs="仿宋"/>
          <w:color w:val="000000"/>
          <w:sz w:val="24"/>
          <w:szCs w:val="24"/>
          <w:lang w:val="en-US" w:eastAsia="zh-CN"/>
        </w:rPr>
        <w:t>采购</w:t>
      </w:r>
      <w:r>
        <w:rPr>
          <w:rFonts w:hint="eastAsia" w:ascii="仿宋" w:hAnsi="仿宋" w:eastAsia="仿宋" w:cs="仿宋"/>
          <w:color w:val="000000"/>
          <w:sz w:val="24"/>
          <w:szCs w:val="24"/>
        </w:rPr>
        <w:t>人项目管理部门确认的途径向</w:t>
      </w:r>
      <w:r>
        <w:rPr>
          <w:rFonts w:hint="eastAsia" w:ascii="仿宋" w:hAnsi="仿宋" w:eastAsia="仿宋" w:cs="仿宋"/>
          <w:color w:val="000000"/>
          <w:sz w:val="24"/>
          <w:szCs w:val="24"/>
          <w:lang w:val="en-US" w:eastAsia="zh-CN"/>
        </w:rPr>
        <w:t>采购</w:t>
      </w:r>
      <w:r>
        <w:rPr>
          <w:rFonts w:hint="eastAsia" w:ascii="仿宋" w:hAnsi="仿宋" w:eastAsia="仿宋" w:cs="仿宋"/>
          <w:color w:val="000000"/>
          <w:sz w:val="24"/>
          <w:szCs w:val="24"/>
        </w:rPr>
        <w:t>人提交或索取有关资料。</w:t>
      </w:r>
    </w:p>
    <w:p w14:paraId="2BB62E3C">
      <w:pPr>
        <w:pStyle w:val="2"/>
        <w:rPr>
          <w:rFonts w:hint="default"/>
          <w:lang w:val="en-US" w:eastAsia="zh-CN"/>
        </w:rPr>
      </w:pPr>
    </w:p>
    <w:p w14:paraId="6CE305E8">
      <w:pPr>
        <w:pStyle w:val="8"/>
        <w:numPr>
          <w:ilvl w:val="0"/>
          <w:numId w:val="0"/>
        </w:numPr>
        <w:spacing w:line="360" w:lineRule="auto"/>
        <w:outlineLvl w:val="0"/>
        <w:rPr>
          <w:rFonts w:hint="eastAsia"/>
          <w:lang w:val="en-US" w:eastAsia="zh-CN"/>
        </w:rPr>
      </w:pPr>
      <w:r>
        <w:rPr>
          <w:rFonts w:hint="eastAsia"/>
          <w:lang w:val="en-US" w:eastAsia="zh-CN"/>
        </w:rPr>
        <w:t>9、技术资料和文件</w:t>
      </w:r>
    </w:p>
    <w:p w14:paraId="0B4D07C6">
      <w:pPr>
        <w:spacing w:line="360" w:lineRule="auto"/>
        <w:ind w:firstLine="480" w:firstLineChars="200"/>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报价人提供的文件和资料应能满足采购人进行维护和进一步完善的需要，应符合采购人标准规格，并向采购人需求提供项目的全部过程资料的电子版。</w:t>
      </w:r>
    </w:p>
    <w:p w14:paraId="5A831F0A">
      <w:pPr>
        <w:spacing w:line="360" w:lineRule="auto"/>
        <w:ind w:firstLine="480" w:firstLineChars="200"/>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报价人应负责在项目服务期满时将项目的全部有关服务要求包括不限于现场服务技术记录单、检修单、技术支持记录、维护服务报告等文档汇集成册交付给采购人。</w:t>
      </w:r>
    </w:p>
    <w:p w14:paraId="7CD3B4A2">
      <w:pPr>
        <w:spacing w:line="360" w:lineRule="auto"/>
        <w:ind w:firstLine="480" w:firstLineChars="200"/>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报价人应向采购人需求提供项目的全部过程资料的电子版。</w:t>
      </w:r>
    </w:p>
    <w:p w14:paraId="2258645F">
      <w:pPr>
        <w:pStyle w:val="2"/>
      </w:pPr>
    </w:p>
    <w:p w14:paraId="77B91E33">
      <w:pPr>
        <w:pStyle w:val="8"/>
        <w:numPr>
          <w:ilvl w:val="0"/>
          <w:numId w:val="0"/>
        </w:numPr>
        <w:spacing w:line="360" w:lineRule="auto"/>
        <w:outlineLvl w:val="0"/>
        <w:rPr>
          <w:rFonts w:hint="eastAsia"/>
          <w:lang w:val="en-US" w:eastAsia="zh-CN"/>
        </w:rPr>
      </w:pPr>
      <w:r>
        <w:rPr>
          <w:rFonts w:hint="eastAsia"/>
          <w:lang w:val="en-US" w:eastAsia="zh-CN"/>
        </w:rPr>
        <w:t>10</w:t>
      </w:r>
      <w:bookmarkStart w:id="10" w:name="_GoBack"/>
      <w:bookmarkEnd w:id="10"/>
      <w:r>
        <w:rPr>
          <w:rFonts w:hint="eastAsia"/>
          <w:lang w:val="en-US" w:eastAsia="zh-CN"/>
        </w:rPr>
        <w:t>、知识产权要求</w:t>
      </w:r>
    </w:p>
    <w:p w14:paraId="492FDDA7">
      <w:pPr>
        <w:spacing w:line="360" w:lineRule="auto"/>
        <w:ind w:firstLine="480" w:firstLineChars="200"/>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在服务完成以后，报价人应向采购人提供该服务过程中形成的所有技术成果（包括但不限于：维护范围内设备常用备件保障记录、服务报告等）、项目建设文档、相关数据记录等。有关成果归采购人所有。</w:t>
      </w:r>
    </w:p>
    <w:p w14:paraId="6A5DBEAB">
      <w:pPr>
        <w:spacing w:line="360" w:lineRule="auto"/>
        <w:ind w:firstLine="480" w:firstLineChars="200"/>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报价人应保证其服务过程中形成的产品、工具、模型、方法论、文档、知识资产及服务没有任何权利瑕疵，没有侵犯任何第三方权利。采购人在使用该产品或服务的任何一部分时，免受第三方提出的任何侵犯其知识产权的权利主张。如果任何人对采购人使用该产品及服务主张权利，由报价人负责处理一切纠纷及相关事宜，由此给采购人造成的损失，由报价人承担。</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D10D46"/>
    <w:multiLevelType w:val="multilevel"/>
    <w:tmpl w:val="96D10D46"/>
    <w:lvl w:ilvl="0" w:tentative="0">
      <w:start w:val="1"/>
      <w:numFmt w:val="decimal"/>
      <w:suff w:val="space"/>
      <w:lvlText w:val="5.%1"/>
      <w:lvlJc w:val="left"/>
      <w:pPr>
        <w:tabs>
          <w:tab w:val="left" w:pos="0"/>
        </w:tabs>
        <w:ind w:left="0" w:firstLine="0"/>
      </w:pPr>
      <w:rPr>
        <w:rFonts w:hint="default" w:ascii="Calibri" w:hAnsi="Calibri" w:cs="Calibri"/>
      </w:rPr>
    </w:lvl>
    <w:lvl w:ilvl="1" w:tentative="0">
      <w:start w:val="1"/>
      <w:numFmt w:val="decimal"/>
      <w:isLgl/>
      <w:suff w:val="space"/>
      <w:lvlText w:val="5.%2"/>
      <w:lvlJc w:val="left"/>
      <w:pPr>
        <w:tabs>
          <w:tab w:val="left" w:pos="0"/>
        </w:tabs>
        <w:ind w:left="0" w:firstLine="0"/>
      </w:pPr>
      <w:rPr>
        <w:rFonts w:ascii="Times New Roman" w:hAnsi="Times New Roman" w:cs="Times New Roman"/>
        <w:b w:val="0"/>
        <w:bCs w:val="0"/>
        <w:i w:val="0"/>
        <w:iCs w:val="0"/>
        <w:caps w:val="0"/>
        <w:smallCaps w:val="0"/>
        <w:strike w:val="0"/>
        <w:dstrike w:val="0"/>
        <w:snapToGrid w:val="0"/>
        <w:vanish w:val="0"/>
        <w:color w:val="000000"/>
        <w:spacing w:val="0"/>
        <w:kern w:val="0"/>
        <w:position w:val="0"/>
        <w:szCs w:val="0"/>
        <w:u w:val="none"/>
        <w:vertAlign w:val="baseline"/>
      </w:rPr>
    </w:lvl>
    <w:lvl w:ilvl="2" w:tentative="0">
      <w:start w:val="1"/>
      <w:numFmt w:val="decimal"/>
      <w:pStyle w:val="10"/>
      <w:suff w:val="space"/>
      <w:lvlText w:val="4.%3"/>
      <w:lvlJc w:val="left"/>
      <w:pPr>
        <w:tabs>
          <w:tab w:val="left" w:pos="0"/>
        </w:tabs>
        <w:ind w:left="0" w:firstLine="0"/>
      </w:pPr>
      <w:rPr>
        <w:rFonts w:hint="default" w:ascii="Calibri" w:hAnsi="Calibri" w:cs="Calibri"/>
        <w:b/>
        <w:i w:val="0"/>
      </w:rPr>
    </w:lvl>
    <w:lvl w:ilvl="3" w:tentative="0">
      <w:start w:val="1"/>
      <w:numFmt w:val="decimal"/>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D5409"/>
    <w:rsid w:val="011A24F4"/>
    <w:rsid w:val="016E0FF1"/>
    <w:rsid w:val="01763BCE"/>
    <w:rsid w:val="023870D5"/>
    <w:rsid w:val="02405F8A"/>
    <w:rsid w:val="0285372F"/>
    <w:rsid w:val="034B2E38"/>
    <w:rsid w:val="03A72764"/>
    <w:rsid w:val="03F37758"/>
    <w:rsid w:val="04702B56"/>
    <w:rsid w:val="057523EE"/>
    <w:rsid w:val="05A56F81"/>
    <w:rsid w:val="060A6FDB"/>
    <w:rsid w:val="061623F8"/>
    <w:rsid w:val="066C1A43"/>
    <w:rsid w:val="06F3181D"/>
    <w:rsid w:val="06FF01C2"/>
    <w:rsid w:val="08DD2784"/>
    <w:rsid w:val="08FC0E5C"/>
    <w:rsid w:val="091268D2"/>
    <w:rsid w:val="09712B17"/>
    <w:rsid w:val="09772245"/>
    <w:rsid w:val="09ED4C49"/>
    <w:rsid w:val="0A40746F"/>
    <w:rsid w:val="0A8F7AAE"/>
    <w:rsid w:val="0A971D70"/>
    <w:rsid w:val="0AAF0151"/>
    <w:rsid w:val="0B3B3792"/>
    <w:rsid w:val="0B7218AA"/>
    <w:rsid w:val="0BDB744F"/>
    <w:rsid w:val="0C670CE3"/>
    <w:rsid w:val="0CBE5160"/>
    <w:rsid w:val="0DA675E9"/>
    <w:rsid w:val="0DF625B5"/>
    <w:rsid w:val="0E5C0001"/>
    <w:rsid w:val="0E5C591E"/>
    <w:rsid w:val="0ECE5049"/>
    <w:rsid w:val="0EE505E5"/>
    <w:rsid w:val="102313C5"/>
    <w:rsid w:val="102A2753"/>
    <w:rsid w:val="10C502AE"/>
    <w:rsid w:val="12965764"/>
    <w:rsid w:val="12A460EB"/>
    <w:rsid w:val="13385187"/>
    <w:rsid w:val="13734957"/>
    <w:rsid w:val="13897791"/>
    <w:rsid w:val="13A520F1"/>
    <w:rsid w:val="143B7F8E"/>
    <w:rsid w:val="15DB2014"/>
    <w:rsid w:val="15E6711C"/>
    <w:rsid w:val="17286CD0"/>
    <w:rsid w:val="17836BED"/>
    <w:rsid w:val="17982698"/>
    <w:rsid w:val="17C62542"/>
    <w:rsid w:val="17CF1E32"/>
    <w:rsid w:val="17E07B9B"/>
    <w:rsid w:val="187C78C4"/>
    <w:rsid w:val="18950986"/>
    <w:rsid w:val="18952734"/>
    <w:rsid w:val="19597C05"/>
    <w:rsid w:val="19C808E7"/>
    <w:rsid w:val="19FE1C71"/>
    <w:rsid w:val="1A7E2606"/>
    <w:rsid w:val="1A885C21"/>
    <w:rsid w:val="1B43464B"/>
    <w:rsid w:val="1B7E7DF7"/>
    <w:rsid w:val="1C0263AC"/>
    <w:rsid w:val="1C6B4699"/>
    <w:rsid w:val="1CD64203"/>
    <w:rsid w:val="1CEF0D86"/>
    <w:rsid w:val="1CF218F5"/>
    <w:rsid w:val="1CF33ECD"/>
    <w:rsid w:val="1D3249F5"/>
    <w:rsid w:val="1E5F5CBE"/>
    <w:rsid w:val="1E6432D4"/>
    <w:rsid w:val="1EE703DC"/>
    <w:rsid w:val="20DA18DD"/>
    <w:rsid w:val="210D16C9"/>
    <w:rsid w:val="218617B3"/>
    <w:rsid w:val="21A30804"/>
    <w:rsid w:val="22461303"/>
    <w:rsid w:val="22804455"/>
    <w:rsid w:val="23204EEC"/>
    <w:rsid w:val="23AE44B6"/>
    <w:rsid w:val="25096983"/>
    <w:rsid w:val="27037402"/>
    <w:rsid w:val="270C1BCA"/>
    <w:rsid w:val="27960276"/>
    <w:rsid w:val="27AF0600"/>
    <w:rsid w:val="27F60D15"/>
    <w:rsid w:val="291B1D32"/>
    <w:rsid w:val="294C32E2"/>
    <w:rsid w:val="29C72969"/>
    <w:rsid w:val="29CC6A2D"/>
    <w:rsid w:val="2BA967CA"/>
    <w:rsid w:val="2C0003B4"/>
    <w:rsid w:val="2C2E2CD8"/>
    <w:rsid w:val="2DDD275B"/>
    <w:rsid w:val="2F5A0F01"/>
    <w:rsid w:val="2F762E67"/>
    <w:rsid w:val="3005243D"/>
    <w:rsid w:val="309D0C13"/>
    <w:rsid w:val="30B706BA"/>
    <w:rsid w:val="30E91417"/>
    <w:rsid w:val="31342FDA"/>
    <w:rsid w:val="3148438F"/>
    <w:rsid w:val="31EE28F9"/>
    <w:rsid w:val="32654377"/>
    <w:rsid w:val="326C1CFE"/>
    <w:rsid w:val="32BF4B25"/>
    <w:rsid w:val="33182487"/>
    <w:rsid w:val="34014CC9"/>
    <w:rsid w:val="3491604D"/>
    <w:rsid w:val="34936269"/>
    <w:rsid w:val="34A2025B"/>
    <w:rsid w:val="34ED6160"/>
    <w:rsid w:val="356C76A9"/>
    <w:rsid w:val="37150D55"/>
    <w:rsid w:val="37515F68"/>
    <w:rsid w:val="394C69E7"/>
    <w:rsid w:val="398C14D9"/>
    <w:rsid w:val="39DF3CFF"/>
    <w:rsid w:val="3A4735DB"/>
    <w:rsid w:val="3AF9494C"/>
    <w:rsid w:val="3C53008C"/>
    <w:rsid w:val="3DE96EFA"/>
    <w:rsid w:val="3E8135D7"/>
    <w:rsid w:val="3EA15FF0"/>
    <w:rsid w:val="3EDE4585"/>
    <w:rsid w:val="3FF95D7C"/>
    <w:rsid w:val="40097857"/>
    <w:rsid w:val="401C5365"/>
    <w:rsid w:val="40534AFF"/>
    <w:rsid w:val="413F7AA0"/>
    <w:rsid w:val="41C757A4"/>
    <w:rsid w:val="42927B60"/>
    <w:rsid w:val="42DC297D"/>
    <w:rsid w:val="42EF4FB3"/>
    <w:rsid w:val="431D66A9"/>
    <w:rsid w:val="438D20D6"/>
    <w:rsid w:val="43DF3ECA"/>
    <w:rsid w:val="441B1DD7"/>
    <w:rsid w:val="444906F3"/>
    <w:rsid w:val="44586B88"/>
    <w:rsid w:val="44967C16"/>
    <w:rsid w:val="44BB06D3"/>
    <w:rsid w:val="457C0654"/>
    <w:rsid w:val="45B002FD"/>
    <w:rsid w:val="4642189D"/>
    <w:rsid w:val="46C6602A"/>
    <w:rsid w:val="47226FD9"/>
    <w:rsid w:val="47471B82"/>
    <w:rsid w:val="47507FEA"/>
    <w:rsid w:val="47541888"/>
    <w:rsid w:val="4851401A"/>
    <w:rsid w:val="486E697A"/>
    <w:rsid w:val="491F5EC6"/>
    <w:rsid w:val="49494CF1"/>
    <w:rsid w:val="496E4757"/>
    <w:rsid w:val="497942D6"/>
    <w:rsid w:val="4A8561FD"/>
    <w:rsid w:val="4B474778"/>
    <w:rsid w:val="4BA555CD"/>
    <w:rsid w:val="4BC418CB"/>
    <w:rsid w:val="4C06511B"/>
    <w:rsid w:val="4D0E4287"/>
    <w:rsid w:val="4D2910C1"/>
    <w:rsid w:val="4D3857A8"/>
    <w:rsid w:val="4F4B110E"/>
    <w:rsid w:val="4F5F526E"/>
    <w:rsid w:val="4F6F4D85"/>
    <w:rsid w:val="4F7A7FCB"/>
    <w:rsid w:val="4FDF0F5F"/>
    <w:rsid w:val="51703763"/>
    <w:rsid w:val="51890380"/>
    <w:rsid w:val="51FE4E43"/>
    <w:rsid w:val="545033D7"/>
    <w:rsid w:val="55286102"/>
    <w:rsid w:val="555B73CE"/>
    <w:rsid w:val="558F6181"/>
    <w:rsid w:val="55973D40"/>
    <w:rsid w:val="562B5EAA"/>
    <w:rsid w:val="563461C0"/>
    <w:rsid w:val="5652314D"/>
    <w:rsid w:val="56DE116E"/>
    <w:rsid w:val="57AA2DFF"/>
    <w:rsid w:val="57F875D8"/>
    <w:rsid w:val="59EE16C8"/>
    <w:rsid w:val="59F74948"/>
    <w:rsid w:val="5A1924BD"/>
    <w:rsid w:val="5B123195"/>
    <w:rsid w:val="5B490B80"/>
    <w:rsid w:val="5BB22BCA"/>
    <w:rsid w:val="5C2A62A9"/>
    <w:rsid w:val="5D7243BE"/>
    <w:rsid w:val="5DB0643F"/>
    <w:rsid w:val="5DF272AD"/>
    <w:rsid w:val="5E4C4C10"/>
    <w:rsid w:val="5EFC6636"/>
    <w:rsid w:val="5F901BDD"/>
    <w:rsid w:val="5F990328"/>
    <w:rsid w:val="60FA4DF7"/>
    <w:rsid w:val="61B825BC"/>
    <w:rsid w:val="6200468F"/>
    <w:rsid w:val="6241413E"/>
    <w:rsid w:val="62BD2580"/>
    <w:rsid w:val="62BD2EB9"/>
    <w:rsid w:val="64630F05"/>
    <w:rsid w:val="64B90B25"/>
    <w:rsid w:val="64E9765C"/>
    <w:rsid w:val="64EF09EB"/>
    <w:rsid w:val="650B5491"/>
    <w:rsid w:val="65136487"/>
    <w:rsid w:val="6597225C"/>
    <w:rsid w:val="65A92947"/>
    <w:rsid w:val="65C41AE8"/>
    <w:rsid w:val="676B07FC"/>
    <w:rsid w:val="67E2654F"/>
    <w:rsid w:val="6817003C"/>
    <w:rsid w:val="68724B60"/>
    <w:rsid w:val="688A4CB2"/>
    <w:rsid w:val="68B03FED"/>
    <w:rsid w:val="69D3258F"/>
    <w:rsid w:val="69D72179"/>
    <w:rsid w:val="69F10D61"/>
    <w:rsid w:val="6A3D3FA6"/>
    <w:rsid w:val="6B3B2294"/>
    <w:rsid w:val="6BF42CC8"/>
    <w:rsid w:val="6CAE4CE7"/>
    <w:rsid w:val="6CD75FEC"/>
    <w:rsid w:val="6D714693"/>
    <w:rsid w:val="6E5042A8"/>
    <w:rsid w:val="6FD11419"/>
    <w:rsid w:val="707B75D6"/>
    <w:rsid w:val="70A703CB"/>
    <w:rsid w:val="70CE5958"/>
    <w:rsid w:val="70FD7FEB"/>
    <w:rsid w:val="71092E34"/>
    <w:rsid w:val="713C6D66"/>
    <w:rsid w:val="715A543E"/>
    <w:rsid w:val="719374FA"/>
    <w:rsid w:val="71A55C17"/>
    <w:rsid w:val="7279614B"/>
    <w:rsid w:val="731E31D8"/>
    <w:rsid w:val="74246EF2"/>
    <w:rsid w:val="74B84215"/>
    <w:rsid w:val="755A5A0C"/>
    <w:rsid w:val="759D191D"/>
    <w:rsid w:val="75F23E97"/>
    <w:rsid w:val="761E4ABF"/>
    <w:rsid w:val="76290B75"/>
    <w:rsid w:val="76856AB9"/>
    <w:rsid w:val="770C0F88"/>
    <w:rsid w:val="77185B7F"/>
    <w:rsid w:val="771D13E7"/>
    <w:rsid w:val="773C1FA3"/>
    <w:rsid w:val="77CF6CE3"/>
    <w:rsid w:val="78497340"/>
    <w:rsid w:val="786079EA"/>
    <w:rsid w:val="78B96EEE"/>
    <w:rsid w:val="79A24CA6"/>
    <w:rsid w:val="79DA536E"/>
    <w:rsid w:val="7AAC4F5C"/>
    <w:rsid w:val="7AB94F83"/>
    <w:rsid w:val="7ACA3855"/>
    <w:rsid w:val="7D8B70AB"/>
    <w:rsid w:val="7E4436FD"/>
    <w:rsid w:val="7E6D4A02"/>
    <w:rsid w:val="7EC02D84"/>
    <w:rsid w:val="7ED625F7"/>
    <w:rsid w:val="7F761695"/>
    <w:rsid w:val="7FF57E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2"/>
    <w:basedOn w:val="1"/>
    <w:next w:val="1"/>
    <w:semiHidden/>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spacing w:before="240" w:beforeLines="0" w:after="60" w:afterLines="0" w:line="760" w:lineRule="exact"/>
      <w:jc w:val="center"/>
      <w:outlineLvl w:val="0"/>
    </w:pPr>
    <w:rPr>
      <w:rFonts w:ascii="宋体" w:hAnsi="宋体" w:eastAsia="宋体" w:cs="Arial"/>
      <w:b/>
      <w:bCs/>
      <w:sz w:val="44"/>
      <w:szCs w:val="32"/>
    </w:rPr>
  </w:style>
  <w:style w:type="paragraph" w:styleId="5">
    <w:name w:val="Normal Indent"/>
    <w:basedOn w:val="1"/>
    <w:qFormat/>
    <w:uiPriority w:val="0"/>
    <w:pPr>
      <w:ind w:firstLine="624"/>
      <w:jc w:val="left"/>
    </w:pPr>
  </w:style>
  <w:style w:type="paragraph" w:customStyle="1" w:styleId="8">
    <w:name w:val="B2"/>
    <w:basedOn w:val="4"/>
    <w:qFormat/>
    <w:uiPriority w:val="0"/>
    <w:pPr>
      <w:spacing w:before="0" w:after="0" w:line="360" w:lineRule="auto"/>
    </w:pPr>
    <w:rPr>
      <w:rFonts w:ascii="宋体" w:hAnsi="宋体" w:eastAsia="宋体" w:cs="宋体"/>
      <w:sz w:val="28"/>
      <w:szCs w:val="28"/>
    </w:rPr>
  </w:style>
  <w:style w:type="paragraph" w:customStyle="1" w:styleId="9">
    <w:name w:val="缩正文"/>
    <w:basedOn w:val="1"/>
    <w:qFormat/>
    <w:uiPriority w:val="0"/>
    <w:pPr>
      <w:ind w:firstLine="420" w:firstLineChars="200"/>
    </w:pPr>
    <w:rPr>
      <w:rFonts w:ascii="宋体" w:hAnsi="宋体" w:eastAsia="宋体" w:cs="宋体"/>
      <w:szCs w:val="21"/>
    </w:rPr>
  </w:style>
  <w:style w:type="paragraph" w:customStyle="1" w:styleId="10">
    <w:name w:val="样式1"/>
    <w:basedOn w:val="1"/>
    <w:qFormat/>
    <w:uiPriority w:val="0"/>
    <w:pPr>
      <w:numPr>
        <w:ilvl w:val="2"/>
        <w:numId w:val="1"/>
      </w:numPr>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1815</Words>
  <Characters>1902</Characters>
  <Lines>0</Lines>
  <Paragraphs>0</Paragraphs>
  <TotalTime>0</TotalTime>
  <ScaleCrop>false</ScaleCrop>
  <LinksUpToDate>false</LinksUpToDate>
  <CharactersWithSpaces>1919</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2025-05-20T08:41:00Z</dcterms:created>
  <dc:creator>NESX</dc:creator>
  <cp:lastModifiedBy>nesx</cp:lastModifiedBy>
  <cp:lastPrinted>2025-10-29T02:34:00Z</cp:lastPrinted>
  <dcterms:modified xsi:type="dcterms:W3CDTF">2025-10-29T09:34:07Z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eyJoZGlkIjoiNTdkMTVlMGM4ZGY5ODZmMmYwZThkNWQ3NjQyN2E3MGMiLCJ1c2VySWQiOiI1NDI1NjA3NjgifQ==</vt:lpwstr>
  </property>
  <property fmtid="{D5CDD505-2E9C-101B-9397-08002B2CF9AE}" pid="4" name="ICV">
    <vt:lpwstr>EA5B2136BFC3478FACFC32DD1ECC5FF5_12</vt:lpwstr>
  </property>
</Properties>
</file>