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853BCD">
      <w:pPr>
        <w:jc w:val="left"/>
        <w:rPr>
          <w:rFonts w:ascii="仿宋" w:hAnsi="仿宋" w:eastAsia="仿宋" w:cs="仿宋"/>
          <w:sz w:val="32"/>
          <w:szCs w:val="32"/>
        </w:rPr>
      </w:pPr>
      <w:r>
        <w:rPr>
          <w:rFonts w:hint="eastAsia" w:ascii="仿宋" w:hAnsi="仿宋" w:eastAsia="仿宋" w:cs="仿宋"/>
          <w:sz w:val="32"/>
          <w:szCs w:val="32"/>
        </w:rPr>
        <w:t>附件一</w:t>
      </w:r>
    </w:p>
    <w:p w14:paraId="028EEB2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南方电网供应链（广东）有限公司面向“检储配”一体化协同的运营规程研究</w:t>
      </w:r>
    </w:p>
    <w:p w14:paraId="7F65066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技术规范书</w:t>
      </w:r>
    </w:p>
    <w:p w14:paraId="2FFDB5A8"/>
    <w:p w14:paraId="3CD187D1">
      <w:pPr>
        <w:pStyle w:val="3"/>
      </w:pPr>
      <w:r>
        <w:t>一、研究目标</w:t>
      </w:r>
    </w:p>
    <w:p w14:paraId="4249D8F5">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本项目在江村区域仓仓库运营管理基础上，研究制定涵盖检储协同、消防系统、安全管理、设备运维、园区管理、班组管理、配送管理等多个部分的智慧仓储检储配一体化协同运营规程，全面优化区域仓的运营模式，提升综合运营效能，为南网供应链集团仓储管理的持续创新发展提供坚实支撑。</w:t>
      </w:r>
    </w:p>
    <w:p w14:paraId="2BE6663B">
      <w:pPr>
        <w:pStyle w:val="3"/>
      </w:pPr>
      <w:r>
        <w:t>二、主要研究内容</w:t>
      </w:r>
    </w:p>
    <w:p w14:paraId="183C8CEB">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项目研究内容主要包括：</w:t>
      </w:r>
    </w:p>
    <w:p w14:paraId="7F079361">
      <w:pPr>
        <w:adjustRightInd w:val="0"/>
        <w:snapToGrid w:val="0"/>
        <w:spacing w:line="560" w:lineRule="exact"/>
        <w:ind w:firstLine="562" w:firstLineChars="200"/>
        <w:textAlignment w:val="baseline"/>
        <w:rPr>
          <w:rFonts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rPr>
        <w:t>1.检储协同运营规程研究</w:t>
      </w:r>
    </w:p>
    <w:p w14:paraId="0FF4B1CC">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推动江村仓深化“检储配集成”运作，聚焦“检储协同”“就近检测”等关键业务运作流程，明确各业务环节的业务内容、工作流程、管理要求、应急处置以及注意事项等运营要求。检测方面，形成检测任务跟踪预警机制、应急响应期间检测中紧急运回的沟通流程、协调机制等。仓储方面，梳理适用于江村仓的物资出入库（含立库、平库）、物资送检管理、物资运回管理、物资仓储管理等作业流程，编制一套匹配江村仓“检储配集成”运作的检储协同运营分册，切实提升江村仓检储协同运营管理效率。</w:t>
      </w:r>
    </w:p>
    <w:p w14:paraId="45921818">
      <w:pPr>
        <w:adjustRightInd w:val="0"/>
        <w:snapToGrid w:val="0"/>
        <w:spacing w:line="560" w:lineRule="exact"/>
        <w:ind w:firstLine="562" w:firstLineChars="200"/>
        <w:textAlignment w:val="baseline"/>
        <w:rPr>
          <w:rFonts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rPr>
        <w:t>2.消防系统运营规程研究</w:t>
      </w:r>
    </w:p>
    <w:p w14:paraId="3955A34B">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通过对江村仓消防系统建设运营现状进行充分调研，梳理整合目前消防系统运营管理方面的不足与痛点，编制一套消防系统运营分册，明确基本操作流程、故障处理办法、系统运行方式、系统日常维护、定期检查以及注意事项等消防系统运营要求，同时针对消防系统各类故障编简明化维护方式，确保江村仓消防系统的可靠稳定运行。</w:t>
      </w:r>
    </w:p>
    <w:p w14:paraId="377E0E03">
      <w:pPr>
        <w:adjustRightInd w:val="0"/>
        <w:snapToGrid w:val="0"/>
        <w:spacing w:line="560" w:lineRule="exact"/>
        <w:ind w:firstLine="562" w:firstLineChars="200"/>
        <w:textAlignment w:val="baseline"/>
        <w:rPr>
          <w:rFonts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rPr>
        <w:t>3.安全管理运营规程研究</w:t>
      </w:r>
    </w:p>
    <w:p w14:paraId="25665954">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贯彻落实《南方电网供应链集团有限公司仓库安全管理规范》等管理规定，系统开展安全风险识别与评估，明确安全交底流程、动火工作管理、安全隐患排查与整改、安全防护设施管理、外来施工人员安全管理、外来参观人员安全管理、特种设备及工器具使用管理等工作要求与管理规定，形成一套安全管理运营分册，明确月、季、年安全管理规定动作及督办形式，形成一套有效的管理工具，全面提升江村仓安全管理水平，保障物资与人员安全，助力本质安全型仓库建设。</w:t>
      </w:r>
    </w:p>
    <w:p w14:paraId="5A582C06">
      <w:pPr>
        <w:adjustRightInd w:val="0"/>
        <w:snapToGrid w:val="0"/>
        <w:spacing w:line="560" w:lineRule="exact"/>
        <w:ind w:firstLine="562" w:firstLineChars="200"/>
        <w:textAlignment w:val="baseline"/>
        <w:rPr>
          <w:rFonts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rPr>
        <w:t>4.设备运维运营规程研究</w:t>
      </w:r>
    </w:p>
    <w:p w14:paraId="627DA043">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细致梳理江村仓叉车、起重机、车载吊车等特种设备以及AGV无人叉车、四向穿梭车、户外无人运输车、机器臂等智能立库设备的操作规程、培训手册、安全规定、保养检修规范等基本信息，整合形成一套设备运维运营分册，明确各类设备的运维周期、运维方式等具体运维要求，建立设备运维预警体系，对照网公司生产项目准入及预算标准梳理各项设备运维</w:t>
      </w:r>
      <w:r>
        <w:rPr>
          <w:rFonts w:hint="eastAsia" w:ascii="Times New Roman" w:hAnsi="Times New Roman" w:eastAsia="宋体" w:cs="Times New Roman"/>
          <w:kern w:val="0"/>
          <w:sz w:val="28"/>
          <w:szCs w:val="28"/>
          <w:lang w:val="en-US" w:eastAsia="zh-CN"/>
        </w:rPr>
        <w:t>要求</w:t>
      </w:r>
      <w:r>
        <w:rPr>
          <w:rFonts w:hint="eastAsia" w:ascii="Times New Roman" w:hAnsi="Times New Roman" w:eastAsia="宋体" w:cs="Times New Roman"/>
          <w:kern w:val="0"/>
          <w:sz w:val="28"/>
          <w:szCs w:val="28"/>
        </w:rPr>
        <w:t>，确保设备运维全流程严谨、可靠。</w:t>
      </w:r>
    </w:p>
    <w:p w14:paraId="48B1B6A1">
      <w:pPr>
        <w:adjustRightInd w:val="0"/>
        <w:snapToGrid w:val="0"/>
        <w:spacing w:line="560" w:lineRule="exact"/>
        <w:ind w:firstLine="562" w:firstLineChars="200"/>
        <w:textAlignment w:val="baseline"/>
        <w:rPr>
          <w:rFonts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rPr>
        <w:t>5.园区管理运营规程研究</w:t>
      </w:r>
    </w:p>
    <w:p w14:paraId="087A25C0">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梳理江村仓园区管理设备清单，研究编制园区管理运营分册，明确环境监测设备、照明设备、监控设备、道闸门闸、电子围栏、消防设备等园区管理相关设备的管理要求和运维流程，建立园区控制系统与各类子系统的网络结构拓扑图，明确数据流向，将园区设备管理从“被动应对”转为“主动规范”，强化园区安全保障，降低风险隐患。</w:t>
      </w:r>
    </w:p>
    <w:p w14:paraId="0C43076E">
      <w:pPr>
        <w:adjustRightInd w:val="0"/>
        <w:snapToGrid w:val="0"/>
        <w:spacing w:line="560" w:lineRule="exact"/>
        <w:ind w:firstLine="562" w:firstLineChars="200"/>
        <w:textAlignment w:val="baseline"/>
        <w:rPr>
          <w:rFonts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rPr>
        <w:t>6.班组管理运营规程研究</w:t>
      </w:r>
    </w:p>
    <w:p w14:paraId="5106F072">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组织编制班组管理运营分册，从人员工作效率测算管理、江村承载能力测算、日常表单填写规范、巡查检查等方面对于班组管理运营做出统一规定，结合星级班组评价手册、班组工作手册、各类现场制度梳理江村班组周、月、季、年的规定动作，建立督办机制，同时从资质审核、人员配置规范、培训管理、作业管理以及数字化管理等方面明确对第三方班组的管理要求，进一步提升班组规范化、标准化、水平，推动供应链领域班组基础全面进步、人员能力与素质全面提升。</w:t>
      </w:r>
    </w:p>
    <w:p w14:paraId="552967F5">
      <w:pPr>
        <w:adjustRightInd w:val="0"/>
        <w:snapToGrid w:val="0"/>
        <w:spacing w:line="560" w:lineRule="exact"/>
        <w:ind w:firstLine="562" w:firstLineChars="200"/>
        <w:textAlignment w:val="baseline"/>
        <w:rPr>
          <w:rFonts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rPr>
        <w:t>7.配送管理运营规程研究</w:t>
      </w:r>
    </w:p>
    <w:p w14:paraId="5DC2C491">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组织开展配送管理运营规程研究，编制形成配送管理运营分册，进一步明确常规物资配送、应急物资配送、物资自提等管理流程和运营要求，研究仓库物资包装尺寸测量标准及汇总方式，探究无系统情况下综合考虑物资重量、体积情况下物资装车配载方案的计算规则，制定变压器捆扎方案等，建立与检测、仓储的联动机制，提升配送效率与服务质量，保障常规及应急场景下物资供应的及时性、准确性与安全性。</w:t>
      </w:r>
    </w:p>
    <w:p w14:paraId="38644CC2">
      <w:pPr>
        <w:pStyle w:val="3"/>
      </w:pPr>
      <w:r>
        <w:t>三、拟解决的主要技术难点</w:t>
      </w:r>
    </w:p>
    <w:p w14:paraId="1023857A">
      <w:pPr>
        <w:pStyle w:val="19"/>
        <w:ind w:firstLine="562"/>
        <w:rPr>
          <w:b/>
          <w:bCs/>
        </w:rPr>
      </w:pPr>
      <w:r>
        <w:rPr>
          <w:rFonts w:hint="eastAsia"/>
          <w:b/>
          <w:bCs/>
        </w:rPr>
        <w:t>1.业务流程标准化管理</w:t>
      </w:r>
    </w:p>
    <w:p w14:paraId="3DC44DEC">
      <w:pPr>
        <w:pStyle w:val="19"/>
        <w:ind w:firstLine="560"/>
      </w:pPr>
      <w:r>
        <w:rPr>
          <w:rFonts w:hint="eastAsia"/>
        </w:rPr>
        <w:t>本项目以“全环节覆盖、全角色协同”为核心，针对检储协同、消防操作、安全管理、班组管理等7大场景，将分散的业务动作转化为“业务内容-流程节点-责任主体-管理要求”的标准化规程，确保每个规程可落地、可追溯，解决跨环节衔接错位、操作不统一的问题，为后续智能仓储管理体系建设奠定流程基础。</w:t>
      </w:r>
    </w:p>
    <w:p w14:paraId="2EEE1DD8">
      <w:pPr>
        <w:pStyle w:val="19"/>
        <w:ind w:firstLine="562"/>
        <w:rPr>
          <w:b/>
          <w:bCs/>
        </w:rPr>
      </w:pPr>
      <w:r>
        <w:rPr>
          <w:rFonts w:hint="eastAsia"/>
          <w:b/>
          <w:bCs/>
        </w:rPr>
        <w:t>2.设备全生命周期管控技术</w:t>
      </w:r>
    </w:p>
    <w:p w14:paraId="7FFBA967">
      <w:pPr>
        <w:pStyle w:val="19"/>
        <w:ind w:firstLine="560"/>
      </w:pPr>
      <w:r>
        <w:rPr>
          <w:rFonts w:hint="eastAsia"/>
        </w:rPr>
        <w:t>本项目针对特种设备和智能设备等核心设备，构建形成“台账梳理-运维周期设定-故障处置-维保记录”的全生命周期运维管理体系，实现“设备状态可知、运维需求可预判、故障风险可防控”，避免因设备管理碎片化导致的运维遗漏或过度维护。</w:t>
      </w:r>
    </w:p>
    <w:p w14:paraId="749ECEA0">
      <w:pPr>
        <w:pStyle w:val="19"/>
        <w:ind w:firstLine="562"/>
        <w:rPr>
          <w:b/>
          <w:bCs/>
        </w:rPr>
      </w:pPr>
      <w:r>
        <w:rPr>
          <w:rFonts w:hint="eastAsia"/>
          <w:b/>
          <w:bCs/>
        </w:rPr>
        <w:t>3.风险动态防控机制构建</w:t>
      </w:r>
    </w:p>
    <w:p w14:paraId="144FF6C6">
      <w:pPr>
        <w:pStyle w:val="19"/>
        <w:ind w:firstLine="560"/>
      </w:pPr>
      <w:r>
        <w:rPr>
          <w:rFonts w:hint="eastAsia"/>
        </w:rPr>
        <w:t>本项目融合风险识别、安全管理、应急处置等安全风险管控场景，建立“日常排查-风险评估-分级处置-整改闭环”的动态机制，将静态的规程要求转化为动态的风险响应动作，确保风险防控覆盖“事前预防、事中处置、事后复盘”全链条。</w:t>
      </w:r>
    </w:p>
    <w:p w14:paraId="26201166">
      <w:pPr>
        <w:pStyle w:val="3"/>
      </w:pPr>
      <w:r>
        <w:rPr>
          <w:rFonts w:hint="eastAsia"/>
        </w:rPr>
        <w:t>四、主要技术参数</w:t>
      </w:r>
    </w:p>
    <w:p w14:paraId="746C2E82">
      <w:pPr>
        <w:pStyle w:val="4"/>
      </w:pPr>
      <w:r>
        <w:rPr>
          <w:rFonts w:hint="eastAsia"/>
        </w:rPr>
        <w:t>（一）工作条件</w:t>
      </w:r>
    </w:p>
    <w:p w14:paraId="6EEEE749">
      <w:pPr>
        <w:pStyle w:val="19"/>
        <w:ind w:firstLine="560"/>
      </w:pPr>
      <w:r>
        <w:rPr>
          <w:rFonts w:hint="eastAsia"/>
        </w:rPr>
        <w:t>1.工作地点：江村区域仓；</w:t>
      </w:r>
    </w:p>
    <w:p w14:paraId="1A75EE07">
      <w:pPr>
        <w:pStyle w:val="19"/>
        <w:ind w:firstLine="560"/>
        <w:rPr>
          <w:rFonts w:hint="eastAsia"/>
        </w:rPr>
      </w:pPr>
      <w:r>
        <w:rPr>
          <w:rFonts w:hint="eastAsia"/>
        </w:rPr>
        <w:t>2.工作内容：面向“检储配”一体化协同的运营规程应覆盖检储协同、消防系统、安全管理、设备运维、园区管理、班组管理、配送管理等7个业务场景</w:t>
      </w:r>
    </w:p>
    <w:p w14:paraId="22A20B33">
      <w:pPr>
        <w:pStyle w:val="19"/>
        <w:ind w:firstLine="560"/>
      </w:pPr>
      <w:r>
        <w:rPr>
          <w:rFonts w:hint="eastAsia"/>
          <w:lang w:val="en-US" w:eastAsia="zh-CN"/>
        </w:rPr>
        <w:t>3.其他要求：甲方不提供办公和住宿条件；为确保项目交付质量要求，乙方项目组成员需深度参与现场调研，现场调研天数不少于5个工作日</w:t>
      </w:r>
      <w:r>
        <w:rPr>
          <w:rFonts w:hint="eastAsia"/>
        </w:rPr>
        <w:t>。</w:t>
      </w:r>
    </w:p>
    <w:p w14:paraId="3961FF5D">
      <w:pPr>
        <w:pStyle w:val="4"/>
      </w:pPr>
      <w:r>
        <w:rPr>
          <w:rFonts w:hint="eastAsia"/>
        </w:rPr>
        <w:t>（二）配置要求</w:t>
      </w:r>
    </w:p>
    <w:p w14:paraId="140C41A0">
      <w:pPr>
        <w:pStyle w:val="19"/>
        <w:ind w:firstLine="560"/>
      </w:pPr>
      <w:r>
        <w:rPr>
          <w:rFonts w:hint="eastAsia"/>
        </w:rPr>
        <w:t>无。</w:t>
      </w:r>
    </w:p>
    <w:p w14:paraId="4405A3EA">
      <w:pPr>
        <w:pStyle w:val="4"/>
      </w:pPr>
      <w:r>
        <w:rPr>
          <w:rFonts w:hint="eastAsia"/>
        </w:rPr>
        <w:t>（三）技术要求</w:t>
      </w:r>
    </w:p>
    <w:tbl>
      <w:tblPr>
        <w:tblStyle w:val="1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9"/>
        <w:gridCol w:w="6341"/>
      </w:tblGrid>
      <w:tr w14:paraId="5A351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79" w:type="pct"/>
            <w:vAlign w:val="center"/>
          </w:tcPr>
          <w:p w14:paraId="6A067959">
            <w:pPr>
              <w:jc w:val="center"/>
              <w:rPr>
                <w:b/>
                <w:bCs/>
              </w:rPr>
            </w:pPr>
            <w:r>
              <w:rPr>
                <w:rFonts w:hint="eastAsia"/>
                <w:b/>
                <w:bCs/>
              </w:rPr>
              <w:t>项目</w:t>
            </w:r>
          </w:p>
        </w:tc>
        <w:tc>
          <w:tcPr>
            <w:tcW w:w="3721" w:type="pct"/>
            <w:vAlign w:val="center"/>
          </w:tcPr>
          <w:p w14:paraId="4FBEB4C9">
            <w:pPr>
              <w:jc w:val="center"/>
              <w:rPr>
                <w:b/>
                <w:bCs/>
              </w:rPr>
            </w:pPr>
            <w:r>
              <w:rPr>
                <w:rFonts w:hint="eastAsia"/>
                <w:b/>
                <w:bCs/>
              </w:rPr>
              <w:t>要求</w:t>
            </w:r>
          </w:p>
        </w:tc>
      </w:tr>
      <w:tr w14:paraId="2324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79" w:type="pct"/>
            <w:vAlign w:val="center"/>
          </w:tcPr>
          <w:p w14:paraId="3E69C256">
            <w:pPr>
              <w:jc w:val="center"/>
            </w:pPr>
            <w:r>
              <w:rPr>
                <w:rFonts w:hint="eastAsia"/>
              </w:rPr>
              <w:t>分册数量</w:t>
            </w:r>
          </w:p>
        </w:tc>
        <w:tc>
          <w:tcPr>
            <w:tcW w:w="3721" w:type="pct"/>
          </w:tcPr>
          <w:p w14:paraId="1B2B064E">
            <w:r>
              <w:rPr>
                <w:rFonts w:hint="eastAsia"/>
              </w:rPr>
              <w:t>包括检储协同、消防系统、安全管理、设备运维、园区管理、班组管理、配送管理等7个分册</w:t>
            </w:r>
            <w:bookmarkStart w:id="0" w:name="_GoBack"/>
            <w:bookmarkEnd w:id="0"/>
            <w:r>
              <w:rPr>
                <w:rFonts w:hint="eastAsia"/>
              </w:rPr>
              <w:t>。</w:t>
            </w:r>
          </w:p>
        </w:tc>
      </w:tr>
    </w:tbl>
    <w:p w14:paraId="44BCEA0A">
      <w:pPr>
        <w:pStyle w:val="3"/>
        <w:numPr>
          <w:ilvl w:val="0"/>
          <w:numId w:val="1"/>
        </w:numPr>
      </w:pPr>
      <w:r>
        <w:t>交付成果与验收标准</w:t>
      </w:r>
    </w:p>
    <w:p w14:paraId="5BD41012">
      <w:pPr>
        <w:pStyle w:val="4"/>
      </w:pPr>
      <w:r>
        <w:rPr>
          <w:rFonts w:hint="eastAsia"/>
        </w:rPr>
        <w:t>（一）</w:t>
      </w:r>
      <w:r>
        <w:t>成果</w:t>
      </w:r>
    </w:p>
    <w:tbl>
      <w:tblPr>
        <w:tblStyle w:val="9"/>
        <w:tblW w:w="5205" w:type="pct"/>
        <w:jc w:val="righ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467"/>
        <w:gridCol w:w="2537"/>
        <w:gridCol w:w="1123"/>
        <w:gridCol w:w="1545"/>
        <w:gridCol w:w="2199"/>
      </w:tblGrid>
      <w:tr w14:paraId="5F6BFF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7" w:type="pct"/>
            <w:tcBorders>
              <w:top w:val="single" w:color="auto" w:sz="4" w:space="0"/>
              <w:left w:val="single" w:color="auto" w:sz="4" w:space="0"/>
              <w:bottom w:val="single" w:color="auto" w:sz="4" w:space="0"/>
              <w:right w:val="single" w:color="auto" w:sz="4" w:space="0"/>
            </w:tcBorders>
            <w:vAlign w:val="center"/>
          </w:tcPr>
          <w:p w14:paraId="7C2740F9">
            <w:pPr>
              <w:jc w:val="center"/>
              <w:rPr>
                <w:rFonts w:asciiTheme="majorEastAsia" w:hAnsiTheme="majorEastAsia" w:eastAsiaTheme="majorEastAsia" w:cstheme="majorEastAsia"/>
                <w:sz w:val="22"/>
              </w:rPr>
            </w:pPr>
            <w:r>
              <w:rPr>
                <w:rFonts w:hint="eastAsia" w:asciiTheme="majorEastAsia" w:hAnsiTheme="majorEastAsia" w:eastAsiaTheme="majorEastAsia" w:cstheme="majorEastAsia"/>
                <w:sz w:val="22"/>
              </w:rPr>
              <w:t>成果分类</w:t>
            </w:r>
          </w:p>
        </w:tc>
        <w:tc>
          <w:tcPr>
            <w:tcW w:w="1430" w:type="pct"/>
            <w:tcBorders>
              <w:top w:val="single" w:color="auto" w:sz="4" w:space="0"/>
              <w:left w:val="single" w:color="auto" w:sz="4" w:space="0"/>
              <w:bottom w:val="single" w:color="auto" w:sz="4" w:space="0"/>
              <w:right w:val="single" w:color="auto" w:sz="4" w:space="0"/>
            </w:tcBorders>
            <w:vAlign w:val="center"/>
          </w:tcPr>
          <w:p w14:paraId="27F6351E">
            <w:pPr>
              <w:jc w:val="center"/>
              <w:rPr>
                <w:rFonts w:asciiTheme="majorEastAsia" w:hAnsiTheme="majorEastAsia" w:eastAsiaTheme="majorEastAsia" w:cstheme="majorEastAsia"/>
                <w:sz w:val="22"/>
              </w:rPr>
            </w:pPr>
            <w:r>
              <w:rPr>
                <w:rFonts w:hint="eastAsia" w:asciiTheme="majorEastAsia" w:hAnsiTheme="majorEastAsia" w:eastAsiaTheme="majorEastAsia" w:cstheme="majorEastAsia"/>
                <w:sz w:val="22"/>
              </w:rPr>
              <w:t>成果名称</w:t>
            </w:r>
          </w:p>
        </w:tc>
        <w:tc>
          <w:tcPr>
            <w:tcW w:w="633" w:type="pct"/>
            <w:tcBorders>
              <w:top w:val="single" w:color="auto" w:sz="4" w:space="0"/>
              <w:left w:val="single" w:color="auto" w:sz="4" w:space="0"/>
              <w:bottom w:val="single" w:color="auto" w:sz="4" w:space="0"/>
              <w:right w:val="single" w:color="auto" w:sz="4" w:space="0"/>
            </w:tcBorders>
            <w:vAlign w:val="center"/>
          </w:tcPr>
          <w:p w14:paraId="36C1747D">
            <w:pPr>
              <w:jc w:val="center"/>
              <w:rPr>
                <w:rFonts w:asciiTheme="majorEastAsia" w:hAnsiTheme="majorEastAsia" w:eastAsiaTheme="majorEastAsia" w:cstheme="majorEastAsia"/>
                <w:sz w:val="22"/>
              </w:rPr>
            </w:pPr>
            <w:r>
              <w:rPr>
                <w:rFonts w:hint="eastAsia" w:asciiTheme="majorEastAsia" w:hAnsiTheme="majorEastAsia" w:eastAsiaTheme="majorEastAsia" w:cstheme="majorEastAsia"/>
                <w:sz w:val="22"/>
              </w:rPr>
              <w:t>交付标准</w:t>
            </w:r>
          </w:p>
        </w:tc>
        <w:tc>
          <w:tcPr>
            <w:tcW w:w="871" w:type="pct"/>
            <w:tcBorders>
              <w:top w:val="single" w:color="auto" w:sz="4" w:space="0"/>
              <w:left w:val="single" w:color="auto" w:sz="4" w:space="0"/>
              <w:bottom w:val="single" w:color="auto" w:sz="4" w:space="0"/>
              <w:right w:val="single" w:color="auto" w:sz="4" w:space="0"/>
            </w:tcBorders>
            <w:vAlign w:val="center"/>
          </w:tcPr>
          <w:p w14:paraId="01BE4884">
            <w:pPr>
              <w:jc w:val="center"/>
              <w:rPr>
                <w:rFonts w:asciiTheme="majorEastAsia" w:hAnsiTheme="majorEastAsia" w:eastAsiaTheme="majorEastAsia" w:cstheme="majorEastAsia"/>
                <w:sz w:val="22"/>
              </w:rPr>
            </w:pPr>
            <w:r>
              <w:rPr>
                <w:rFonts w:hint="eastAsia" w:asciiTheme="majorEastAsia" w:hAnsiTheme="majorEastAsia" w:eastAsiaTheme="majorEastAsia" w:cstheme="majorEastAsia"/>
                <w:sz w:val="22"/>
              </w:rPr>
              <w:t>交付时间拟定</w:t>
            </w:r>
          </w:p>
        </w:tc>
        <w:tc>
          <w:tcPr>
            <w:tcW w:w="1239" w:type="pct"/>
            <w:tcBorders>
              <w:top w:val="single" w:color="auto" w:sz="4" w:space="0"/>
              <w:left w:val="single" w:color="auto" w:sz="4" w:space="0"/>
              <w:bottom w:val="single" w:color="auto" w:sz="4" w:space="0"/>
              <w:right w:val="single" w:color="auto" w:sz="4" w:space="0"/>
            </w:tcBorders>
            <w:vAlign w:val="center"/>
          </w:tcPr>
          <w:p w14:paraId="5B72ACFD">
            <w:pPr>
              <w:jc w:val="center"/>
              <w:rPr>
                <w:rFonts w:asciiTheme="majorEastAsia" w:hAnsiTheme="majorEastAsia" w:eastAsiaTheme="majorEastAsia" w:cstheme="majorEastAsia"/>
                <w:sz w:val="22"/>
              </w:rPr>
            </w:pPr>
            <w:r>
              <w:rPr>
                <w:rFonts w:hint="eastAsia" w:asciiTheme="majorEastAsia" w:hAnsiTheme="majorEastAsia" w:eastAsiaTheme="majorEastAsia" w:cstheme="majorEastAsia"/>
                <w:sz w:val="22"/>
              </w:rPr>
              <w:t>说明</w:t>
            </w:r>
          </w:p>
        </w:tc>
      </w:tr>
      <w:tr w14:paraId="343C8A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7" w:type="pct"/>
            <w:tcBorders>
              <w:top w:val="single" w:color="auto" w:sz="4" w:space="0"/>
              <w:left w:val="single" w:color="auto" w:sz="4" w:space="0"/>
              <w:bottom w:val="single" w:color="auto" w:sz="4" w:space="0"/>
              <w:right w:val="single" w:color="auto" w:sz="4" w:space="0"/>
            </w:tcBorders>
            <w:vAlign w:val="center"/>
          </w:tcPr>
          <w:p w14:paraId="0A2275F9">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方案意见类</w:t>
            </w:r>
          </w:p>
        </w:tc>
        <w:tc>
          <w:tcPr>
            <w:tcW w:w="1430" w:type="pct"/>
            <w:tcBorders>
              <w:top w:val="single" w:color="auto" w:sz="4" w:space="0"/>
              <w:left w:val="single" w:color="auto" w:sz="4" w:space="0"/>
              <w:bottom w:val="single" w:color="auto" w:sz="4" w:space="0"/>
              <w:right w:val="single" w:color="auto" w:sz="4" w:space="0"/>
            </w:tcBorders>
            <w:vAlign w:val="center"/>
          </w:tcPr>
          <w:p w14:paraId="61469A24">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检储协同运营规程分册</w:t>
            </w:r>
          </w:p>
        </w:tc>
        <w:tc>
          <w:tcPr>
            <w:tcW w:w="633" w:type="pct"/>
            <w:tcBorders>
              <w:top w:val="single" w:color="auto" w:sz="4" w:space="0"/>
              <w:left w:val="single" w:color="auto" w:sz="4" w:space="0"/>
              <w:bottom w:val="single" w:color="auto" w:sz="4" w:space="0"/>
              <w:right w:val="single" w:color="auto" w:sz="4" w:space="0"/>
            </w:tcBorders>
            <w:vAlign w:val="center"/>
          </w:tcPr>
          <w:p w14:paraId="6B7512DB">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完成</w:t>
            </w:r>
          </w:p>
        </w:tc>
        <w:tc>
          <w:tcPr>
            <w:tcW w:w="871" w:type="pct"/>
            <w:tcBorders>
              <w:top w:val="single" w:color="auto" w:sz="4" w:space="0"/>
              <w:left w:val="single" w:color="auto" w:sz="4" w:space="0"/>
              <w:bottom w:val="single" w:color="auto" w:sz="4" w:space="0"/>
              <w:right w:val="single" w:color="auto" w:sz="4" w:space="0"/>
            </w:tcBorders>
            <w:vAlign w:val="center"/>
          </w:tcPr>
          <w:p w14:paraId="39D03FA0">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2025年1</w:t>
            </w:r>
            <w:r>
              <w:rPr>
                <w:rFonts w:hint="eastAsia" w:asciiTheme="majorEastAsia" w:hAnsiTheme="majorEastAsia" w:eastAsiaTheme="majorEastAsia" w:cstheme="majorEastAsia"/>
                <w:color w:val="000000"/>
                <w:kern w:val="0"/>
                <w:sz w:val="22"/>
                <w:lang w:val="en-US" w:eastAsia="zh-CN" w:bidi="ar"/>
              </w:rPr>
              <w:t>1</w:t>
            </w:r>
            <w:r>
              <w:rPr>
                <w:rFonts w:hint="eastAsia" w:asciiTheme="majorEastAsia" w:hAnsiTheme="majorEastAsia" w:eastAsiaTheme="majorEastAsia" w:cstheme="majorEastAsia"/>
                <w:color w:val="000000"/>
                <w:kern w:val="0"/>
                <w:sz w:val="22"/>
                <w:lang w:bidi="ar"/>
              </w:rPr>
              <w:t>月</w:t>
            </w:r>
          </w:p>
        </w:tc>
        <w:tc>
          <w:tcPr>
            <w:tcW w:w="1239" w:type="pct"/>
            <w:tcBorders>
              <w:top w:val="single" w:color="auto" w:sz="4" w:space="0"/>
              <w:left w:val="single" w:color="auto" w:sz="4" w:space="0"/>
              <w:bottom w:val="single" w:color="auto" w:sz="4" w:space="0"/>
              <w:right w:val="single" w:color="auto" w:sz="4" w:space="0"/>
            </w:tcBorders>
            <w:vAlign w:val="center"/>
          </w:tcPr>
          <w:p w14:paraId="065CC2AA">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sz w:val="22"/>
              </w:rPr>
              <w:t>经项目专家组评审通过</w:t>
            </w:r>
          </w:p>
        </w:tc>
      </w:tr>
      <w:tr w14:paraId="3E1985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7" w:type="pct"/>
            <w:tcBorders>
              <w:top w:val="single" w:color="auto" w:sz="4" w:space="0"/>
              <w:left w:val="single" w:color="auto" w:sz="4" w:space="0"/>
              <w:bottom w:val="single" w:color="auto" w:sz="4" w:space="0"/>
              <w:right w:val="single" w:color="auto" w:sz="4" w:space="0"/>
            </w:tcBorders>
            <w:vAlign w:val="center"/>
          </w:tcPr>
          <w:p w14:paraId="35CE352D">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方案意见类</w:t>
            </w:r>
          </w:p>
        </w:tc>
        <w:tc>
          <w:tcPr>
            <w:tcW w:w="1430" w:type="pct"/>
            <w:tcBorders>
              <w:top w:val="single" w:color="auto" w:sz="4" w:space="0"/>
              <w:left w:val="single" w:color="auto" w:sz="4" w:space="0"/>
              <w:bottom w:val="single" w:color="auto" w:sz="4" w:space="0"/>
              <w:right w:val="single" w:color="auto" w:sz="4" w:space="0"/>
            </w:tcBorders>
            <w:vAlign w:val="center"/>
          </w:tcPr>
          <w:p w14:paraId="42DAD870">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消防系统运营规程分册</w:t>
            </w:r>
          </w:p>
        </w:tc>
        <w:tc>
          <w:tcPr>
            <w:tcW w:w="633" w:type="pct"/>
            <w:tcBorders>
              <w:top w:val="single" w:color="auto" w:sz="4" w:space="0"/>
              <w:left w:val="single" w:color="auto" w:sz="4" w:space="0"/>
              <w:bottom w:val="single" w:color="auto" w:sz="4" w:space="0"/>
              <w:right w:val="single" w:color="auto" w:sz="4" w:space="0"/>
            </w:tcBorders>
            <w:vAlign w:val="center"/>
          </w:tcPr>
          <w:p w14:paraId="60AE1967">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完成</w:t>
            </w:r>
          </w:p>
        </w:tc>
        <w:tc>
          <w:tcPr>
            <w:tcW w:w="871" w:type="pct"/>
            <w:tcBorders>
              <w:top w:val="single" w:color="auto" w:sz="4" w:space="0"/>
              <w:left w:val="single" w:color="auto" w:sz="4" w:space="0"/>
              <w:bottom w:val="single" w:color="auto" w:sz="4" w:space="0"/>
              <w:right w:val="single" w:color="auto" w:sz="4" w:space="0"/>
            </w:tcBorders>
            <w:vAlign w:val="center"/>
          </w:tcPr>
          <w:p w14:paraId="121160A8">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2025年1</w:t>
            </w:r>
            <w:r>
              <w:rPr>
                <w:rFonts w:hint="eastAsia" w:asciiTheme="majorEastAsia" w:hAnsiTheme="majorEastAsia" w:eastAsiaTheme="majorEastAsia" w:cstheme="majorEastAsia"/>
                <w:color w:val="000000"/>
                <w:kern w:val="0"/>
                <w:sz w:val="22"/>
                <w:lang w:val="en-US" w:eastAsia="zh-CN" w:bidi="ar"/>
              </w:rPr>
              <w:t>1</w:t>
            </w:r>
            <w:r>
              <w:rPr>
                <w:rFonts w:hint="eastAsia" w:asciiTheme="majorEastAsia" w:hAnsiTheme="majorEastAsia" w:eastAsiaTheme="majorEastAsia" w:cstheme="majorEastAsia"/>
                <w:color w:val="000000"/>
                <w:kern w:val="0"/>
                <w:sz w:val="22"/>
                <w:lang w:bidi="ar"/>
              </w:rPr>
              <w:t>月</w:t>
            </w:r>
          </w:p>
        </w:tc>
        <w:tc>
          <w:tcPr>
            <w:tcW w:w="1239" w:type="pct"/>
            <w:tcBorders>
              <w:top w:val="single" w:color="auto" w:sz="4" w:space="0"/>
              <w:left w:val="single" w:color="auto" w:sz="4" w:space="0"/>
              <w:bottom w:val="single" w:color="auto" w:sz="4" w:space="0"/>
              <w:right w:val="single" w:color="auto" w:sz="4" w:space="0"/>
            </w:tcBorders>
            <w:vAlign w:val="center"/>
          </w:tcPr>
          <w:p w14:paraId="3FB5D783">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经项目专家组评审通过</w:t>
            </w:r>
          </w:p>
        </w:tc>
      </w:tr>
      <w:tr w14:paraId="241F74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7" w:type="pct"/>
            <w:tcBorders>
              <w:top w:val="single" w:color="auto" w:sz="4" w:space="0"/>
              <w:left w:val="single" w:color="auto" w:sz="4" w:space="0"/>
              <w:bottom w:val="single" w:color="auto" w:sz="4" w:space="0"/>
              <w:right w:val="single" w:color="auto" w:sz="4" w:space="0"/>
            </w:tcBorders>
            <w:vAlign w:val="center"/>
          </w:tcPr>
          <w:p w14:paraId="4459C5BE">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方案意见类</w:t>
            </w:r>
          </w:p>
        </w:tc>
        <w:tc>
          <w:tcPr>
            <w:tcW w:w="1430" w:type="pct"/>
            <w:tcBorders>
              <w:top w:val="single" w:color="auto" w:sz="4" w:space="0"/>
              <w:left w:val="single" w:color="auto" w:sz="4" w:space="0"/>
              <w:bottom w:val="single" w:color="auto" w:sz="4" w:space="0"/>
              <w:right w:val="single" w:color="auto" w:sz="4" w:space="0"/>
            </w:tcBorders>
            <w:vAlign w:val="center"/>
          </w:tcPr>
          <w:p w14:paraId="4303D15B">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安全管理运营规程分册</w:t>
            </w:r>
          </w:p>
        </w:tc>
        <w:tc>
          <w:tcPr>
            <w:tcW w:w="633" w:type="pct"/>
            <w:tcBorders>
              <w:top w:val="single" w:color="auto" w:sz="4" w:space="0"/>
              <w:left w:val="single" w:color="auto" w:sz="4" w:space="0"/>
              <w:bottom w:val="single" w:color="auto" w:sz="4" w:space="0"/>
              <w:right w:val="single" w:color="auto" w:sz="4" w:space="0"/>
            </w:tcBorders>
            <w:vAlign w:val="center"/>
          </w:tcPr>
          <w:p w14:paraId="048366E8">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完成</w:t>
            </w:r>
          </w:p>
        </w:tc>
        <w:tc>
          <w:tcPr>
            <w:tcW w:w="871" w:type="pct"/>
            <w:tcBorders>
              <w:top w:val="single" w:color="auto" w:sz="4" w:space="0"/>
              <w:left w:val="single" w:color="auto" w:sz="4" w:space="0"/>
              <w:bottom w:val="single" w:color="auto" w:sz="4" w:space="0"/>
              <w:right w:val="single" w:color="auto" w:sz="4" w:space="0"/>
            </w:tcBorders>
            <w:vAlign w:val="center"/>
          </w:tcPr>
          <w:p w14:paraId="400F7366">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2025年1</w:t>
            </w:r>
            <w:r>
              <w:rPr>
                <w:rFonts w:hint="eastAsia" w:asciiTheme="majorEastAsia" w:hAnsiTheme="majorEastAsia" w:eastAsiaTheme="majorEastAsia" w:cstheme="majorEastAsia"/>
                <w:color w:val="000000"/>
                <w:kern w:val="0"/>
                <w:sz w:val="22"/>
                <w:lang w:val="en-US" w:eastAsia="zh-CN" w:bidi="ar"/>
              </w:rPr>
              <w:t>1</w:t>
            </w:r>
            <w:r>
              <w:rPr>
                <w:rFonts w:hint="eastAsia" w:asciiTheme="majorEastAsia" w:hAnsiTheme="majorEastAsia" w:eastAsiaTheme="majorEastAsia" w:cstheme="majorEastAsia"/>
                <w:color w:val="000000"/>
                <w:kern w:val="0"/>
                <w:sz w:val="22"/>
                <w:lang w:bidi="ar"/>
              </w:rPr>
              <w:t>月</w:t>
            </w:r>
          </w:p>
        </w:tc>
        <w:tc>
          <w:tcPr>
            <w:tcW w:w="1239" w:type="pct"/>
            <w:tcBorders>
              <w:top w:val="single" w:color="auto" w:sz="4" w:space="0"/>
              <w:left w:val="single" w:color="auto" w:sz="4" w:space="0"/>
              <w:bottom w:val="single" w:color="auto" w:sz="4" w:space="0"/>
              <w:right w:val="single" w:color="auto" w:sz="4" w:space="0"/>
            </w:tcBorders>
            <w:vAlign w:val="center"/>
          </w:tcPr>
          <w:p w14:paraId="2BCAF4D6">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经项目专家组评审通过</w:t>
            </w:r>
          </w:p>
        </w:tc>
      </w:tr>
      <w:tr w14:paraId="779CBD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7" w:type="pct"/>
            <w:tcBorders>
              <w:top w:val="single" w:color="auto" w:sz="4" w:space="0"/>
              <w:left w:val="single" w:color="auto" w:sz="4" w:space="0"/>
              <w:bottom w:val="single" w:color="auto" w:sz="4" w:space="0"/>
              <w:right w:val="single" w:color="auto" w:sz="4" w:space="0"/>
            </w:tcBorders>
            <w:vAlign w:val="center"/>
          </w:tcPr>
          <w:p w14:paraId="7E33A6F6">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方案意见类</w:t>
            </w:r>
          </w:p>
        </w:tc>
        <w:tc>
          <w:tcPr>
            <w:tcW w:w="1430" w:type="pct"/>
            <w:tcBorders>
              <w:top w:val="single" w:color="auto" w:sz="4" w:space="0"/>
              <w:left w:val="single" w:color="auto" w:sz="4" w:space="0"/>
              <w:bottom w:val="single" w:color="auto" w:sz="4" w:space="0"/>
              <w:right w:val="single" w:color="auto" w:sz="4" w:space="0"/>
            </w:tcBorders>
            <w:vAlign w:val="center"/>
          </w:tcPr>
          <w:p w14:paraId="1E9923EE">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设备运维运营规程分册</w:t>
            </w:r>
          </w:p>
        </w:tc>
        <w:tc>
          <w:tcPr>
            <w:tcW w:w="633" w:type="pct"/>
            <w:tcBorders>
              <w:top w:val="single" w:color="auto" w:sz="4" w:space="0"/>
              <w:left w:val="single" w:color="auto" w:sz="4" w:space="0"/>
              <w:bottom w:val="single" w:color="auto" w:sz="4" w:space="0"/>
              <w:right w:val="single" w:color="auto" w:sz="4" w:space="0"/>
            </w:tcBorders>
            <w:vAlign w:val="center"/>
          </w:tcPr>
          <w:p w14:paraId="740435E7">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完成</w:t>
            </w:r>
          </w:p>
        </w:tc>
        <w:tc>
          <w:tcPr>
            <w:tcW w:w="871" w:type="pct"/>
            <w:tcBorders>
              <w:top w:val="single" w:color="auto" w:sz="4" w:space="0"/>
              <w:left w:val="single" w:color="auto" w:sz="4" w:space="0"/>
              <w:bottom w:val="single" w:color="auto" w:sz="4" w:space="0"/>
              <w:right w:val="single" w:color="auto" w:sz="4" w:space="0"/>
            </w:tcBorders>
            <w:vAlign w:val="center"/>
          </w:tcPr>
          <w:p w14:paraId="6094D3F4">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2025年11月</w:t>
            </w:r>
          </w:p>
        </w:tc>
        <w:tc>
          <w:tcPr>
            <w:tcW w:w="1239" w:type="pct"/>
            <w:tcBorders>
              <w:top w:val="single" w:color="auto" w:sz="4" w:space="0"/>
              <w:left w:val="single" w:color="auto" w:sz="4" w:space="0"/>
              <w:bottom w:val="single" w:color="auto" w:sz="4" w:space="0"/>
              <w:right w:val="single" w:color="auto" w:sz="4" w:space="0"/>
            </w:tcBorders>
            <w:vAlign w:val="center"/>
          </w:tcPr>
          <w:p w14:paraId="48942D5A">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经项目专家组评审通过</w:t>
            </w:r>
          </w:p>
        </w:tc>
      </w:tr>
      <w:tr w14:paraId="48AF7A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7" w:type="pct"/>
            <w:tcBorders>
              <w:top w:val="single" w:color="auto" w:sz="4" w:space="0"/>
              <w:left w:val="single" w:color="auto" w:sz="4" w:space="0"/>
              <w:bottom w:val="single" w:color="auto" w:sz="4" w:space="0"/>
              <w:right w:val="single" w:color="auto" w:sz="4" w:space="0"/>
            </w:tcBorders>
            <w:vAlign w:val="center"/>
          </w:tcPr>
          <w:p w14:paraId="0962B043">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方案意见类</w:t>
            </w:r>
          </w:p>
        </w:tc>
        <w:tc>
          <w:tcPr>
            <w:tcW w:w="1430" w:type="pct"/>
            <w:tcBorders>
              <w:top w:val="single" w:color="auto" w:sz="4" w:space="0"/>
              <w:left w:val="single" w:color="auto" w:sz="4" w:space="0"/>
              <w:bottom w:val="single" w:color="auto" w:sz="4" w:space="0"/>
              <w:right w:val="single" w:color="auto" w:sz="4" w:space="0"/>
            </w:tcBorders>
            <w:vAlign w:val="center"/>
          </w:tcPr>
          <w:p w14:paraId="2A10BA7B">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园区管理运营规程分册</w:t>
            </w:r>
          </w:p>
        </w:tc>
        <w:tc>
          <w:tcPr>
            <w:tcW w:w="633" w:type="pct"/>
            <w:tcBorders>
              <w:top w:val="single" w:color="auto" w:sz="4" w:space="0"/>
              <w:left w:val="single" w:color="auto" w:sz="4" w:space="0"/>
              <w:bottom w:val="single" w:color="auto" w:sz="4" w:space="0"/>
              <w:right w:val="single" w:color="auto" w:sz="4" w:space="0"/>
            </w:tcBorders>
            <w:vAlign w:val="center"/>
          </w:tcPr>
          <w:p w14:paraId="5ECEC6BD">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完成</w:t>
            </w:r>
          </w:p>
        </w:tc>
        <w:tc>
          <w:tcPr>
            <w:tcW w:w="871" w:type="pct"/>
            <w:tcBorders>
              <w:top w:val="single" w:color="auto" w:sz="4" w:space="0"/>
              <w:left w:val="single" w:color="auto" w:sz="4" w:space="0"/>
              <w:bottom w:val="single" w:color="auto" w:sz="4" w:space="0"/>
              <w:right w:val="single" w:color="auto" w:sz="4" w:space="0"/>
            </w:tcBorders>
            <w:vAlign w:val="center"/>
          </w:tcPr>
          <w:p w14:paraId="3DAB3A7E">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2025年11月</w:t>
            </w:r>
          </w:p>
        </w:tc>
        <w:tc>
          <w:tcPr>
            <w:tcW w:w="1239" w:type="pct"/>
            <w:tcBorders>
              <w:top w:val="single" w:color="auto" w:sz="4" w:space="0"/>
              <w:left w:val="single" w:color="auto" w:sz="4" w:space="0"/>
              <w:bottom w:val="single" w:color="auto" w:sz="4" w:space="0"/>
              <w:right w:val="single" w:color="auto" w:sz="4" w:space="0"/>
            </w:tcBorders>
            <w:vAlign w:val="center"/>
          </w:tcPr>
          <w:p w14:paraId="6CEFDAF3">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经项目专家组评审通过</w:t>
            </w:r>
          </w:p>
        </w:tc>
      </w:tr>
      <w:tr w14:paraId="0FF08C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7" w:type="pct"/>
            <w:tcBorders>
              <w:top w:val="single" w:color="auto" w:sz="4" w:space="0"/>
              <w:left w:val="single" w:color="auto" w:sz="4" w:space="0"/>
              <w:bottom w:val="single" w:color="auto" w:sz="4" w:space="0"/>
              <w:right w:val="single" w:color="auto" w:sz="4" w:space="0"/>
            </w:tcBorders>
            <w:vAlign w:val="center"/>
          </w:tcPr>
          <w:p w14:paraId="5CBC247D">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方案意见类</w:t>
            </w:r>
          </w:p>
        </w:tc>
        <w:tc>
          <w:tcPr>
            <w:tcW w:w="1430" w:type="pct"/>
            <w:tcBorders>
              <w:top w:val="single" w:color="auto" w:sz="4" w:space="0"/>
              <w:left w:val="single" w:color="auto" w:sz="4" w:space="0"/>
              <w:bottom w:val="single" w:color="auto" w:sz="4" w:space="0"/>
              <w:right w:val="single" w:color="auto" w:sz="4" w:space="0"/>
            </w:tcBorders>
            <w:vAlign w:val="center"/>
          </w:tcPr>
          <w:p w14:paraId="38D0A461">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班组管理运营规程分册</w:t>
            </w:r>
          </w:p>
        </w:tc>
        <w:tc>
          <w:tcPr>
            <w:tcW w:w="633" w:type="pct"/>
            <w:tcBorders>
              <w:top w:val="single" w:color="auto" w:sz="4" w:space="0"/>
              <w:left w:val="single" w:color="auto" w:sz="4" w:space="0"/>
              <w:bottom w:val="single" w:color="auto" w:sz="4" w:space="0"/>
              <w:right w:val="single" w:color="auto" w:sz="4" w:space="0"/>
            </w:tcBorders>
            <w:vAlign w:val="center"/>
          </w:tcPr>
          <w:p w14:paraId="373EF654">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完成</w:t>
            </w:r>
          </w:p>
        </w:tc>
        <w:tc>
          <w:tcPr>
            <w:tcW w:w="871" w:type="pct"/>
            <w:tcBorders>
              <w:top w:val="single" w:color="auto" w:sz="4" w:space="0"/>
              <w:left w:val="single" w:color="auto" w:sz="4" w:space="0"/>
              <w:bottom w:val="single" w:color="auto" w:sz="4" w:space="0"/>
              <w:right w:val="single" w:color="auto" w:sz="4" w:space="0"/>
            </w:tcBorders>
            <w:vAlign w:val="center"/>
          </w:tcPr>
          <w:p w14:paraId="057CCD3C">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2025年11月</w:t>
            </w:r>
          </w:p>
        </w:tc>
        <w:tc>
          <w:tcPr>
            <w:tcW w:w="1239" w:type="pct"/>
            <w:tcBorders>
              <w:top w:val="single" w:color="auto" w:sz="4" w:space="0"/>
              <w:left w:val="single" w:color="auto" w:sz="4" w:space="0"/>
              <w:bottom w:val="single" w:color="auto" w:sz="4" w:space="0"/>
              <w:right w:val="single" w:color="auto" w:sz="4" w:space="0"/>
            </w:tcBorders>
            <w:vAlign w:val="center"/>
          </w:tcPr>
          <w:p w14:paraId="1FDA2CAC">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经项目专家组评审通过</w:t>
            </w:r>
          </w:p>
        </w:tc>
      </w:tr>
      <w:tr w14:paraId="506EB3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7" w:type="pct"/>
            <w:tcBorders>
              <w:top w:val="single" w:color="auto" w:sz="4" w:space="0"/>
              <w:left w:val="single" w:color="auto" w:sz="4" w:space="0"/>
              <w:bottom w:val="single" w:color="auto" w:sz="4" w:space="0"/>
              <w:right w:val="single" w:color="auto" w:sz="4" w:space="0"/>
            </w:tcBorders>
            <w:vAlign w:val="center"/>
          </w:tcPr>
          <w:p w14:paraId="731D4693">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方案意见类</w:t>
            </w:r>
          </w:p>
        </w:tc>
        <w:tc>
          <w:tcPr>
            <w:tcW w:w="1430" w:type="pct"/>
            <w:tcBorders>
              <w:top w:val="single" w:color="auto" w:sz="4" w:space="0"/>
              <w:left w:val="single" w:color="auto" w:sz="4" w:space="0"/>
              <w:bottom w:val="single" w:color="auto" w:sz="4" w:space="0"/>
              <w:right w:val="single" w:color="auto" w:sz="4" w:space="0"/>
            </w:tcBorders>
            <w:vAlign w:val="center"/>
          </w:tcPr>
          <w:p w14:paraId="4529742E">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配送管理运营规程分册</w:t>
            </w:r>
          </w:p>
        </w:tc>
        <w:tc>
          <w:tcPr>
            <w:tcW w:w="633" w:type="pct"/>
            <w:tcBorders>
              <w:top w:val="single" w:color="auto" w:sz="4" w:space="0"/>
              <w:left w:val="single" w:color="auto" w:sz="4" w:space="0"/>
              <w:bottom w:val="single" w:color="auto" w:sz="4" w:space="0"/>
              <w:right w:val="single" w:color="auto" w:sz="4" w:space="0"/>
            </w:tcBorders>
            <w:vAlign w:val="center"/>
          </w:tcPr>
          <w:p w14:paraId="625AEF70">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完成</w:t>
            </w:r>
          </w:p>
        </w:tc>
        <w:tc>
          <w:tcPr>
            <w:tcW w:w="871" w:type="pct"/>
            <w:tcBorders>
              <w:top w:val="single" w:color="auto" w:sz="4" w:space="0"/>
              <w:left w:val="single" w:color="auto" w:sz="4" w:space="0"/>
              <w:bottom w:val="single" w:color="auto" w:sz="4" w:space="0"/>
              <w:right w:val="single" w:color="auto" w:sz="4" w:space="0"/>
            </w:tcBorders>
            <w:vAlign w:val="center"/>
          </w:tcPr>
          <w:p w14:paraId="55A076A6">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2025年11月</w:t>
            </w:r>
          </w:p>
        </w:tc>
        <w:tc>
          <w:tcPr>
            <w:tcW w:w="1239" w:type="pct"/>
            <w:tcBorders>
              <w:top w:val="single" w:color="auto" w:sz="4" w:space="0"/>
              <w:left w:val="single" w:color="auto" w:sz="4" w:space="0"/>
              <w:bottom w:val="single" w:color="auto" w:sz="4" w:space="0"/>
              <w:right w:val="single" w:color="auto" w:sz="4" w:space="0"/>
            </w:tcBorders>
            <w:vAlign w:val="center"/>
          </w:tcPr>
          <w:p w14:paraId="07F4ABC7">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经项目专家组评审通过</w:t>
            </w:r>
          </w:p>
        </w:tc>
      </w:tr>
    </w:tbl>
    <w:p w14:paraId="2F090806">
      <w:pPr>
        <w:pStyle w:val="4"/>
      </w:pPr>
      <w:r>
        <w:rPr>
          <w:rFonts w:hint="eastAsia"/>
        </w:rPr>
        <w:t>（二）成果权属要求</w:t>
      </w:r>
    </w:p>
    <w:p w14:paraId="2F0B80B7">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成果双方确定，因履行本合同形成的技术成果及知识产权归属甲方所有，乙方未经过甲方同意不得使用和处分。</w:t>
      </w:r>
    </w:p>
    <w:p w14:paraId="30DC0F19">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乙方完成技术研究的人员享有在研究成果文件上写明自己是完成者的权利。</w:t>
      </w:r>
    </w:p>
    <w:p w14:paraId="53B5B169">
      <w:pPr>
        <w:pStyle w:val="4"/>
      </w:pPr>
      <w:r>
        <w:rPr>
          <w:rFonts w:hint="eastAsia"/>
        </w:rPr>
        <w:t>（三）成果验收</w:t>
      </w:r>
    </w:p>
    <w:p w14:paraId="5C83D52A">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项目完成后（甲方收到乙方交付的成果后），由甲方组织专家组对项目的成果进行验收</w:t>
      </w:r>
      <w:r>
        <w:rPr>
          <w:rFonts w:ascii="Times New Roman" w:hAnsi="Times New Roman" w:eastAsia="宋体" w:cs="Times New Roman"/>
          <w:sz w:val="28"/>
          <w:szCs w:val="28"/>
        </w:rPr>
        <w:t>。</w:t>
      </w:r>
    </w:p>
    <w:p w14:paraId="5F4102CA">
      <w:pPr>
        <w:spacing w:line="560" w:lineRule="exact"/>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验收标准：按照技术规范书成果形式和数量验收</w:t>
      </w:r>
    </w:p>
    <w:p w14:paraId="4C5374CB">
      <w:pPr>
        <w:spacing w:line="560" w:lineRule="exact"/>
        <w:ind w:firstLine="562" w:firstLineChars="200"/>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eastAsia="zh-CN"/>
        </w:rPr>
        <w:t>（</w:t>
      </w:r>
      <w:r>
        <w:rPr>
          <w:rFonts w:hint="eastAsia" w:ascii="Times New Roman" w:hAnsi="Times New Roman" w:eastAsia="宋体" w:cs="Times New Roman"/>
          <w:b/>
          <w:bCs/>
          <w:sz w:val="28"/>
          <w:szCs w:val="28"/>
          <w:lang w:val="en-US" w:eastAsia="zh-CN"/>
        </w:rPr>
        <w:t>四</w:t>
      </w:r>
      <w:r>
        <w:rPr>
          <w:rFonts w:hint="eastAsia" w:ascii="Times New Roman" w:hAnsi="Times New Roman" w:eastAsia="宋体" w:cs="Times New Roman"/>
          <w:b/>
          <w:bCs/>
          <w:sz w:val="28"/>
          <w:szCs w:val="28"/>
          <w:lang w:eastAsia="zh-CN"/>
        </w:rPr>
        <w:t>）</w:t>
      </w:r>
      <w:r>
        <w:rPr>
          <w:rFonts w:hint="eastAsia" w:ascii="Times New Roman" w:hAnsi="Times New Roman" w:eastAsia="宋体" w:cs="Times New Roman"/>
          <w:b/>
          <w:bCs/>
          <w:sz w:val="28"/>
          <w:szCs w:val="28"/>
          <w:lang w:val="en-US" w:eastAsia="zh-CN"/>
        </w:rPr>
        <w:t>其他</w:t>
      </w:r>
    </w:p>
    <w:p w14:paraId="7DBE1144">
      <w:pPr>
        <w:spacing w:line="560" w:lineRule="exact"/>
        <w:ind w:firstLine="560" w:firstLineChars="200"/>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1.乙方应在合同签订生效之日向甲方提供咨询计划书，包括咨询内容、咨询人员安排、时间进度安排、收资清单等，需与技术规范书要求保持一致。</w:t>
      </w:r>
    </w:p>
    <w:p w14:paraId="44F1615D">
      <w:pPr>
        <w:spacing w:line="560" w:lineRule="exact"/>
        <w:ind w:firstLine="560" w:firstLineChars="200"/>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2.乙方提交的咨询成果不符合技术规范书要求的，乙方应进行修改、完善，并于11月30日前完成。</w:t>
      </w:r>
    </w:p>
    <w:p w14:paraId="1DBF78BC">
      <w:pPr>
        <w:spacing w:line="560" w:lineRule="exact"/>
        <w:ind w:firstLine="560" w:firstLineChars="200"/>
        <w:rPr>
          <w:rFonts w:hint="eastAsia" w:eastAsia="宋体"/>
          <w:lang w:val="en-US" w:eastAsia="zh-CN"/>
        </w:rPr>
      </w:pPr>
      <w:r>
        <w:rPr>
          <w:rFonts w:hint="eastAsia" w:ascii="Times New Roman" w:hAnsi="Times New Roman" w:eastAsia="宋体" w:cs="Times New Roman"/>
          <w:sz w:val="28"/>
          <w:szCs w:val="28"/>
          <w:lang w:val="en-US" w:eastAsia="zh-CN"/>
        </w:rPr>
        <w:t>3.乙方咨询工作进度或工作内容不符合技术规范书和咨询计划书约定并经甲方通知3天后仍未纠正的，或迟延提交咨询成果达到3天的，甲方有权解除合同。</w:t>
      </w:r>
    </w:p>
    <w:p w14:paraId="52A24E8A">
      <w:pPr>
        <w:pStyle w:val="3"/>
      </w:pPr>
      <w:r>
        <w:rPr>
          <w:rFonts w:hint="eastAsia"/>
        </w:rPr>
        <w:t>五</w:t>
      </w:r>
      <w:r>
        <w:t>、时间进度安排</w:t>
      </w:r>
    </w:p>
    <w:p w14:paraId="468A7BC4">
      <w:pPr>
        <w:spacing w:line="360" w:lineRule="auto"/>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项目进度计划拟安排如下：</w:t>
      </w:r>
    </w:p>
    <w:tbl>
      <w:tblPr>
        <w:tblStyle w:val="9"/>
        <w:tblW w:w="57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16"/>
        <w:gridCol w:w="1401"/>
        <w:gridCol w:w="1576"/>
        <w:gridCol w:w="6005"/>
      </w:tblGrid>
      <w:tr w14:paraId="5296E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21" w:type="pct"/>
            <w:vAlign w:val="center"/>
          </w:tcPr>
          <w:p w14:paraId="46D637C8">
            <w:pPr>
              <w:widowControl/>
              <w:jc w:val="center"/>
              <w:rPr>
                <w:rFonts w:ascii="宋体" w:hAnsi="宋体" w:eastAsia="宋体" w:cs="宋体"/>
                <w:szCs w:val="21"/>
              </w:rPr>
            </w:pPr>
            <w:r>
              <w:rPr>
                <w:rFonts w:hint="eastAsia" w:ascii="宋体" w:hAnsi="宋体" w:eastAsia="宋体" w:cs="宋体"/>
                <w:szCs w:val="21"/>
              </w:rPr>
              <w:t>序号</w:t>
            </w:r>
          </w:p>
        </w:tc>
        <w:tc>
          <w:tcPr>
            <w:tcW w:w="730" w:type="pct"/>
            <w:tcMar>
              <w:top w:w="54" w:type="dxa"/>
              <w:left w:w="108" w:type="dxa"/>
              <w:bottom w:w="54" w:type="dxa"/>
              <w:right w:w="108" w:type="dxa"/>
            </w:tcMar>
            <w:vAlign w:val="center"/>
          </w:tcPr>
          <w:p w14:paraId="50D3A6CF">
            <w:pPr>
              <w:widowControl/>
              <w:jc w:val="center"/>
              <w:rPr>
                <w:rFonts w:ascii="宋体" w:hAnsi="宋体" w:eastAsia="宋体" w:cs="宋体"/>
                <w:szCs w:val="21"/>
              </w:rPr>
            </w:pPr>
            <w:r>
              <w:rPr>
                <w:rFonts w:hint="eastAsia" w:ascii="宋体" w:hAnsi="宋体" w:eastAsia="宋体" w:cs="宋体"/>
                <w:szCs w:val="21"/>
              </w:rPr>
              <w:t>任务名称</w:t>
            </w:r>
          </w:p>
        </w:tc>
        <w:tc>
          <w:tcPr>
            <w:tcW w:w="821" w:type="pct"/>
            <w:tcMar>
              <w:top w:w="54" w:type="dxa"/>
              <w:left w:w="108" w:type="dxa"/>
              <w:bottom w:w="54" w:type="dxa"/>
              <w:right w:w="108" w:type="dxa"/>
            </w:tcMar>
            <w:vAlign w:val="center"/>
          </w:tcPr>
          <w:p w14:paraId="509698DF">
            <w:pPr>
              <w:widowControl/>
              <w:jc w:val="center"/>
              <w:rPr>
                <w:rFonts w:ascii="宋体" w:hAnsi="宋体" w:eastAsia="宋体" w:cs="宋体"/>
                <w:szCs w:val="21"/>
              </w:rPr>
            </w:pPr>
            <w:r>
              <w:rPr>
                <w:rFonts w:hint="eastAsia" w:ascii="宋体" w:hAnsi="宋体" w:eastAsia="宋体" w:cs="宋体"/>
                <w:szCs w:val="21"/>
              </w:rPr>
              <w:t>时间要求</w:t>
            </w:r>
          </w:p>
        </w:tc>
        <w:tc>
          <w:tcPr>
            <w:tcW w:w="3128" w:type="pct"/>
            <w:tcMar>
              <w:top w:w="54" w:type="dxa"/>
              <w:left w:w="108" w:type="dxa"/>
              <w:bottom w:w="54" w:type="dxa"/>
              <w:right w:w="108" w:type="dxa"/>
            </w:tcMar>
            <w:vAlign w:val="center"/>
          </w:tcPr>
          <w:p w14:paraId="0E1949A6">
            <w:pPr>
              <w:widowControl/>
              <w:jc w:val="center"/>
              <w:rPr>
                <w:rFonts w:ascii="宋体" w:hAnsi="宋体" w:eastAsia="宋体" w:cs="宋体"/>
                <w:szCs w:val="21"/>
              </w:rPr>
            </w:pPr>
            <w:r>
              <w:rPr>
                <w:rFonts w:hint="eastAsia" w:ascii="宋体" w:hAnsi="宋体" w:eastAsia="宋体" w:cs="宋体"/>
                <w:szCs w:val="21"/>
              </w:rPr>
              <w:t>主要内容及交付项</w:t>
            </w:r>
          </w:p>
        </w:tc>
      </w:tr>
      <w:tr w14:paraId="20FD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21" w:type="pct"/>
            <w:vAlign w:val="center"/>
          </w:tcPr>
          <w:p w14:paraId="12ECE6B2">
            <w:pPr>
              <w:widowControl/>
              <w:jc w:val="center"/>
              <w:rPr>
                <w:rFonts w:ascii="宋体" w:hAnsi="宋体" w:eastAsia="宋体" w:cs="宋体"/>
                <w:szCs w:val="21"/>
              </w:rPr>
            </w:pPr>
            <w:r>
              <w:rPr>
                <w:rFonts w:hint="eastAsia" w:ascii="宋体" w:hAnsi="宋体" w:eastAsia="宋体" w:cs="宋体"/>
                <w:szCs w:val="21"/>
              </w:rPr>
              <w:t>1</w:t>
            </w:r>
          </w:p>
        </w:tc>
        <w:tc>
          <w:tcPr>
            <w:tcW w:w="730" w:type="pct"/>
            <w:tcMar>
              <w:top w:w="15" w:type="dxa"/>
              <w:left w:w="108" w:type="dxa"/>
              <w:bottom w:w="0" w:type="dxa"/>
              <w:right w:w="108" w:type="dxa"/>
            </w:tcMar>
            <w:vAlign w:val="center"/>
          </w:tcPr>
          <w:p w14:paraId="65BD6393">
            <w:pPr>
              <w:widowControl/>
              <w:jc w:val="center"/>
              <w:rPr>
                <w:rFonts w:ascii="宋体" w:hAnsi="宋体" w:eastAsia="宋体" w:cs="宋体"/>
                <w:szCs w:val="21"/>
              </w:rPr>
            </w:pPr>
            <w:r>
              <w:rPr>
                <w:rFonts w:hint="eastAsia" w:ascii="宋体" w:hAnsi="宋体" w:eastAsia="宋体" w:cs="宋体"/>
                <w:szCs w:val="21"/>
              </w:rPr>
              <w:t>现状调研</w:t>
            </w:r>
          </w:p>
        </w:tc>
        <w:tc>
          <w:tcPr>
            <w:tcW w:w="821" w:type="pct"/>
            <w:tcMar>
              <w:top w:w="15" w:type="dxa"/>
              <w:left w:w="108" w:type="dxa"/>
              <w:bottom w:w="0" w:type="dxa"/>
              <w:right w:w="108" w:type="dxa"/>
            </w:tcMar>
            <w:vAlign w:val="center"/>
          </w:tcPr>
          <w:p w14:paraId="544112E0">
            <w:pPr>
              <w:widowControl/>
              <w:jc w:val="center"/>
              <w:rPr>
                <w:rFonts w:ascii="宋体" w:hAnsi="宋体" w:eastAsia="宋体" w:cs="宋体"/>
                <w:szCs w:val="21"/>
              </w:rPr>
            </w:pPr>
            <w:r>
              <w:rPr>
                <w:rFonts w:hint="eastAsia" w:ascii="宋体" w:hAnsi="宋体" w:eastAsia="宋体" w:cs="宋体"/>
                <w:szCs w:val="21"/>
              </w:rPr>
              <w:t>2025年</w:t>
            </w:r>
            <w:r>
              <w:rPr>
                <w:rFonts w:hint="eastAsia" w:ascii="宋体" w:hAnsi="宋体" w:eastAsia="宋体" w:cs="宋体"/>
                <w:szCs w:val="21"/>
                <w:lang w:val="en-US" w:eastAsia="zh-CN"/>
              </w:rPr>
              <w:t>11</w:t>
            </w:r>
            <w:r>
              <w:rPr>
                <w:rFonts w:hint="eastAsia" w:ascii="宋体" w:hAnsi="宋体" w:eastAsia="宋体" w:cs="宋体"/>
                <w:szCs w:val="21"/>
              </w:rPr>
              <w:t>月</w:t>
            </w:r>
          </w:p>
        </w:tc>
        <w:tc>
          <w:tcPr>
            <w:tcW w:w="3128" w:type="pct"/>
            <w:tcMar>
              <w:top w:w="15" w:type="dxa"/>
              <w:left w:w="108" w:type="dxa"/>
              <w:bottom w:w="0" w:type="dxa"/>
              <w:right w:w="108" w:type="dxa"/>
            </w:tcMar>
            <w:vAlign w:val="center"/>
          </w:tcPr>
          <w:p w14:paraId="5C3BF995">
            <w:pPr>
              <w:widowControl/>
              <w:rPr>
                <w:rFonts w:ascii="宋体" w:hAnsi="宋体" w:eastAsia="宋体" w:cs="宋体"/>
                <w:b/>
                <w:bCs/>
                <w:szCs w:val="21"/>
              </w:rPr>
            </w:pPr>
            <w:r>
              <w:rPr>
                <w:rFonts w:hint="eastAsia" w:ascii="宋体" w:hAnsi="宋体" w:eastAsia="宋体" w:cs="宋体"/>
                <w:b/>
                <w:bCs/>
                <w:szCs w:val="21"/>
              </w:rPr>
              <w:t>主要内容：</w:t>
            </w:r>
          </w:p>
          <w:p w14:paraId="15E2FD49">
            <w:pPr>
              <w:widowControl/>
              <w:rPr>
                <w:rFonts w:ascii="宋体" w:hAnsi="宋体" w:eastAsia="宋体" w:cs="宋体"/>
                <w:szCs w:val="21"/>
              </w:rPr>
            </w:pPr>
            <w:r>
              <w:rPr>
                <w:rFonts w:hint="eastAsia" w:ascii="宋体" w:hAnsi="宋体" w:eastAsia="宋体" w:cs="宋体"/>
                <w:szCs w:val="21"/>
              </w:rPr>
              <w:t>组织调研，完成检储协同部分、消防系统部分、安全管理部分的运营规程编制工作；</w:t>
            </w:r>
          </w:p>
          <w:p w14:paraId="501B9B85">
            <w:pPr>
              <w:pStyle w:val="2"/>
              <w:ind w:left="0"/>
              <w:rPr>
                <w:rFonts w:ascii="宋体" w:hAnsi="宋体" w:eastAsia="宋体" w:cs="宋体"/>
                <w:b/>
                <w:bCs/>
                <w:sz w:val="21"/>
                <w:szCs w:val="21"/>
              </w:rPr>
            </w:pPr>
            <w:r>
              <w:rPr>
                <w:rFonts w:hint="eastAsia" w:ascii="宋体" w:hAnsi="宋体" w:eastAsia="宋体" w:cs="宋体"/>
                <w:b/>
                <w:bCs/>
                <w:sz w:val="21"/>
                <w:szCs w:val="21"/>
              </w:rPr>
              <w:t>交付物：</w:t>
            </w:r>
          </w:p>
          <w:p w14:paraId="3DF28305">
            <w:r>
              <w:rPr>
                <w:rFonts w:hint="eastAsia" w:asciiTheme="majorEastAsia" w:hAnsiTheme="majorEastAsia" w:eastAsiaTheme="majorEastAsia" w:cstheme="majorEastAsia"/>
                <w:color w:val="000000"/>
                <w:kern w:val="0"/>
                <w:sz w:val="22"/>
                <w:lang w:bidi="ar"/>
              </w:rPr>
              <w:t>检储协同运营规程分册、消防系统运营规程分册、安全管理运营规程分册。</w:t>
            </w:r>
          </w:p>
        </w:tc>
      </w:tr>
      <w:tr w14:paraId="49CB6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21" w:type="pct"/>
            <w:vAlign w:val="center"/>
          </w:tcPr>
          <w:p w14:paraId="2CCEC9B9">
            <w:pPr>
              <w:widowControl/>
              <w:jc w:val="center"/>
              <w:rPr>
                <w:rFonts w:ascii="宋体" w:hAnsi="宋体" w:eastAsia="宋体" w:cs="宋体"/>
                <w:szCs w:val="21"/>
              </w:rPr>
            </w:pPr>
            <w:r>
              <w:rPr>
                <w:rFonts w:hint="eastAsia" w:ascii="宋体" w:hAnsi="宋体" w:eastAsia="宋体" w:cs="宋体"/>
                <w:szCs w:val="21"/>
              </w:rPr>
              <w:t>2</w:t>
            </w:r>
          </w:p>
        </w:tc>
        <w:tc>
          <w:tcPr>
            <w:tcW w:w="730" w:type="pct"/>
            <w:tcMar>
              <w:top w:w="15" w:type="dxa"/>
              <w:left w:w="108" w:type="dxa"/>
              <w:bottom w:w="0" w:type="dxa"/>
              <w:right w:w="108" w:type="dxa"/>
            </w:tcMar>
            <w:vAlign w:val="center"/>
          </w:tcPr>
          <w:p w14:paraId="02F3561C">
            <w:pPr>
              <w:widowControl/>
              <w:jc w:val="center"/>
              <w:rPr>
                <w:rFonts w:ascii="宋体" w:hAnsi="宋体" w:eastAsia="宋体" w:cs="宋体"/>
                <w:szCs w:val="21"/>
              </w:rPr>
            </w:pPr>
            <w:r>
              <w:rPr>
                <w:rFonts w:hint="eastAsia" w:ascii="宋体" w:hAnsi="宋体" w:eastAsia="宋体" w:cs="宋体"/>
                <w:szCs w:val="21"/>
              </w:rPr>
              <w:t>推进项目内容实施</w:t>
            </w:r>
          </w:p>
        </w:tc>
        <w:tc>
          <w:tcPr>
            <w:tcW w:w="821" w:type="pct"/>
            <w:tcMar>
              <w:top w:w="15" w:type="dxa"/>
              <w:left w:w="108" w:type="dxa"/>
              <w:bottom w:w="0" w:type="dxa"/>
              <w:right w:w="108" w:type="dxa"/>
            </w:tcMar>
            <w:vAlign w:val="center"/>
          </w:tcPr>
          <w:p w14:paraId="56ABA3B5">
            <w:pPr>
              <w:widowControl/>
              <w:jc w:val="center"/>
              <w:rPr>
                <w:rFonts w:ascii="宋体" w:hAnsi="宋体" w:eastAsia="宋体" w:cs="宋体"/>
                <w:szCs w:val="21"/>
              </w:rPr>
            </w:pPr>
            <w:r>
              <w:rPr>
                <w:rFonts w:hint="eastAsia" w:ascii="宋体" w:hAnsi="宋体" w:eastAsia="宋体" w:cs="宋体"/>
                <w:szCs w:val="21"/>
              </w:rPr>
              <w:t>2025年11月</w:t>
            </w:r>
          </w:p>
        </w:tc>
        <w:tc>
          <w:tcPr>
            <w:tcW w:w="3128" w:type="pct"/>
            <w:tcMar>
              <w:top w:w="15" w:type="dxa"/>
              <w:left w:w="108" w:type="dxa"/>
              <w:bottom w:w="0" w:type="dxa"/>
              <w:right w:w="108" w:type="dxa"/>
            </w:tcMar>
            <w:vAlign w:val="center"/>
          </w:tcPr>
          <w:p w14:paraId="7D267302">
            <w:pPr>
              <w:widowControl/>
              <w:rPr>
                <w:rFonts w:ascii="宋体" w:hAnsi="宋体" w:eastAsia="宋体" w:cs="宋体"/>
                <w:b/>
                <w:bCs/>
                <w:szCs w:val="21"/>
              </w:rPr>
            </w:pPr>
            <w:r>
              <w:rPr>
                <w:rFonts w:hint="eastAsia" w:ascii="宋体" w:hAnsi="宋体" w:eastAsia="宋体" w:cs="宋体"/>
                <w:b/>
                <w:bCs/>
                <w:szCs w:val="21"/>
              </w:rPr>
              <w:t>主要内容：</w:t>
            </w:r>
          </w:p>
          <w:p w14:paraId="69DCF112">
            <w:pPr>
              <w:widowControl/>
              <w:rPr>
                <w:rFonts w:ascii="宋体" w:hAnsi="宋体" w:eastAsia="宋体" w:cs="宋体"/>
                <w:szCs w:val="21"/>
              </w:rPr>
            </w:pPr>
            <w:r>
              <w:rPr>
                <w:rFonts w:hint="eastAsia" w:ascii="宋体" w:hAnsi="宋体" w:eastAsia="宋体" w:cs="宋体"/>
                <w:szCs w:val="21"/>
              </w:rPr>
              <w:t>完成设备运维部分、园区管理部分、班组管理部分、配送管理部分的运营规程编制工作。</w:t>
            </w:r>
          </w:p>
          <w:p w14:paraId="00174258">
            <w:pPr>
              <w:pStyle w:val="2"/>
              <w:ind w:left="0"/>
              <w:rPr>
                <w:rFonts w:ascii="宋体" w:hAnsi="宋体" w:eastAsia="宋体" w:cs="宋体"/>
                <w:b/>
                <w:bCs/>
                <w:sz w:val="21"/>
                <w:szCs w:val="21"/>
              </w:rPr>
            </w:pPr>
            <w:r>
              <w:rPr>
                <w:rFonts w:hint="eastAsia" w:ascii="宋体" w:hAnsi="宋体" w:eastAsia="宋体" w:cs="宋体"/>
                <w:b/>
                <w:bCs/>
                <w:sz w:val="21"/>
                <w:szCs w:val="21"/>
              </w:rPr>
              <w:t>交付物：</w:t>
            </w:r>
          </w:p>
          <w:p w14:paraId="3F47C149">
            <w:r>
              <w:rPr>
                <w:rFonts w:hint="eastAsia" w:asciiTheme="majorEastAsia" w:hAnsiTheme="majorEastAsia" w:eastAsiaTheme="majorEastAsia" w:cstheme="majorEastAsia"/>
                <w:color w:val="000000"/>
                <w:kern w:val="0"/>
                <w:sz w:val="22"/>
                <w:lang w:bidi="ar"/>
              </w:rPr>
              <w:t>设备运维运营规程分册、园区管理运营规程分册、班组管理运营规程分册、配送管理运营规程分册。</w:t>
            </w:r>
          </w:p>
        </w:tc>
      </w:tr>
      <w:tr w14:paraId="1E58D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21" w:type="pct"/>
            <w:vAlign w:val="center"/>
          </w:tcPr>
          <w:p w14:paraId="7B34F7A8">
            <w:pPr>
              <w:widowControl/>
              <w:jc w:val="center"/>
              <w:rPr>
                <w:rFonts w:ascii="宋体" w:hAnsi="宋体" w:eastAsia="宋体" w:cs="宋体"/>
                <w:szCs w:val="21"/>
              </w:rPr>
            </w:pPr>
            <w:r>
              <w:rPr>
                <w:rFonts w:hint="eastAsia" w:ascii="宋体" w:hAnsi="宋体" w:eastAsia="宋体" w:cs="宋体"/>
                <w:szCs w:val="21"/>
              </w:rPr>
              <w:t>3</w:t>
            </w:r>
          </w:p>
        </w:tc>
        <w:tc>
          <w:tcPr>
            <w:tcW w:w="730" w:type="pct"/>
            <w:tcMar>
              <w:top w:w="15" w:type="dxa"/>
              <w:left w:w="108" w:type="dxa"/>
              <w:bottom w:w="0" w:type="dxa"/>
              <w:right w:w="108" w:type="dxa"/>
            </w:tcMar>
            <w:vAlign w:val="center"/>
          </w:tcPr>
          <w:p w14:paraId="01C6A31F">
            <w:pPr>
              <w:widowControl/>
              <w:jc w:val="center"/>
              <w:rPr>
                <w:rFonts w:ascii="宋体" w:hAnsi="宋体" w:eastAsia="宋体" w:cs="宋体"/>
                <w:szCs w:val="21"/>
              </w:rPr>
            </w:pPr>
            <w:r>
              <w:rPr>
                <w:rFonts w:hint="eastAsia" w:ascii="宋体" w:hAnsi="宋体" w:eastAsia="宋体" w:cs="宋体"/>
                <w:szCs w:val="21"/>
              </w:rPr>
              <w:t>项目验收结题</w:t>
            </w:r>
          </w:p>
        </w:tc>
        <w:tc>
          <w:tcPr>
            <w:tcW w:w="821" w:type="pct"/>
            <w:tcMar>
              <w:top w:w="15" w:type="dxa"/>
              <w:left w:w="108" w:type="dxa"/>
              <w:bottom w:w="0" w:type="dxa"/>
              <w:right w:w="108" w:type="dxa"/>
            </w:tcMar>
            <w:vAlign w:val="center"/>
          </w:tcPr>
          <w:p w14:paraId="02AB5673">
            <w:pPr>
              <w:widowControl/>
              <w:jc w:val="center"/>
              <w:rPr>
                <w:rFonts w:ascii="宋体" w:hAnsi="宋体" w:eastAsia="宋体" w:cs="宋体"/>
                <w:szCs w:val="21"/>
              </w:rPr>
            </w:pPr>
            <w:r>
              <w:rPr>
                <w:rFonts w:hint="eastAsia" w:ascii="宋体" w:hAnsi="宋体" w:eastAsia="宋体" w:cs="宋体"/>
                <w:szCs w:val="21"/>
              </w:rPr>
              <w:t>2025年11月</w:t>
            </w:r>
          </w:p>
        </w:tc>
        <w:tc>
          <w:tcPr>
            <w:tcW w:w="3128" w:type="pct"/>
            <w:tcMar>
              <w:top w:w="15" w:type="dxa"/>
              <w:left w:w="108" w:type="dxa"/>
              <w:bottom w:w="0" w:type="dxa"/>
              <w:right w:w="108" w:type="dxa"/>
            </w:tcMar>
            <w:vAlign w:val="center"/>
          </w:tcPr>
          <w:p w14:paraId="70B331D5">
            <w:pPr>
              <w:widowControl/>
              <w:rPr>
                <w:rFonts w:ascii="宋体" w:hAnsi="宋体" w:eastAsia="宋体" w:cs="宋体"/>
                <w:b/>
                <w:bCs/>
                <w:szCs w:val="21"/>
              </w:rPr>
            </w:pPr>
            <w:r>
              <w:rPr>
                <w:rFonts w:hint="eastAsia" w:ascii="宋体" w:hAnsi="宋体" w:eastAsia="宋体" w:cs="宋体"/>
                <w:b/>
                <w:bCs/>
                <w:szCs w:val="21"/>
              </w:rPr>
              <w:t>主要内容：</w:t>
            </w:r>
          </w:p>
          <w:p w14:paraId="2990F0EF">
            <w:pPr>
              <w:widowControl/>
              <w:rPr>
                <w:rFonts w:ascii="宋体" w:hAnsi="宋体" w:eastAsia="宋体" w:cs="宋体"/>
                <w:szCs w:val="21"/>
              </w:rPr>
            </w:pPr>
            <w:r>
              <w:rPr>
                <w:rFonts w:hint="eastAsia" w:ascii="宋体" w:hAnsi="宋体" w:eastAsia="宋体" w:cs="宋体"/>
                <w:szCs w:val="21"/>
              </w:rPr>
              <w:t>项目验收结题。</w:t>
            </w:r>
          </w:p>
        </w:tc>
      </w:tr>
    </w:tbl>
    <w:p w14:paraId="5BEB4737">
      <w:pPr>
        <w:rPr>
          <w:rFonts w:ascii="等线" w:hAnsi="等线" w:eastAsia="等线" w:cs="Times New Roman"/>
        </w:rPr>
      </w:pPr>
    </w:p>
    <w:p w14:paraId="62EB7101">
      <w:pPr>
        <w:pStyle w:val="3"/>
        <w:numPr>
          <w:ilvl w:val="0"/>
          <w:numId w:val="2"/>
        </w:numPr>
      </w:pPr>
      <w:r>
        <w:rPr>
          <w:rFonts w:hint="eastAsia"/>
        </w:rPr>
        <w:t>其他补充说明</w:t>
      </w:r>
    </w:p>
    <w:p w14:paraId="7C48EC9C">
      <w:pPr>
        <w:pStyle w:val="4"/>
      </w:pPr>
      <w:r>
        <w:rPr>
          <w:rFonts w:hint="eastAsia"/>
        </w:rPr>
        <w:t>（一）技术合作方式</w:t>
      </w:r>
    </w:p>
    <w:p w14:paraId="109FCA95">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甲方安排一定人员参与，乙方安排固定人员，直至研究项目的顺利完成并通过评审。</w:t>
      </w:r>
    </w:p>
    <w:p w14:paraId="796A04A9">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合作过程中，每个阶段工作结束后根据甲方的要求，乙方有项目经理安排时间专门介绍此阶段的工作思路、方法以及主要成果、供甲方相关人员学习。</w:t>
      </w:r>
    </w:p>
    <w:p w14:paraId="633B0DA6">
      <w:pPr>
        <w:pStyle w:val="4"/>
      </w:pPr>
      <w:r>
        <w:rPr>
          <w:rFonts w:hint="eastAsia"/>
        </w:rPr>
        <w:t>（二）沟通机制要求</w:t>
      </w:r>
    </w:p>
    <w:p w14:paraId="71305BEA">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定期召开例会，并及时反馈项目各阶段的进度情况、工作内容及实施过程中遇到的关键问题，科学制定下一步的工作计划。</w:t>
      </w:r>
    </w:p>
    <w:p w14:paraId="4DDADE22">
      <w:pPr>
        <w:pStyle w:val="4"/>
      </w:pPr>
      <w:r>
        <w:rPr>
          <w:rFonts w:hint="eastAsia"/>
        </w:rPr>
        <w:t>（三）信息管理要求</w:t>
      </w:r>
    </w:p>
    <w:p w14:paraId="1BDB89D9">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应根据项目特点，制定响应的信息分类表，规范各方文档，负责整理、记录、归档往来的文件、合同、协议以及会议记录等各种文档，并定期交给甲方。</w:t>
      </w:r>
    </w:p>
    <w:p w14:paraId="5CFB3565">
      <w:pPr>
        <w:pStyle w:val="4"/>
      </w:pPr>
      <w:r>
        <w:rPr>
          <w:rFonts w:hint="eastAsia"/>
        </w:rPr>
        <w:t>（四）会务要求</w:t>
      </w:r>
    </w:p>
    <w:p w14:paraId="4EB79A3D">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由甲方组织相关专家咨询交流，乙方负责组织会务，按照甲方会议标准负责所有会务费用。</w:t>
      </w:r>
    </w:p>
    <w:p w14:paraId="484222EB"/>
    <w:p w14:paraId="054BEB2C">
      <w:pPr>
        <w:pStyle w:val="8"/>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E987E">
    <w:pPr>
      <w:pStyle w:val="6"/>
    </w:pPr>
    <w:r>
      <w:pict>
        <v:shape id="_x0000_s3079" o:spid="_x0000_s3079" o:spt="136" type="#_x0000_t136" style="position:absolute;left:0pt;margin-left:342.35pt;margin-top:524.2pt;height:46.15pt;width:69.75pt;mso-position-horizontal-relative:margin;mso-position-vertical-relative:margin;rotation:20643840f;z-index:-251652096;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80" o:spid="_x0000_s3080" o:spt="136" type="#_x0000_t136" style="position:absolute;left:0pt;margin-left:171.5pt;margin-top:523.3pt;height:46.15pt;width:69.75pt;mso-position-horizontal-relative:margin;mso-position-vertical-relative:margin;rotation:20643840f;z-index:-251653120;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81" o:spid="_x0000_s3081" o:spt="136" type="#_x0000_t136" style="position:absolute;left:0pt;margin-left:0.45pt;margin-top:516.65pt;height:46.15pt;width:69.75pt;mso-position-horizontal-relative:margin;mso-position-vertical-relative:margin;rotation:20643840f;z-index:-251654144;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8397">
    <w:pPr>
      <w:pStyle w:val="7"/>
      <w:pBdr>
        <w:bottom w:val="none" w:color="auto" w:sz="0" w:space="1"/>
      </w:pBdr>
      <w:jc w:val="both"/>
    </w:pPr>
    <w:r>
      <w:pict>
        <v:shape id="_x0000_s3073" o:spid="_x0000_s3073" o:spt="136" type="#_x0000_t136" style="position:absolute;left:0pt;margin-left:171.5pt;margin-top:138.55pt;height:46.15pt;width:69.75pt;mso-position-horizontal-relative:margin;mso-position-vertical-relative:margin;rotation:20643840f;z-index:-251649024;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74" o:spid="_x0000_s3074" o:spt="136" type="#_x0000_t136" style="position:absolute;left:0pt;margin-left:342.35pt;margin-top:135.15pt;height:46.15pt;width:69.75pt;mso-position-horizontal-relative:margin;mso-position-vertical-relative:margin;rotation:20643840f;z-index:-251650048;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75" o:spid="_x0000_s3075" o:spt="136" type="#_x0000_t136" style="position:absolute;left:0pt;margin-left:0.45pt;margin-top:137.4pt;height:46.15pt;width:69.75pt;mso-position-horizontal-relative:margin;mso-position-vertical-relative:margin;rotation:20643840f;z-index:-251651072;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76" o:spid="_x0000_s3076" o:spt="136" type="#_x0000_t136" style="position:absolute;left:0pt;margin-left:342.35pt;margin-top:328pt;height:46.15pt;width:69.75pt;mso-position-horizontal-relative:margin;mso-position-vertical-relative:margin;rotation:20643840f;z-index:-251655168;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77" o:spid="_x0000_s3077" o:spt="136" type="#_x0000_t136" style="position:absolute;left:0pt;margin-left:171.5pt;margin-top:328pt;height:46.15pt;width:69.75pt;mso-position-horizontal-relative:margin;mso-position-vertical-relative:margin;rotation:20643840f;z-index:-251656192;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PowerPlusWaterMarkObject721009970" o:spid="_x0000_s3078" o:spt="136" type="#_x0000_t136" style="position:absolute;left:0pt;margin-left:0.45pt;margin-top:328pt;height:46.15pt;width:69.75pt;mso-position-horizontal-relative:margin;mso-position-vertical-relative:margin;rotation:20643840f;z-index:-251657216;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39EC56"/>
    <w:multiLevelType w:val="singleLevel"/>
    <w:tmpl w:val="CE39EC56"/>
    <w:lvl w:ilvl="0" w:tentative="0">
      <w:start w:val="4"/>
      <w:numFmt w:val="chineseCounting"/>
      <w:suff w:val="nothing"/>
      <w:lvlText w:val="%1、"/>
      <w:lvlJc w:val="left"/>
      <w:rPr>
        <w:rFonts w:hint="eastAsia"/>
      </w:rPr>
    </w:lvl>
  </w:abstractNum>
  <w:abstractNum w:abstractNumId="1">
    <w:nsid w:val="07E45418"/>
    <w:multiLevelType w:val="singleLevel"/>
    <w:tmpl w:val="07E45418"/>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E5ZThkOGY2ZjYxOWQwOWUzMTFjYjVmNjcyOTljYTUifQ=="/>
  </w:docVars>
  <w:rsids>
    <w:rsidRoot w:val="00172A27"/>
    <w:rsid w:val="00023308"/>
    <w:rsid w:val="00043DCD"/>
    <w:rsid w:val="00044E1C"/>
    <w:rsid w:val="0004511E"/>
    <w:rsid w:val="000670E0"/>
    <w:rsid w:val="000911E7"/>
    <w:rsid w:val="000B1FD3"/>
    <w:rsid w:val="000D3638"/>
    <w:rsid w:val="001051CE"/>
    <w:rsid w:val="00114D94"/>
    <w:rsid w:val="00157166"/>
    <w:rsid w:val="0016176E"/>
    <w:rsid w:val="0017242A"/>
    <w:rsid w:val="00172A27"/>
    <w:rsid w:val="00185A49"/>
    <w:rsid w:val="001B4468"/>
    <w:rsid w:val="001B5436"/>
    <w:rsid w:val="002346C9"/>
    <w:rsid w:val="0024672A"/>
    <w:rsid w:val="00264CD5"/>
    <w:rsid w:val="00277B70"/>
    <w:rsid w:val="00284424"/>
    <w:rsid w:val="002C0D39"/>
    <w:rsid w:val="002F38D4"/>
    <w:rsid w:val="003201FD"/>
    <w:rsid w:val="00385EF5"/>
    <w:rsid w:val="003971AC"/>
    <w:rsid w:val="003A17AB"/>
    <w:rsid w:val="003B4326"/>
    <w:rsid w:val="0040359C"/>
    <w:rsid w:val="004601AC"/>
    <w:rsid w:val="0049420C"/>
    <w:rsid w:val="004F1543"/>
    <w:rsid w:val="00510FE6"/>
    <w:rsid w:val="0053580A"/>
    <w:rsid w:val="005D21C5"/>
    <w:rsid w:val="00611446"/>
    <w:rsid w:val="00623167"/>
    <w:rsid w:val="00650092"/>
    <w:rsid w:val="00650C08"/>
    <w:rsid w:val="00674094"/>
    <w:rsid w:val="006C0BE8"/>
    <w:rsid w:val="006D55BD"/>
    <w:rsid w:val="006E0BC8"/>
    <w:rsid w:val="006F502E"/>
    <w:rsid w:val="00704E39"/>
    <w:rsid w:val="00721FD8"/>
    <w:rsid w:val="007337FE"/>
    <w:rsid w:val="00734A91"/>
    <w:rsid w:val="00784B96"/>
    <w:rsid w:val="00787981"/>
    <w:rsid w:val="007909B0"/>
    <w:rsid w:val="007C1560"/>
    <w:rsid w:val="007E5D57"/>
    <w:rsid w:val="007E62E9"/>
    <w:rsid w:val="007F5683"/>
    <w:rsid w:val="00802C44"/>
    <w:rsid w:val="00840280"/>
    <w:rsid w:val="00846033"/>
    <w:rsid w:val="00946CEF"/>
    <w:rsid w:val="00967ECA"/>
    <w:rsid w:val="00984005"/>
    <w:rsid w:val="009A5C5B"/>
    <w:rsid w:val="009B4611"/>
    <w:rsid w:val="009F7ADD"/>
    <w:rsid w:val="00A37359"/>
    <w:rsid w:val="00A97CE1"/>
    <w:rsid w:val="00AA0F1B"/>
    <w:rsid w:val="00AC4921"/>
    <w:rsid w:val="00AE4C87"/>
    <w:rsid w:val="00AF4FFC"/>
    <w:rsid w:val="00B07908"/>
    <w:rsid w:val="00B37DE1"/>
    <w:rsid w:val="00B56381"/>
    <w:rsid w:val="00B56D5D"/>
    <w:rsid w:val="00BA343F"/>
    <w:rsid w:val="00C07786"/>
    <w:rsid w:val="00CA2647"/>
    <w:rsid w:val="00CD1520"/>
    <w:rsid w:val="00CD1E90"/>
    <w:rsid w:val="00CE53C7"/>
    <w:rsid w:val="00D13707"/>
    <w:rsid w:val="00D1681D"/>
    <w:rsid w:val="00D36A46"/>
    <w:rsid w:val="00D51DA0"/>
    <w:rsid w:val="00D72AE0"/>
    <w:rsid w:val="00DA38E8"/>
    <w:rsid w:val="00DD151A"/>
    <w:rsid w:val="00DE5EC2"/>
    <w:rsid w:val="00DE7EC8"/>
    <w:rsid w:val="00DF2E14"/>
    <w:rsid w:val="00E757AE"/>
    <w:rsid w:val="00E8486B"/>
    <w:rsid w:val="00ED4616"/>
    <w:rsid w:val="00F103A5"/>
    <w:rsid w:val="00F1564F"/>
    <w:rsid w:val="00F80E30"/>
    <w:rsid w:val="00FB48F3"/>
    <w:rsid w:val="011D56A4"/>
    <w:rsid w:val="01343DEA"/>
    <w:rsid w:val="01A06EC7"/>
    <w:rsid w:val="02781BC8"/>
    <w:rsid w:val="02C15DBE"/>
    <w:rsid w:val="02EB3105"/>
    <w:rsid w:val="03934B2C"/>
    <w:rsid w:val="03FD4395"/>
    <w:rsid w:val="048E08C2"/>
    <w:rsid w:val="049E5A06"/>
    <w:rsid w:val="05651FE7"/>
    <w:rsid w:val="05E042B0"/>
    <w:rsid w:val="05E366A7"/>
    <w:rsid w:val="060B7B92"/>
    <w:rsid w:val="060F398F"/>
    <w:rsid w:val="06334FFC"/>
    <w:rsid w:val="06336962"/>
    <w:rsid w:val="078C23D6"/>
    <w:rsid w:val="07A63D9E"/>
    <w:rsid w:val="07B2324E"/>
    <w:rsid w:val="07C1033C"/>
    <w:rsid w:val="07DB29DD"/>
    <w:rsid w:val="08514BF5"/>
    <w:rsid w:val="09E813E1"/>
    <w:rsid w:val="09EC65B7"/>
    <w:rsid w:val="0A526FFB"/>
    <w:rsid w:val="0A8B04AD"/>
    <w:rsid w:val="0A8F3F52"/>
    <w:rsid w:val="0A947739"/>
    <w:rsid w:val="0ACD2B45"/>
    <w:rsid w:val="0AEE2A27"/>
    <w:rsid w:val="0B093FC6"/>
    <w:rsid w:val="0B4765DB"/>
    <w:rsid w:val="0B493381"/>
    <w:rsid w:val="0C310042"/>
    <w:rsid w:val="0C446FE3"/>
    <w:rsid w:val="0C786A8E"/>
    <w:rsid w:val="0C8C24F7"/>
    <w:rsid w:val="0CA510B2"/>
    <w:rsid w:val="0CB7341D"/>
    <w:rsid w:val="0D111E76"/>
    <w:rsid w:val="0D505C1B"/>
    <w:rsid w:val="0DE35C55"/>
    <w:rsid w:val="0DFE06CC"/>
    <w:rsid w:val="0E9D5B4C"/>
    <w:rsid w:val="0EB53D50"/>
    <w:rsid w:val="0ED71A24"/>
    <w:rsid w:val="0EDF7256"/>
    <w:rsid w:val="0FFB71AB"/>
    <w:rsid w:val="10017CB4"/>
    <w:rsid w:val="1038755E"/>
    <w:rsid w:val="106D248D"/>
    <w:rsid w:val="108438F5"/>
    <w:rsid w:val="1117337E"/>
    <w:rsid w:val="119C0BCC"/>
    <w:rsid w:val="11D95855"/>
    <w:rsid w:val="11ED5A40"/>
    <w:rsid w:val="13465FF7"/>
    <w:rsid w:val="1370283F"/>
    <w:rsid w:val="13E16E54"/>
    <w:rsid w:val="14353475"/>
    <w:rsid w:val="154222ED"/>
    <w:rsid w:val="15BB209F"/>
    <w:rsid w:val="15E12AB4"/>
    <w:rsid w:val="163B4B05"/>
    <w:rsid w:val="168229B3"/>
    <w:rsid w:val="185917AE"/>
    <w:rsid w:val="18876269"/>
    <w:rsid w:val="19524AC9"/>
    <w:rsid w:val="19C92FDD"/>
    <w:rsid w:val="1A0173C8"/>
    <w:rsid w:val="1A406F1E"/>
    <w:rsid w:val="1AB570BD"/>
    <w:rsid w:val="1ACB4B33"/>
    <w:rsid w:val="1ACC1465"/>
    <w:rsid w:val="1AD36FF6"/>
    <w:rsid w:val="1AE66F0C"/>
    <w:rsid w:val="1B800113"/>
    <w:rsid w:val="1B90200F"/>
    <w:rsid w:val="1C404DA1"/>
    <w:rsid w:val="1C7A4B9E"/>
    <w:rsid w:val="1D0517AA"/>
    <w:rsid w:val="1D3E2C93"/>
    <w:rsid w:val="1DCF6EF8"/>
    <w:rsid w:val="1DFB6BCB"/>
    <w:rsid w:val="1E520F5B"/>
    <w:rsid w:val="1E6B55D4"/>
    <w:rsid w:val="1EE30EE4"/>
    <w:rsid w:val="1FD00E3E"/>
    <w:rsid w:val="202855FF"/>
    <w:rsid w:val="21923D96"/>
    <w:rsid w:val="21A25EC1"/>
    <w:rsid w:val="22855F18"/>
    <w:rsid w:val="233D17AA"/>
    <w:rsid w:val="235248A4"/>
    <w:rsid w:val="235C7A38"/>
    <w:rsid w:val="237A5348"/>
    <w:rsid w:val="242E2948"/>
    <w:rsid w:val="24613E12"/>
    <w:rsid w:val="24952391"/>
    <w:rsid w:val="25F413E1"/>
    <w:rsid w:val="26292C30"/>
    <w:rsid w:val="262C01CF"/>
    <w:rsid w:val="27FC632B"/>
    <w:rsid w:val="28786750"/>
    <w:rsid w:val="2895052E"/>
    <w:rsid w:val="29695C42"/>
    <w:rsid w:val="29C76E0D"/>
    <w:rsid w:val="29E11498"/>
    <w:rsid w:val="2A297180"/>
    <w:rsid w:val="2AFE685E"/>
    <w:rsid w:val="2B595D0C"/>
    <w:rsid w:val="2B8F0079"/>
    <w:rsid w:val="2BBE5317"/>
    <w:rsid w:val="2BD1187D"/>
    <w:rsid w:val="2C361AB7"/>
    <w:rsid w:val="2C610B59"/>
    <w:rsid w:val="2C7704E1"/>
    <w:rsid w:val="2CCD5CEA"/>
    <w:rsid w:val="2D040005"/>
    <w:rsid w:val="2D593DF3"/>
    <w:rsid w:val="2D707125"/>
    <w:rsid w:val="2DB476A8"/>
    <w:rsid w:val="2E7117CD"/>
    <w:rsid w:val="2EDE1E93"/>
    <w:rsid w:val="2F725125"/>
    <w:rsid w:val="3012161F"/>
    <w:rsid w:val="301461DC"/>
    <w:rsid w:val="3062519A"/>
    <w:rsid w:val="307B0D95"/>
    <w:rsid w:val="307D0FFE"/>
    <w:rsid w:val="322B4857"/>
    <w:rsid w:val="32970708"/>
    <w:rsid w:val="32FB6415"/>
    <w:rsid w:val="338F39E0"/>
    <w:rsid w:val="33BC2161"/>
    <w:rsid w:val="340F0D02"/>
    <w:rsid w:val="347D25A2"/>
    <w:rsid w:val="34DF3E2D"/>
    <w:rsid w:val="34F211E2"/>
    <w:rsid w:val="359D3DB7"/>
    <w:rsid w:val="35F25212"/>
    <w:rsid w:val="361F5AD2"/>
    <w:rsid w:val="3667175C"/>
    <w:rsid w:val="36EA5F2C"/>
    <w:rsid w:val="37506ECC"/>
    <w:rsid w:val="37D20E57"/>
    <w:rsid w:val="38060B00"/>
    <w:rsid w:val="382501A9"/>
    <w:rsid w:val="3A127116"/>
    <w:rsid w:val="3A1B3E15"/>
    <w:rsid w:val="3A644D79"/>
    <w:rsid w:val="3AB04490"/>
    <w:rsid w:val="3AB962FE"/>
    <w:rsid w:val="3B00217F"/>
    <w:rsid w:val="3B0157FE"/>
    <w:rsid w:val="3B0A3967"/>
    <w:rsid w:val="3B8763FC"/>
    <w:rsid w:val="3BDD426E"/>
    <w:rsid w:val="3C4D7A54"/>
    <w:rsid w:val="3D063F5A"/>
    <w:rsid w:val="3D261DFC"/>
    <w:rsid w:val="3D88702F"/>
    <w:rsid w:val="3DB17144"/>
    <w:rsid w:val="3DFB70D5"/>
    <w:rsid w:val="3F266367"/>
    <w:rsid w:val="402C30CE"/>
    <w:rsid w:val="40BD4249"/>
    <w:rsid w:val="40C74A0C"/>
    <w:rsid w:val="414522A4"/>
    <w:rsid w:val="41AE270B"/>
    <w:rsid w:val="42196299"/>
    <w:rsid w:val="423546E2"/>
    <w:rsid w:val="427E7AA4"/>
    <w:rsid w:val="42E44134"/>
    <w:rsid w:val="43617533"/>
    <w:rsid w:val="4387343D"/>
    <w:rsid w:val="43A23DD3"/>
    <w:rsid w:val="43B41D58"/>
    <w:rsid w:val="43C40B3F"/>
    <w:rsid w:val="43E06E2B"/>
    <w:rsid w:val="43E102E4"/>
    <w:rsid w:val="43E53CC0"/>
    <w:rsid w:val="45246F1F"/>
    <w:rsid w:val="45302BDD"/>
    <w:rsid w:val="454E25EE"/>
    <w:rsid w:val="45DA72C1"/>
    <w:rsid w:val="461B1D57"/>
    <w:rsid w:val="46906971"/>
    <w:rsid w:val="46C05101"/>
    <w:rsid w:val="472D7E58"/>
    <w:rsid w:val="479F0C5F"/>
    <w:rsid w:val="48050DD4"/>
    <w:rsid w:val="48914381"/>
    <w:rsid w:val="48B63E7D"/>
    <w:rsid w:val="49E1317B"/>
    <w:rsid w:val="4A2728F3"/>
    <w:rsid w:val="4A3E412A"/>
    <w:rsid w:val="4A8E6E5F"/>
    <w:rsid w:val="4BA17066"/>
    <w:rsid w:val="4BB9615E"/>
    <w:rsid w:val="4C13427A"/>
    <w:rsid w:val="4C4036E6"/>
    <w:rsid w:val="4CDF6503"/>
    <w:rsid w:val="4D3844E1"/>
    <w:rsid w:val="4DE03769"/>
    <w:rsid w:val="4E2D3431"/>
    <w:rsid w:val="4E977B0F"/>
    <w:rsid w:val="4FF672C2"/>
    <w:rsid w:val="51612B03"/>
    <w:rsid w:val="528F7C18"/>
    <w:rsid w:val="52940EC9"/>
    <w:rsid w:val="52B96A43"/>
    <w:rsid w:val="52DF405C"/>
    <w:rsid w:val="53887198"/>
    <w:rsid w:val="53B13BBE"/>
    <w:rsid w:val="53D33B35"/>
    <w:rsid w:val="53D36783"/>
    <w:rsid w:val="53DF678C"/>
    <w:rsid w:val="53FD04F4"/>
    <w:rsid w:val="543C35D9"/>
    <w:rsid w:val="55176076"/>
    <w:rsid w:val="55B26E2F"/>
    <w:rsid w:val="55B321ED"/>
    <w:rsid w:val="568E2114"/>
    <w:rsid w:val="56CB08E6"/>
    <w:rsid w:val="57282CEC"/>
    <w:rsid w:val="57633422"/>
    <w:rsid w:val="576A1807"/>
    <w:rsid w:val="58623F85"/>
    <w:rsid w:val="587750E3"/>
    <w:rsid w:val="59123351"/>
    <w:rsid w:val="5AA77AC9"/>
    <w:rsid w:val="5AE50A0F"/>
    <w:rsid w:val="5BA44300"/>
    <w:rsid w:val="5BA87D84"/>
    <w:rsid w:val="5C226928"/>
    <w:rsid w:val="5C9B7344"/>
    <w:rsid w:val="5CDC053B"/>
    <w:rsid w:val="5CF5468E"/>
    <w:rsid w:val="5D274A37"/>
    <w:rsid w:val="5D3413AA"/>
    <w:rsid w:val="5D4D7434"/>
    <w:rsid w:val="5D9500AD"/>
    <w:rsid w:val="5DCE12B7"/>
    <w:rsid w:val="5E5379A8"/>
    <w:rsid w:val="5E783C56"/>
    <w:rsid w:val="5EAB2CD5"/>
    <w:rsid w:val="5EDF34C3"/>
    <w:rsid w:val="5F0C439F"/>
    <w:rsid w:val="5F56393B"/>
    <w:rsid w:val="5FDA715B"/>
    <w:rsid w:val="60092AFD"/>
    <w:rsid w:val="60275DC6"/>
    <w:rsid w:val="609148C8"/>
    <w:rsid w:val="6138591F"/>
    <w:rsid w:val="61B14BA1"/>
    <w:rsid w:val="629D0130"/>
    <w:rsid w:val="633A0AC0"/>
    <w:rsid w:val="64216B3E"/>
    <w:rsid w:val="64594FB1"/>
    <w:rsid w:val="65C4352F"/>
    <w:rsid w:val="662723A4"/>
    <w:rsid w:val="668D2269"/>
    <w:rsid w:val="67002CAF"/>
    <w:rsid w:val="670964B1"/>
    <w:rsid w:val="67201D6B"/>
    <w:rsid w:val="67E64FC0"/>
    <w:rsid w:val="68091D29"/>
    <w:rsid w:val="694A61EF"/>
    <w:rsid w:val="6994794B"/>
    <w:rsid w:val="6AB364A7"/>
    <w:rsid w:val="6B9C6102"/>
    <w:rsid w:val="6BA235E3"/>
    <w:rsid w:val="6C4369B9"/>
    <w:rsid w:val="6C757A27"/>
    <w:rsid w:val="6CA15ECE"/>
    <w:rsid w:val="6CA63C8B"/>
    <w:rsid w:val="6CB949F1"/>
    <w:rsid w:val="6CC04577"/>
    <w:rsid w:val="6D365409"/>
    <w:rsid w:val="6DD3718F"/>
    <w:rsid w:val="6DEA1D4F"/>
    <w:rsid w:val="6DEE1D13"/>
    <w:rsid w:val="6E31444E"/>
    <w:rsid w:val="6E3B25AB"/>
    <w:rsid w:val="6EA840E4"/>
    <w:rsid w:val="6EB80596"/>
    <w:rsid w:val="6ED30C25"/>
    <w:rsid w:val="6F9E5F02"/>
    <w:rsid w:val="70467840"/>
    <w:rsid w:val="705C34FC"/>
    <w:rsid w:val="72031631"/>
    <w:rsid w:val="721B4BCD"/>
    <w:rsid w:val="72F0721C"/>
    <w:rsid w:val="736C4E5D"/>
    <w:rsid w:val="73A07537"/>
    <w:rsid w:val="74184967"/>
    <w:rsid w:val="744F0B5E"/>
    <w:rsid w:val="74A154DF"/>
    <w:rsid w:val="74FB117A"/>
    <w:rsid w:val="757006F1"/>
    <w:rsid w:val="75826D11"/>
    <w:rsid w:val="76B544B4"/>
    <w:rsid w:val="76D12FCE"/>
    <w:rsid w:val="772269FE"/>
    <w:rsid w:val="785E4E0C"/>
    <w:rsid w:val="79017F31"/>
    <w:rsid w:val="79E54F6B"/>
    <w:rsid w:val="79ED2696"/>
    <w:rsid w:val="7A262361"/>
    <w:rsid w:val="7ACF0C4A"/>
    <w:rsid w:val="7AF1296F"/>
    <w:rsid w:val="7AF77E82"/>
    <w:rsid w:val="7BF66A84"/>
    <w:rsid w:val="7C0C471F"/>
    <w:rsid w:val="7CA56717"/>
    <w:rsid w:val="7D321B50"/>
    <w:rsid w:val="7D344D95"/>
    <w:rsid w:val="7E2968C4"/>
    <w:rsid w:val="7EB50B00"/>
    <w:rsid w:val="7F9631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spacing w:line="360" w:lineRule="auto"/>
      <w:outlineLvl w:val="0"/>
    </w:pPr>
    <w:rPr>
      <w:rFonts w:ascii="Times New Roman" w:hAnsi="Times New Roman" w:eastAsia="黑体" w:cs="Times New Roman"/>
      <w:b/>
      <w:bCs/>
      <w:sz w:val="28"/>
      <w:szCs w:val="28"/>
      <w:lang w:val="en-US" w:eastAsia="zh-CN" w:bidi="ar-SA"/>
    </w:rPr>
  </w:style>
  <w:style w:type="paragraph" w:styleId="4">
    <w:name w:val="heading 2"/>
    <w:next w:val="1"/>
    <w:unhideWhenUsed/>
    <w:qFormat/>
    <w:uiPriority w:val="0"/>
    <w:pPr>
      <w:spacing w:line="360" w:lineRule="auto"/>
      <w:ind w:firstLine="562" w:firstLineChars="200"/>
      <w:outlineLvl w:val="1"/>
    </w:pPr>
    <w:rPr>
      <w:rFonts w:ascii="Times New Roman" w:hAnsi="Times New Roman" w:eastAsia="宋体" w:cs="Times New Roman"/>
      <w:b/>
      <w:sz w:val="28"/>
      <w:szCs w:val="28"/>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pPr>
      <w:ind w:left="120"/>
    </w:pPr>
    <w:rPr>
      <w:sz w:val="32"/>
      <w:szCs w:val="32"/>
    </w:rPr>
  </w:style>
  <w:style w:type="paragraph" w:styleId="5">
    <w:name w:val="Balloon Text"/>
    <w:basedOn w:val="1"/>
    <w:link w:val="16"/>
    <w:qFormat/>
    <w:uiPriority w:val="0"/>
    <w:rPr>
      <w:sz w:val="18"/>
      <w:szCs w:val="18"/>
    </w:rPr>
  </w:style>
  <w:style w:type="paragraph" w:styleId="6">
    <w:name w:val="footer"/>
    <w:basedOn w:val="1"/>
    <w:link w:val="13"/>
    <w:qFormat/>
    <w:uiPriority w:val="0"/>
    <w:pPr>
      <w:tabs>
        <w:tab w:val="center" w:pos="4153"/>
        <w:tab w:val="right" w:pos="8306"/>
      </w:tabs>
      <w:snapToGrid w:val="0"/>
      <w:jc w:val="left"/>
    </w:pPr>
    <w:rPr>
      <w:sz w:val="18"/>
      <w:szCs w:val="18"/>
    </w:rPr>
  </w:style>
  <w:style w:type="paragraph" w:styleId="7">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1"/>
    <w:next w:val="1"/>
    <w:qFormat/>
    <w:uiPriority w:val="0"/>
    <w:pPr>
      <w:spacing w:before="240" w:after="60"/>
      <w:jc w:val="center"/>
      <w:outlineLvl w:val="0"/>
    </w:pPr>
    <w:rPr>
      <w:rFonts w:ascii="Arial" w:hAnsi="Arial"/>
      <w:b/>
      <w:bCs/>
      <w:sz w:val="32"/>
      <w:szCs w:val="32"/>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7"/>
    <w:qFormat/>
    <w:uiPriority w:val="99"/>
    <w:rPr>
      <w:kern w:val="2"/>
      <w:sz w:val="18"/>
      <w:szCs w:val="18"/>
    </w:rPr>
  </w:style>
  <w:style w:type="character" w:customStyle="1" w:styleId="13">
    <w:name w:val="页脚 字符"/>
    <w:basedOn w:val="11"/>
    <w:link w:val="6"/>
    <w:qFormat/>
    <w:uiPriority w:val="0"/>
    <w:rPr>
      <w:kern w:val="2"/>
      <w:sz w:val="18"/>
      <w:szCs w:val="18"/>
    </w:rPr>
  </w:style>
  <w:style w:type="paragraph" w:styleId="14">
    <w:name w:val="List Paragraph"/>
    <w:basedOn w:val="1"/>
    <w:link w:val="15"/>
    <w:qFormat/>
    <w:uiPriority w:val="34"/>
    <w:pPr>
      <w:widowControl/>
      <w:ind w:firstLine="420" w:firstLineChars="200"/>
      <w:jc w:val="left"/>
    </w:pPr>
    <w:rPr>
      <w:rFonts w:ascii="Times New Roman" w:hAnsi="Times New Roman" w:eastAsia="宋体" w:cs="Times New Roman"/>
      <w:kern w:val="0"/>
      <w:szCs w:val="20"/>
    </w:rPr>
  </w:style>
  <w:style w:type="character" w:customStyle="1" w:styleId="15">
    <w:name w:val="列表段落 字符"/>
    <w:link w:val="14"/>
    <w:qFormat/>
    <w:uiPriority w:val="34"/>
    <w:rPr>
      <w:rFonts w:ascii="Times New Roman" w:hAnsi="Times New Roman" w:eastAsia="宋体" w:cs="Times New Roman"/>
      <w:sz w:val="21"/>
    </w:rPr>
  </w:style>
  <w:style w:type="character" w:customStyle="1" w:styleId="16">
    <w:name w:val="批注框文本 字符"/>
    <w:basedOn w:val="11"/>
    <w:link w:val="5"/>
    <w:qFormat/>
    <w:uiPriority w:val="0"/>
    <w:rPr>
      <w:kern w:val="2"/>
      <w:sz w:val="18"/>
      <w:szCs w:val="18"/>
    </w:rPr>
  </w:style>
  <w:style w:type="paragraph" w:customStyle="1" w:styleId="17">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8">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9">
    <w:name w:val="宋体小四正文"/>
    <w:basedOn w:val="1"/>
    <w:qFormat/>
    <w:uiPriority w:val="0"/>
    <w:pPr>
      <w:snapToGrid w:val="0"/>
      <w:spacing w:line="360" w:lineRule="auto"/>
      <w:ind w:firstLine="482" w:firstLineChars="200"/>
    </w:pPr>
    <w:rPr>
      <w:rFonts w:ascii="Times New Roman" w:hAnsi="Times New Roman" w:eastAsia="宋体" w:cs="Times New Roman"/>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3073"/>
    <customShpInfo spid="_x0000_s3074"/>
    <customShpInfo spid="_x0000_s3075"/>
    <customShpInfo spid="_x0000_s3076"/>
    <customShpInfo spid="_x0000_s3077"/>
    <customShpInfo spid="_x0000_s3078"/>
    <customShpInfo spid="_x0000_s3079"/>
    <customShpInfo spid="_x0000_s3080"/>
    <customShpInfo spid="_x0000_s308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E48B41-1B5E-447C-9D1C-316F3FB95D67}">
  <ds:schemaRefs/>
</ds:datastoreItem>
</file>

<file path=docProps/app.xml><?xml version="1.0" encoding="utf-8"?>
<Properties xmlns="http://schemas.openxmlformats.org/officeDocument/2006/extended-properties" xmlns:vt="http://schemas.openxmlformats.org/officeDocument/2006/docPropsVTypes">
  <Template>Normal</Template>
  <Pages>7</Pages>
  <Words>3352</Words>
  <Characters>3413</Characters>
  <Lines>111</Lines>
  <Paragraphs>122</Paragraphs>
  <TotalTime>2</TotalTime>
  <ScaleCrop>false</ScaleCrop>
  <LinksUpToDate>false</LinksUpToDate>
  <CharactersWithSpaces>3413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2023-12-19T07:56:00Z</dcterms:created>
  <dc:creator>李逸欣</dc:creator>
  <cp:lastModifiedBy>Plane</cp:lastModifiedBy>
  <dcterms:modified xsi:type="dcterms:W3CDTF">2025-10-28T03:04:16Z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FC11B1C1162F4CDF9AF1E09E684D4365</vt:lpwstr>
  </property>
  <property fmtid="{D5CDD505-2E9C-101B-9397-08002B2CF9AE}" pid="4" name="KSOTemplateDocerSaveRecord">
    <vt:lpwstr>eyJoZGlkIjoiZDliOWM2MzNlZjk4NTNhNjlmZThmZjcxNGE1Y2Q0ZmIiLCJ1c2VySWQiOiI5ODIxOTg3MzYifQ==</vt:lpwstr>
  </property>
</Properties>
</file>