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一种便携式模块检验装置技术规</w:t>
      </w:r>
      <w:bookmarkStart w:id="0" w:name="_GoBack"/>
      <w:bookmarkEnd w:id="0"/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项目概述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一）</w:t>
      </w:r>
      <w:r>
        <w:rPr>
          <w:rFonts w:hint="eastAsia" w:ascii="楷体" w:hAnsi="楷体" w:eastAsia="楷体" w:cs="楷体"/>
          <w:sz w:val="32"/>
          <w:szCs w:val="32"/>
        </w:rPr>
        <w:t>项目背景与目标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适应智能电网建设与发展，满足现场对电能计量设备（如单相电能表、集中器等）通信模块高效、精准运维的需求，特研发本便携式通信模块检验仪（以下简称“检验仪”）。本项目旨在攻克传统实验室检测设备笨重、操作复杂、难以现场应用的瓶颈，研发一款集多种通信技术检测与智能诊断于一体的手持式终端设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核心设计目标如下：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便携易用：采用紧凑型一体化设计，体积小巧，界面友好，便于现场携带和单人操作。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功能全面：覆盖宽带载波（HPLC）、窄带载波、无线公网（4G）等多种通信技术的性能验证、参数读取及故障诊断。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安全可靠：具备完善的电气隔离与保护设计，确保现场操作人员及设备安全。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智能运维：支持与移动运维终端互联，实现检测工单的无纸化流转与数据管理，提升运维效率。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二）</w:t>
      </w:r>
      <w:r>
        <w:rPr>
          <w:rFonts w:hint="eastAsia" w:ascii="楷体" w:hAnsi="楷体" w:eastAsia="楷体" w:cs="楷体"/>
          <w:sz w:val="32"/>
          <w:szCs w:val="32"/>
        </w:rPr>
        <w:t>技术原理简介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检验仪综合应用以下关键技术：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电力线载波通信（PLC）技术：通过专用耦合电路，在电力线信道中模拟载波通信环境，测试模块的调制解调性能。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嵌入式系统技术：采用高性能ARM Cortex-M系列主控芯片与FPGA协同工作，实现高速数据采集、实时信号处理与多协议解析。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数字信号处理算法：应用FFT（快速傅里叶变换）进行频谱分析，通过BERT（误码率测试）评估通信链路可靠性。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自动化测试框架：基于脚本化开发环境，实现一键式自动化测试流程，覆盖多种检测场景。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技术规格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一）</w:t>
      </w:r>
      <w:r>
        <w:rPr>
          <w:rFonts w:hint="eastAsia" w:ascii="楷体" w:hAnsi="楷体" w:eastAsia="楷体" w:cs="楷体"/>
          <w:sz w:val="32"/>
          <w:szCs w:val="32"/>
        </w:rPr>
        <w:t>物理与电气特性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外形尺寸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188.4mm × 82.3mm × 51.5mm (不含天线)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整机重量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≤ 500g (具体以实际样机为准)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供电方式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内置可充电锂电池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续航时间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典型工况下连续工作 ≥ 8小时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充电接口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Type-C，输入电压 5V 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操作界面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触控显示屏，支持离线操作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二）</w:t>
      </w:r>
      <w:r>
        <w:rPr>
          <w:rFonts w:hint="eastAsia" w:ascii="楷体" w:hAnsi="楷体" w:eastAsia="楷体" w:cs="楷体"/>
          <w:sz w:val="32"/>
          <w:szCs w:val="32"/>
        </w:rPr>
        <w:t>状态指示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电源/充电指示灯： 多色LED指示开关机、电量状态及充电进程。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交流接入指示灯（红色）： 当强电接口接入220V电压时亮起，提供安全警示。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三）</w:t>
      </w:r>
      <w:r>
        <w:rPr>
          <w:rFonts w:hint="eastAsia" w:ascii="楷体" w:hAnsi="楷体" w:eastAsia="楷体" w:cs="楷体"/>
          <w:sz w:val="32"/>
          <w:szCs w:val="32"/>
        </w:rPr>
        <w:t>接口规范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Type-C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标准USB Type-C接口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设备充电、有线数据通信（可选）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红外通信调制频率：38kHz±1kHz，占空比：50%±10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读取电能表表地址等参数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 </w:t>
      </w:r>
      <w:r>
        <w:rPr>
          <w:rFonts w:hint="eastAsia" w:ascii="仿宋" w:hAnsi="仿宋" w:eastAsia="仿宋" w:cs="仿宋"/>
          <w:sz w:val="32"/>
          <w:szCs w:val="32"/>
        </w:rPr>
        <w:t>无线公网（4G）支持五模网络制式 (TD-LTE, FDD-LTE, EVDO, GSM, CDMA)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模拟采集终端进行无线公网通信测试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4. </w:t>
      </w:r>
      <w:r>
        <w:rPr>
          <w:rFonts w:hint="eastAsia" w:ascii="仿宋" w:hAnsi="仿宋" w:eastAsia="仿宋" w:cs="仿宋"/>
          <w:sz w:val="32"/>
          <w:szCs w:val="32"/>
        </w:rPr>
        <w:t>蓝牙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版本V4.0-EDR或以上，Class 2功率等级 (&lt;4dBm)，通信距离≥10m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与现场作业终端进行工单配对和数据传输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5. </w:t>
      </w:r>
      <w:r>
        <w:rPr>
          <w:rFonts w:hint="eastAsia" w:ascii="仿宋" w:hAnsi="仿宋" w:eastAsia="仿宋" w:cs="仿宋"/>
          <w:sz w:val="32"/>
          <w:szCs w:val="32"/>
        </w:rPr>
        <w:t>强电接口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单相交流220V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符合IEC 60320-1 C8标准</w:t>
      </w:r>
      <w:r>
        <w:rPr>
          <w:rFonts w:hint="eastAsia" w:ascii="仿宋" w:hAnsi="仿宋" w:eastAsia="仿宋" w:cs="仿宋"/>
          <w:sz w:val="32"/>
          <w:szCs w:val="32"/>
        </w:rPr>
        <w:tab/>
      </w:r>
      <w:r>
        <w:rPr>
          <w:rFonts w:hint="eastAsia" w:ascii="仿宋" w:hAnsi="仿宋" w:eastAsia="仿宋" w:cs="仿宋"/>
          <w:sz w:val="32"/>
          <w:szCs w:val="32"/>
        </w:rPr>
        <w:t>仅作为电力载波通信媒介，不向外部设备供电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6. </w:t>
      </w:r>
      <w:r>
        <w:rPr>
          <w:rFonts w:hint="eastAsia" w:ascii="仿宋" w:hAnsi="仿宋" w:eastAsia="仿宋" w:cs="仿宋"/>
          <w:sz w:val="32"/>
          <w:szCs w:val="32"/>
        </w:rPr>
        <w:t>天线接口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SMA母头（内空外螺纹）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连接4G天线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7. </w:t>
      </w:r>
      <w:r>
        <w:rPr>
          <w:rFonts w:hint="eastAsia" w:ascii="仿宋" w:hAnsi="仿宋" w:eastAsia="仿宋" w:cs="仿宋"/>
          <w:sz w:val="32"/>
          <w:szCs w:val="32"/>
        </w:rPr>
        <w:t>标准SIM卡座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符合3GPP TS 51.011 和 ISO7816 标准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安装测试用SIM卡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8. </w:t>
      </w:r>
      <w:r>
        <w:rPr>
          <w:rFonts w:hint="eastAsia" w:ascii="仿宋" w:hAnsi="仿宋" w:eastAsia="仿宋" w:cs="仿宋"/>
          <w:sz w:val="32"/>
          <w:szCs w:val="32"/>
        </w:rPr>
        <w:t>载波通信接口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内置专用BPLC/HPLC高速载波通信模组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实现与各类宽带载波单元的通信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9.</w:t>
      </w:r>
      <w:r>
        <w:rPr>
          <w:rFonts w:hint="eastAsia" w:ascii="仿宋" w:hAnsi="仿宋" w:eastAsia="仿宋" w:cs="仿宋"/>
          <w:sz w:val="32"/>
          <w:szCs w:val="32"/>
        </w:rPr>
        <w:t>HPLC测试接口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具备防呆设计的STA模块插座、CCO测试接口，含电气保护电路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用于单/三相STA模块和CCO模块的离线检测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sz w:val="32"/>
          <w:szCs w:val="32"/>
        </w:rPr>
        <w:t>功能特性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一）</w:t>
      </w:r>
      <w:r>
        <w:rPr>
          <w:rFonts w:hint="eastAsia" w:ascii="楷体" w:hAnsi="楷体" w:eastAsia="楷体" w:cs="楷体"/>
          <w:sz w:val="32"/>
          <w:szCs w:val="32"/>
        </w:rPr>
        <w:t>通信与任务管理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蓝牙配对：可与现场作业终端（如PDA、手机）快速配对，实现工单任务的无纸化下发与结果回传。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离线作业模式：接收工单后，可脱离作业终端独立执行所有检测任务，检测结果本地存储。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二）</w:t>
      </w:r>
      <w:r>
        <w:rPr>
          <w:rFonts w:hint="eastAsia" w:ascii="楷体" w:hAnsi="楷体" w:eastAsia="楷体" w:cs="楷体"/>
          <w:sz w:val="32"/>
          <w:szCs w:val="32"/>
        </w:rPr>
        <w:t>宽带载波（HPLC）通信检测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在线检测功能：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</w:t>
      </w:r>
      <w:r>
        <w:rPr>
          <w:rFonts w:hint="eastAsia" w:ascii="仿宋" w:hAnsi="仿宋" w:eastAsia="仿宋" w:cs="仿宋"/>
          <w:sz w:val="32"/>
          <w:szCs w:val="32"/>
        </w:rPr>
        <w:t>通过红外接口自动读取电能表地址。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2）</w:t>
      </w:r>
      <w:r>
        <w:rPr>
          <w:rFonts w:hint="eastAsia" w:ascii="仿宋" w:hAnsi="仿宋" w:eastAsia="仿宋" w:cs="仿宋"/>
          <w:sz w:val="32"/>
          <w:szCs w:val="32"/>
        </w:rPr>
        <w:t>通过载波通信链路，在线读取电能表电量、时间等数据，分析通信成功率、信噪比等指标，诊断链路故障。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模块离线检测功能：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</w:t>
      </w:r>
      <w:r>
        <w:rPr>
          <w:rFonts w:hint="eastAsia" w:ascii="仿宋" w:hAnsi="仿宋" w:eastAsia="仿宋" w:cs="仿宋"/>
          <w:sz w:val="32"/>
          <w:szCs w:val="32"/>
        </w:rPr>
        <w:t>电表模块（STA）：支持将单相或三相电能表的HPLC模块插入专用端口，独立检测其载波发送/接收功能及串口通信功能。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2）</w:t>
      </w:r>
      <w:r>
        <w:rPr>
          <w:rFonts w:hint="eastAsia" w:ascii="仿宋" w:hAnsi="仿宋" w:eastAsia="仿宋" w:cs="仿宋"/>
          <w:sz w:val="32"/>
          <w:szCs w:val="32"/>
        </w:rPr>
        <w:t>集中器模块（CCO）：支持对集中器HPLC模块的载波与串口通信功能进行检测。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3）</w:t>
      </w:r>
      <w:r>
        <w:rPr>
          <w:rFonts w:hint="eastAsia" w:ascii="仿宋" w:hAnsi="仿宋" w:eastAsia="仿宋" w:cs="仿宋"/>
          <w:sz w:val="32"/>
          <w:szCs w:val="32"/>
        </w:rPr>
        <w:t>模块信息读取：可在线或离线读取HPLC模块的ID、厂商代码、软硬件版本、芯片信息等关键参数。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 </w:t>
      </w:r>
      <w:r>
        <w:rPr>
          <w:rFonts w:hint="eastAsia" w:ascii="仿宋" w:hAnsi="仿宋" w:eastAsia="仿宋" w:cs="仿宋"/>
          <w:sz w:val="32"/>
          <w:szCs w:val="32"/>
        </w:rPr>
        <w:t>无线公网（4G）通信检测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</w:t>
      </w:r>
      <w:r>
        <w:rPr>
          <w:rFonts w:hint="eastAsia" w:ascii="仿宋" w:hAnsi="仿宋" w:eastAsia="仿宋" w:cs="仿宋"/>
          <w:sz w:val="32"/>
          <w:szCs w:val="32"/>
        </w:rPr>
        <w:t>SIM卡故障诊断：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物理层诊断：识别SIM卡未插入、接触不良或物理损坏。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网络层诊断：检测SIM卡状态（如欠费、锁卡）、测量信号强度（RSRP， RSRQ）。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2）</w:t>
      </w:r>
      <w:r>
        <w:rPr>
          <w:rFonts w:hint="eastAsia" w:ascii="仿宋" w:hAnsi="仿宋" w:eastAsia="仿宋" w:cs="仿宋"/>
          <w:sz w:val="32"/>
          <w:szCs w:val="32"/>
        </w:rPr>
        <w:t>连接性测试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进行主站连接测试，验证网络接入能力。信息读取：获取SIM卡CCID及所属运营商信息。（需支持APN参数配置）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3）</w:t>
      </w:r>
      <w:r>
        <w:rPr>
          <w:rFonts w:hint="eastAsia" w:ascii="仿宋" w:hAnsi="仿宋" w:eastAsia="仿宋" w:cs="仿宋"/>
          <w:sz w:val="32"/>
          <w:szCs w:val="32"/>
        </w:rPr>
        <w:t>4G天线性能验证：可测量现场环境的4G信号强度，用于对比和验证集中器4G天线的安装效果。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 维护与升级功能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1）</w:t>
      </w:r>
      <w:r>
        <w:rPr>
          <w:rFonts w:hint="eastAsia" w:ascii="仿宋" w:hAnsi="仿宋" w:eastAsia="仿宋" w:cs="仿宋"/>
          <w:sz w:val="32"/>
          <w:szCs w:val="32"/>
        </w:rPr>
        <w:t>现场模块升级： 支持通过电力线载波方式，对在线或离线的单/三相电能表HPLC模块进行软件远程升级。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2）</w:t>
      </w:r>
      <w:r>
        <w:rPr>
          <w:rFonts w:hint="eastAsia" w:ascii="仿宋" w:hAnsi="仿宋" w:eastAsia="仿宋" w:cs="仿宋"/>
          <w:sz w:val="32"/>
          <w:szCs w:val="32"/>
        </w:rPr>
        <w:t>本机管理：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参数查询：查询本机通信模组的硬件/软件版本、SNID、MAC地址等信息。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参数设置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32"/>
        </w:rPr>
        <w:t>允许授权用户设置本机通信模组的MAC地址和SNID。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固件升级：支持对本机内置的HPLC通信模组程序进行在线升级。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960" w:firstLineChars="3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主程序升级：支持检测仪主机应用软件的升级，以扩展新功能。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sz w:val="32"/>
          <w:szCs w:val="32"/>
        </w:rPr>
        <w:t>关键技术与创新点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一）</w:t>
      </w:r>
      <w:r>
        <w:rPr>
          <w:rFonts w:hint="eastAsia" w:ascii="楷体" w:hAnsi="楷体" w:eastAsia="楷体" w:cs="楷体"/>
          <w:sz w:val="32"/>
          <w:szCs w:val="32"/>
        </w:rPr>
        <w:t>技术关键点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多协议兼容性：设计可切换的耦合电路与自适应通信协议栈，无缝兼容宽带（HPLC）与窄带（如S-FSK， G3-PLC）载波技术。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信号稳定性处理：采用数字滤波技术和动态增益控制（AGC）算法，有效抑制电力线噪声干扰，提升检测精度与可靠性。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 </w:t>
      </w:r>
      <w:r>
        <w:rPr>
          <w:rFonts w:hint="eastAsia" w:ascii="仿宋" w:hAnsi="仿宋" w:eastAsia="仿宋" w:cs="仿宋"/>
          <w:sz w:val="32"/>
          <w:szCs w:val="32"/>
        </w:rPr>
        <w:t>低功耗设计：优化硬件电源管理方案，确保设备在典型现场环境下满足长续航要求。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二）</w:t>
      </w:r>
      <w:r>
        <w:rPr>
          <w:rFonts w:hint="eastAsia" w:ascii="楷体" w:hAnsi="楷体" w:eastAsia="楷体" w:cs="楷体"/>
          <w:sz w:val="32"/>
          <w:szCs w:val="32"/>
        </w:rPr>
        <w:t>主要创新点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便携式一体化设计：首次将传统实验室级检测设备的功能高度集成于手持终端，实现“实验室精度，现场级便携”。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智能诊断算法：引入AI模式识别技术（如LSTM网络），对通信异常数据进行深度学习，实现故障根源的快速、精准定位。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 </w:t>
      </w:r>
      <w:r>
        <w:rPr>
          <w:rFonts w:hint="eastAsia" w:ascii="仿宋" w:hAnsi="仿宋" w:eastAsia="仿宋" w:cs="仿宋"/>
          <w:sz w:val="32"/>
          <w:szCs w:val="32"/>
        </w:rPr>
        <w:t>模块化扩展架构：预留LoRa、4G/5G等无线通信接口，支持未来平滑升级为多模融合通信检测平台。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</w:t>
      </w:r>
      <w:r>
        <w:rPr>
          <w:rFonts w:hint="eastAsia" w:ascii="黑体" w:hAnsi="黑体" w:eastAsia="黑体" w:cs="黑体"/>
          <w:sz w:val="32"/>
          <w:szCs w:val="32"/>
        </w:rPr>
        <w:t>安全与认证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一）</w:t>
      </w:r>
      <w:r>
        <w:rPr>
          <w:rFonts w:hint="eastAsia" w:ascii="楷体" w:hAnsi="楷体" w:eastAsia="楷体" w:cs="楷体"/>
          <w:sz w:val="32"/>
          <w:szCs w:val="32"/>
        </w:rPr>
        <w:t>电气安全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所有通信测试接口（尤其是HPLC测试口）均内置电气保护电路（如过压、过流保护），支持热插拔操作。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强电接口有明确标识，并采用物理隔离设计，仅用于通信信号耦合，严防误接入供电。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 </w:t>
      </w:r>
      <w:r>
        <w:rPr>
          <w:rFonts w:hint="eastAsia" w:ascii="仿宋" w:hAnsi="仿宋" w:eastAsia="仿宋" w:cs="仿宋"/>
          <w:sz w:val="32"/>
          <w:szCs w:val="32"/>
        </w:rPr>
        <w:t>设备绝缘性能符合相关国家及行业安全标准。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二）</w:t>
      </w:r>
      <w:r>
        <w:rPr>
          <w:rFonts w:hint="eastAsia" w:ascii="楷体" w:hAnsi="楷体" w:eastAsia="楷体" w:cs="楷体"/>
          <w:sz w:val="32"/>
          <w:szCs w:val="32"/>
        </w:rPr>
        <w:t>数据安全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具备数据加密与安全认证机制，确保检测配置参数、结果数据在传输与存储过程中的可靠性、完整性和保密性。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三）</w:t>
      </w:r>
      <w:r>
        <w:rPr>
          <w:rFonts w:hint="eastAsia" w:ascii="楷体" w:hAnsi="楷体" w:eastAsia="楷体" w:cs="楷体"/>
          <w:sz w:val="32"/>
          <w:szCs w:val="32"/>
        </w:rPr>
        <w:t>操作安全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设备设计符合人体工程学及安全操作规程，外壳具备一定的防摔、防溅能力。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使用说明中明确要求使用者必须遵守安全规范，避免在潮湿、高温或易燃易爆环境中使用。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四）</w:t>
      </w:r>
      <w:r>
        <w:rPr>
          <w:rFonts w:hint="eastAsia" w:ascii="楷体" w:hAnsi="楷体" w:eastAsia="楷体" w:cs="楷体"/>
          <w:sz w:val="32"/>
          <w:szCs w:val="32"/>
        </w:rPr>
        <w:t>符合标准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设备的设计与制造应符合（但不限于）以下标准：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1. </w:t>
      </w:r>
      <w:r>
        <w:rPr>
          <w:rFonts w:hint="eastAsia" w:ascii="仿宋" w:hAnsi="仿宋" w:eastAsia="仿宋" w:cs="仿宋"/>
          <w:sz w:val="32"/>
          <w:szCs w:val="32"/>
        </w:rPr>
        <w:t>DL/T 698.45 《电能信息采集与管理系统 第4-5部分：通信协议》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2. </w:t>
      </w:r>
      <w:r>
        <w:rPr>
          <w:rFonts w:hint="eastAsia" w:ascii="仿宋" w:hAnsi="仿宋" w:eastAsia="仿宋" w:cs="仿宋"/>
          <w:sz w:val="32"/>
          <w:szCs w:val="32"/>
        </w:rPr>
        <w:t>DL/T 645 《多功能电能表通信协议》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3. </w:t>
      </w:r>
      <w:r>
        <w:rPr>
          <w:rFonts w:hint="eastAsia" w:ascii="仿宋" w:hAnsi="仿宋" w:eastAsia="仿宋" w:cs="仿宋"/>
          <w:sz w:val="32"/>
          <w:szCs w:val="32"/>
        </w:rPr>
        <w:t>相关电气安全与电磁兼容性（EMC）国家标准。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sz w:val="32"/>
          <w:szCs w:val="32"/>
        </w:rPr>
        <w:t>交付物清单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便携式通信模块检验仪主机 × 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4G外接天线 × 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Type-C充电线 × 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电源适配器（可选） × 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 使用说明书、技术规范书（电子版及纸质版） × 1套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 便携防护箱 × 1</w:t>
      </w:r>
    </w:p>
    <w:sectPr>
      <w:pgSz w:w="11906" w:h="16838"/>
      <w:pgMar w:top="1440" w:right="1797" w:bottom="1440" w:left="1797" w:header="851" w:footer="992" w:gutter="0"/>
      <w:cols w:space="0" w:num="1"/>
      <w:docGrid w:type="lines" w:linePitch="38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onaco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596C06"/>
    <w:multiLevelType w:val="singleLevel"/>
    <w:tmpl w:val="87596C06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EC37297C"/>
    <w:multiLevelType w:val="singleLevel"/>
    <w:tmpl w:val="EC37297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HorizontalSpacing w:val="220"/>
  <w:drawingGridVerticalSpacing w:val="387"/>
  <w:displayHorizontalDrawingGridEvery w:val="0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24D9F"/>
    <w:rsid w:val="000B62CA"/>
    <w:rsid w:val="002A53AA"/>
    <w:rsid w:val="005C35DE"/>
    <w:rsid w:val="00626AA2"/>
    <w:rsid w:val="0068574D"/>
    <w:rsid w:val="006E696F"/>
    <w:rsid w:val="0071681D"/>
    <w:rsid w:val="007C7A70"/>
    <w:rsid w:val="00890FE1"/>
    <w:rsid w:val="0090731C"/>
    <w:rsid w:val="009E7FC9"/>
    <w:rsid w:val="00A85D95"/>
    <w:rsid w:val="00AB1D25"/>
    <w:rsid w:val="00AD3D80"/>
    <w:rsid w:val="00B727BA"/>
    <w:rsid w:val="00BE0D57"/>
    <w:rsid w:val="00F50C8B"/>
    <w:rsid w:val="07011CC2"/>
    <w:rsid w:val="07644792"/>
    <w:rsid w:val="09284798"/>
    <w:rsid w:val="0F2B6FD9"/>
    <w:rsid w:val="159A0A6A"/>
    <w:rsid w:val="183C240D"/>
    <w:rsid w:val="1AA24D9F"/>
    <w:rsid w:val="27FBD2E2"/>
    <w:rsid w:val="28DA2E89"/>
    <w:rsid w:val="2A4254F9"/>
    <w:rsid w:val="2D1F32F4"/>
    <w:rsid w:val="323B4D81"/>
    <w:rsid w:val="34B70380"/>
    <w:rsid w:val="3AE174A3"/>
    <w:rsid w:val="43446334"/>
    <w:rsid w:val="44A84E71"/>
    <w:rsid w:val="477DCE1E"/>
    <w:rsid w:val="573E1E21"/>
    <w:rsid w:val="5B487E91"/>
    <w:rsid w:val="5CF9550F"/>
    <w:rsid w:val="5EFEBDE8"/>
    <w:rsid w:val="68CA2609"/>
    <w:rsid w:val="68CC1AED"/>
    <w:rsid w:val="69BB0F42"/>
    <w:rsid w:val="6A637494"/>
    <w:rsid w:val="6BCF62E6"/>
    <w:rsid w:val="6CD3A16D"/>
    <w:rsid w:val="6D535020"/>
    <w:rsid w:val="6E5F49A6"/>
    <w:rsid w:val="6FFF37D2"/>
    <w:rsid w:val="70426FA2"/>
    <w:rsid w:val="70DE2EF1"/>
    <w:rsid w:val="7C5F4108"/>
    <w:rsid w:val="7F79C282"/>
    <w:rsid w:val="7F7B6CAE"/>
    <w:rsid w:val="7FBF6DD0"/>
    <w:rsid w:val="7FCD17FE"/>
    <w:rsid w:val="7FD7E9A0"/>
    <w:rsid w:val="7FE9FBB2"/>
    <w:rsid w:val="8FFFA67E"/>
    <w:rsid w:val="A97F623E"/>
    <w:rsid w:val="AFBF8780"/>
    <w:rsid w:val="BEEFCB4B"/>
    <w:rsid w:val="BFE6F841"/>
    <w:rsid w:val="BFFBDBCA"/>
    <w:rsid w:val="D5DE8897"/>
    <w:rsid w:val="E7FE3684"/>
    <w:rsid w:val="E95E2A0D"/>
    <w:rsid w:val="EFFF70E4"/>
    <w:rsid w:val="F7EEC240"/>
    <w:rsid w:val="FBF75102"/>
    <w:rsid w:val="FDDC5620"/>
    <w:rsid w:val="FDEA700A"/>
    <w:rsid w:val="FFBFCE42"/>
    <w:rsid w:val="FFFF40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微软雅黑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99" w:semiHidden="0" w:name="toc 1"/>
    <w:lsdException w:unhideWhenUsed="0" w:uiPriority="99" w:semiHidden="0" w:name="toc 2"/>
    <w:lsdException w:unhideWhenUsed="0" w:uiPriority="99" w:semiHidden="0" w:name="toc 3"/>
    <w:lsdException w:unhideWhenUsed="0" w:uiPriority="99" w:semiHidden="0" w:name="toc 4"/>
    <w:lsdException w:unhideWhenUsed="0" w:uiPriority="99" w:semiHidden="0" w:name="toc 5"/>
    <w:lsdException w:unhideWhenUsed="0" w:uiPriority="99" w:semiHidden="0" w:name="toc 6"/>
    <w:lsdException w:unhideWhenUsed="0" w:uiPriority="99" w:semiHidden="0" w:name="toc 7"/>
    <w:lsdException w:unhideWhenUsed="0" w:uiPriority="99" w:semiHidden="0" w:name="toc 8"/>
    <w:lsdException w:unhideWhenUsed="0" w:uiPriority="99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60" w:after="60"/>
      <w:jc w:val="both"/>
    </w:pPr>
    <w:rPr>
      <w:rFonts w:ascii="Arial" w:hAnsi="Arial" w:eastAsia="微软雅黑" w:cs="Arial"/>
      <w:color w:val="333333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outlineLvl w:val="0"/>
    </w:pPr>
    <w:rPr>
      <w:b/>
      <w:kern w:val="44"/>
      <w:sz w:val="36"/>
    </w:rPr>
  </w:style>
  <w:style w:type="paragraph" w:styleId="3">
    <w:name w:val="heading 2"/>
    <w:basedOn w:val="1"/>
    <w:next w:val="1"/>
    <w:qFormat/>
    <w:uiPriority w:val="0"/>
    <w:pPr>
      <w:keepNext/>
      <w:keepLines/>
      <w:outlineLvl w:val="1"/>
    </w:pPr>
    <w:rPr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outlineLvl w:val="2"/>
    </w:pPr>
    <w:rPr>
      <w:b/>
      <w:sz w:val="28"/>
    </w:rPr>
  </w:style>
  <w:style w:type="paragraph" w:styleId="5">
    <w:name w:val="heading 4"/>
    <w:basedOn w:val="1"/>
    <w:next w:val="1"/>
    <w:qFormat/>
    <w:uiPriority w:val="0"/>
    <w:pPr>
      <w:keepNext/>
      <w:keepLines/>
      <w:outlineLvl w:val="3"/>
    </w:pPr>
    <w:rPr>
      <w:b/>
      <w:sz w:val="24"/>
    </w:rPr>
  </w:style>
  <w:style w:type="paragraph" w:styleId="6">
    <w:name w:val="heading 5"/>
    <w:basedOn w:val="1"/>
    <w:next w:val="1"/>
    <w:qFormat/>
    <w:uiPriority w:val="0"/>
    <w:pPr>
      <w:keepNext/>
      <w:keepLines/>
      <w:spacing w:line="480" w:lineRule="auto"/>
      <w:outlineLvl w:val="4"/>
    </w:pPr>
    <w:rPr>
      <w:b/>
    </w:rPr>
  </w:style>
  <w:style w:type="paragraph" w:styleId="7">
    <w:name w:val="heading 6"/>
    <w:basedOn w:val="1"/>
    <w:next w:val="1"/>
    <w:qFormat/>
    <w:uiPriority w:val="0"/>
    <w:pPr>
      <w:keepNext/>
      <w:keepLines/>
      <w:spacing w:line="480" w:lineRule="auto"/>
      <w:outlineLvl w:val="5"/>
    </w:pPr>
    <w:rPr>
      <w:b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spacing w:line="480" w:lineRule="auto"/>
      <w:outlineLvl w:val="6"/>
    </w:pPr>
    <w:rPr>
      <w:b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spacing w:line="480" w:lineRule="auto"/>
      <w:outlineLvl w:val="7"/>
    </w:pPr>
    <w:rPr>
      <w:b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spacing w:line="480" w:lineRule="auto"/>
      <w:outlineLvl w:val="8"/>
    </w:pPr>
    <w:rPr>
      <w:b/>
    </w:rPr>
  </w:style>
  <w:style w:type="character" w:default="1" w:styleId="18">
    <w:name w:val="Default Paragraph Font"/>
    <w:semiHidden/>
    <w:unhideWhenUsed/>
    <w:uiPriority w:val="1"/>
  </w:style>
  <w:style w:type="table" w:default="1" w:styleId="1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8"/>
    <w:basedOn w:val="1"/>
    <w:next w:val="1"/>
    <w:uiPriority w:val="99"/>
    <w:pPr>
      <w:ind w:left="2940" w:leftChars="1400"/>
    </w:pPr>
  </w:style>
  <w:style w:type="paragraph" w:styleId="12">
    <w:name w:val="footer"/>
    <w:basedOn w:val="1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link w:val="24"/>
    <w:qFormat/>
    <w:uiPriority w:val="0"/>
    <w:pPr>
      <w:jc w:val="center"/>
      <w:outlineLvl w:val="1"/>
    </w:pPr>
    <w:rPr>
      <w:rFonts w:cstheme="minorBidi"/>
      <w:b/>
      <w:bCs/>
      <w:kern w:val="28"/>
      <w:sz w:val="44"/>
      <w:szCs w:val="32"/>
    </w:rPr>
  </w:style>
  <w:style w:type="paragraph" w:styleId="15">
    <w:name w:val="Title"/>
    <w:basedOn w:val="1"/>
    <w:next w:val="1"/>
    <w:link w:val="21"/>
    <w:qFormat/>
    <w:uiPriority w:val="0"/>
    <w:pPr>
      <w:jc w:val="center"/>
      <w:outlineLvl w:val="0"/>
    </w:pPr>
    <w:rPr>
      <w:rFonts w:cstheme="majorBidi"/>
      <w:b/>
      <w:bCs/>
      <w:sz w:val="48"/>
      <w:szCs w:val="32"/>
    </w:rPr>
  </w:style>
  <w:style w:type="table" w:styleId="17">
    <w:name w:val="Table Grid"/>
    <w:basedOn w:val="16"/>
    <w:uiPriority w:val="0"/>
    <w:tblPr>
      <w:tblBorders>
        <w:top w:val="single" w:color="CBCDD1" w:sz="6" w:space="0"/>
        <w:left w:val="single" w:color="CBCDD1" w:sz="6" w:space="0"/>
        <w:bottom w:val="single" w:color="CBCDD1" w:sz="6" w:space="0"/>
        <w:right w:val="single" w:color="CBCDD1" w:sz="6" w:space="0"/>
        <w:insideH w:val="single" w:color="CBCDD1" w:sz="6" w:space="0"/>
        <w:insideV w:val="single" w:color="CBCDD1" w:sz="6" w:space="0"/>
      </w:tblBorders>
    </w:tblPr>
    <w:tcPr>
      <w:vAlign w:val="center"/>
    </w:tcPr>
  </w:style>
  <w:style w:type="character" w:styleId="19">
    <w:name w:val="Hyperlink"/>
    <w:basedOn w:val="18"/>
    <w:uiPriority w:val="0"/>
    <w:rPr>
      <w:color w:val="1E6FFF"/>
      <w:u w:val="single"/>
    </w:rPr>
  </w:style>
  <w:style w:type="table" w:customStyle="1" w:styleId="20">
    <w:name w:val="Doc Table Column 1st"/>
    <w:basedOn w:val="17"/>
    <w:uiPriority w:val="50"/>
    <w:tblStylePr w:type="firstRow">
      <w:tcPr>
        <w:shd w:val="clear" w:color="auto" w:fill="F3F5F7"/>
      </w:tcPr>
    </w:tblStylePr>
    <w:tblStylePr w:type="firstCol">
      <w:tcPr>
        <w:shd w:val="clear" w:color="auto" w:fill="F3F5F7"/>
      </w:tcPr>
    </w:tblStylePr>
  </w:style>
  <w:style w:type="character" w:customStyle="1" w:styleId="21">
    <w:name w:val="标题 字符"/>
    <w:basedOn w:val="18"/>
    <w:link w:val="15"/>
    <w:uiPriority w:val="0"/>
    <w:rPr>
      <w:rFonts w:ascii="Arial" w:hAnsi="Arial" w:eastAsia="微软雅黑" w:cstheme="majorBidi"/>
      <w:b/>
      <w:bCs/>
      <w:kern w:val="2"/>
      <w:sz w:val="48"/>
      <w:szCs w:val="32"/>
    </w:rPr>
  </w:style>
  <w:style w:type="character" w:customStyle="1" w:styleId="22">
    <w:name w:val="melo-codeblock-Base-theme-char"/>
    <w:uiPriority w:val="99"/>
    <w:rPr>
      <w:rFonts w:ascii="Monaco" w:hAnsi="Monaco" w:eastAsia="Monaco" w:cs="Monaco"/>
      <w:color w:val="000000"/>
      <w:sz w:val="21"/>
    </w:rPr>
  </w:style>
  <w:style w:type="paragraph" w:customStyle="1" w:styleId="23">
    <w:name w:val="melo-codeblock-Base-theme-para"/>
    <w:uiPriority w:val="99"/>
    <w:pPr>
      <w:snapToGrid w:val="0"/>
      <w:spacing w:line="360" w:lineRule="auto"/>
    </w:pPr>
    <w:rPr>
      <w:rFonts w:ascii="Monaco" w:hAnsi="Monaco" w:eastAsia="Monaco" w:cs="Monaco"/>
      <w:color w:val="000000"/>
      <w:sz w:val="21"/>
      <w:lang w:val="en-US" w:eastAsia="zh-CN" w:bidi="ar-SA"/>
    </w:rPr>
  </w:style>
  <w:style w:type="character" w:customStyle="1" w:styleId="24">
    <w:name w:val="副标题 字符"/>
    <w:basedOn w:val="18"/>
    <w:link w:val="14"/>
    <w:uiPriority w:val="0"/>
    <w:rPr>
      <w:rFonts w:ascii="Arial" w:hAnsi="Arial" w:eastAsia="微软雅黑" w:cstheme="minorBidi"/>
      <w:b/>
      <w:bCs/>
      <w:kern w:val="28"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1E6FFF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微软雅黑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微软雅黑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TotalTime>19</TotalTime>
  <ScaleCrop>false</ScaleCrop>
  <LinksUpToDate>false</LinksUpToDate>
  <Application>WPS Office_11.8.2.12309_F1E327BC-269C-435d-A152-05C5408002CA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2025-10-23T22:26:00Z</dcterms:created>
  <dc:creator>yangxinyang</dc:creator>
  <cp:lastModifiedBy>杨欣阳</cp:lastModifiedBy>
  <dcterms:modified xsi:type="dcterms:W3CDTF">2025-10-27T04:46:39Z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00119144030071526726XG1I0YC","ProduceID":"c6296871-3974-4d21-a8e7-636a618777b6_MToyOjI=","ReservedCode1":"BLx/syH0n1+yS+PHwZHJbKUeSA1zgpaLDNK8d+jrqqhYQRMBYGKuYq8wzf5eJFX3xPflocDsElCzn+iKiXJYcW+O4858/ijyTpFAVXeV+QxQ8vHQ4+bcAYp38PiFBO6I8QbWaftKhRHymj6jDqz1SgRlDEc=","ContentPropagator":"00119144030071526726XG1I0YC","PropagateID":"c6296871-3974-4d21-a8e7-636a618777b6_MToyOjI=","ReservedCode2":"BLx/syH0n1+yS+PHwZHJbKUeSA1zgpaLDNK8d+jrqqhYQRMBYGKuYq8wzf5eJFX3xPflocDsElCzn+iKiXJYcW+O4858/ijyTpFAVXeV+QxQ8vHQ4+bcAYp38PiFBO6I8QbWaftKhRHymj6jDqz1SgRlDEc="}</vt:lpwstr>
  </property>
  <property fmtid="{D5CDD505-2E9C-101B-9397-08002B2CF9AE}" pid="3" name="KSOProductBuildVer">
    <vt:lpwstr>2052-11.8.2.12309</vt:lpwstr>
  </property>
  <property fmtid="{D5CDD505-2E9C-101B-9397-08002B2CF9AE}" pid="4" name="ICV">
    <vt:lpwstr>DBB788ACA3DB49DC9CE7D50D6863A45E</vt:lpwstr>
  </property>
</Properties>
</file>