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9B7F4">
      <w:pPr>
        <w:adjustRightInd w:val="0"/>
        <w:snapToGrid w:val="0"/>
        <w:spacing w:line="360" w:lineRule="auto"/>
        <w:jc w:val="center"/>
        <w:rPr>
          <w:rFonts w:hint="eastAsia" w:ascii="Times New Roman" w:hAnsi="Times New Roman" w:eastAsia="宋体"/>
          <w:b/>
          <w:bCs/>
          <w:sz w:val="44"/>
          <w:szCs w:val="44"/>
          <w:highlight w:val="none"/>
          <w:lang w:val="en-US" w:eastAsia="zh-CN"/>
        </w:rPr>
      </w:pPr>
      <w:r>
        <w:rPr>
          <w:rFonts w:ascii="Times New Roman" w:hAnsi="Times New Roman"/>
          <w:b/>
          <w:bCs/>
          <w:sz w:val="32"/>
          <w:szCs w:val="32"/>
          <w:highlight w:val="none"/>
        </w:rPr>
        <w:t>附件</w:t>
      </w:r>
      <w:r>
        <w:rPr>
          <w:rFonts w:hint="eastAsia" w:ascii="Times New Roman" w:hAnsi="Times New Roman"/>
          <w:b/>
          <w:bCs/>
          <w:sz w:val="32"/>
          <w:szCs w:val="32"/>
          <w:highlight w:val="none"/>
          <w:lang w:val="en-US" w:eastAsia="zh-CN"/>
        </w:rPr>
        <w:t>1</w:t>
      </w:r>
      <w:r>
        <w:rPr>
          <w:rFonts w:hint="eastAsia" w:ascii="Times New Roman" w:hAnsi="Times New Roman"/>
          <w:b/>
          <w:bCs/>
          <w:sz w:val="32"/>
          <w:szCs w:val="32"/>
          <w:highlight w:val="none"/>
          <w:lang w:eastAsia="zh-CN"/>
        </w:rPr>
        <w:t>：</w:t>
      </w:r>
      <w:r>
        <w:rPr>
          <w:rFonts w:ascii="Times New Roman" w:hAnsi="Times New Roman"/>
          <w:b/>
          <w:bCs/>
          <w:sz w:val="32"/>
          <w:szCs w:val="32"/>
          <w:highlight w:val="none"/>
        </w:rPr>
        <w:t>项目信息</w:t>
      </w:r>
    </w:p>
    <w:p w14:paraId="1D123024">
      <w:pPr>
        <w:adjustRightInd w:val="0"/>
        <w:snapToGrid w:val="0"/>
        <w:spacing w:line="360" w:lineRule="auto"/>
        <w:jc w:val="center"/>
        <w:rPr>
          <w:rFonts w:ascii="Times New Roman" w:hAnsi="Times New Roman"/>
          <w:b/>
          <w:bCs/>
          <w:sz w:val="28"/>
          <w:szCs w:val="28"/>
          <w:highlight w:val="none"/>
        </w:rPr>
      </w:pPr>
      <w:r>
        <w:rPr>
          <w:rFonts w:hint="eastAsia" w:ascii="Times New Roman" w:hAnsi="Times New Roman"/>
          <w:b/>
          <w:bCs/>
          <w:sz w:val="28"/>
          <w:szCs w:val="28"/>
          <w:highlight w:val="none"/>
        </w:rPr>
        <w:t>项目</w:t>
      </w:r>
      <w:r>
        <w:rPr>
          <w:rFonts w:ascii="Times New Roman" w:hAnsi="Times New Roman"/>
          <w:b/>
          <w:bCs/>
          <w:sz w:val="28"/>
          <w:szCs w:val="28"/>
          <w:highlight w:val="none"/>
        </w:rPr>
        <w:t>名称：</w:t>
      </w:r>
      <w:r>
        <w:rPr>
          <w:rFonts w:hint="eastAsia" w:ascii="Times New Roman" w:hAnsi="Times New Roman" w:eastAsia="宋体" w:cs="Times New Roman"/>
          <w:b/>
          <w:bCs/>
          <w:color w:val="auto"/>
          <w:sz w:val="28"/>
          <w:szCs w:val="28"/>
          <w:highlight w:val="none"/>
          <w:lang w:eastAsia="zh-CN"/>
        </w:rPr>
        <w:t>藏东南至粤港澳大湾区±800千伏特高压直流输电工程（滇桂粤段）线路部分施工（第一批）</w:t>
      </w:r>
    </w:p>
    <w:tbl>
      <w:tblPr>
        <w:tblStyle w:val="18"/>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14:paraId="70E7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5D9BEF67">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序号</w:t>
            </w:r>
          </w:p>
        </w:tc>
        <w:tc>
          <w:tcPr>
            <w:tcW w:w="2911" w:type="dxa"/>
            <w:vAlign w:val="center"/>
          </w:tcPr>
          <w:p w14:paraId="70843295">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文件名称</w:t>
            </w:r>
          </w:p>
        </w:tc>
        <w:tc>
          <w:tcPr>
            <w:tcW w:w="3476" w:type="dxa"/>
            <w:vAlign w:val="center"/>
          </w:tcPr>
          <w:p w14:paraId="3C747A40">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文件文号</w:t>
            </w:r>
          </w:p>
        </w:tc>
      </w:tr>
      <w:tr w14:paraId="7FD88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4B77F0C1">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1</w:t>
            </w:r>
          </w:p>
        </w:tc>
        <w:tc>
          <w:tcPr>
            <w:tcW w:w="2911" w:type="dxa"/>
            <w:vAlign w:val="center"/>
          </w:tcPr>
          <w:p w14:paraId="0D9DC42D">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可研批复文号</w:t>
            </w:r>
          </w:p>
        </w:tc>
        <w:tc>
          <w:tcPr>
            <w:tcW w:w="3476" w:type="dxa"/>
            <w:vAlign w:val="center"/>
          </w:tcPr>
          <w:p w14:paraId="3498DA18">
            <w:pPr>
              <w:pStyle w:val="11"/>
              <w:snapToGrid w:val="0"/>
              <w:spacing w:line="360" w:lineRule="auto"/>
              <w:jc w:val="center"/>
              <w:rPr>
                <w:rFonts w:ascii="Times New Roman" w:hAnsi="Times New Roman"/>
                <w:snapToGrid w:val="0"/>
                <w:sz w:val="21"/>
                <w:szCs w:val="21"/>
                <w:highlight w:val="none"/>
              </w:rPr>
            </w:pPr>
            <w:r>
              <w:rPr>
                <w:rFonts w:ascii="Times New Roman" w:hAnsi="Times New Roman"/>
                <w:sz w:val="21"/>
                <w:szCs w:val="21"/>
                <w:highlight w:val="none"/>
              </w:rPr>
              <w:t>南方电网规划〔2024〕137号</w:t>
            </w:r>
          </w:p>
        </w:tc>
      </w:tr>
      <w:tr w14:paraId="0B816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7E44C8A1">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2</w:t>
            </w:r>
          </w:p>
        </w:tc>
        <w:tc>
          <w:tcPr>
            <w:tcW w:w="2911" w:type="dxa"/>
            <w:vAlign w:val="center"/>
          </w:tcPr>
          <w:p w14:paraId="0C5A40C6">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项目备案文号</w:t>
            </w:r>
          </w:p>
        </w:tc>
        <w:tc>
          <w:tcPr>
            <w:tcW w:w="3476" w:type="dxa"/>
            <w:vAlign w:val="center"/>
          </w:tcPr>
          <w:p w14:paraId="536ABF43">
            <w:pPr>
              <w:pStyle w:val="11"/>
              <w:snapToGrid w:val="0"/>
              <w:spacing w:line="360" w:lineRule="auto"/>
              <w:jc w:val="center"/>
              <w:rPr>
                <w:rFonts w:ascii="Times New Roman" w:hAnsi="Times New Roman"/>
                <w:snapToGrid w:val="0"/>
                <w:sz w:val="21"/>
                <w:szCs w:val="21"/>
                <w:highlight w:val="none"/>
              </w:rPr>
            </w:pPr>
            <w:r>
              <w:rPr>
                <w:rFonts w:ascii="Times New Roman" w:hAnsi="Times New Roman"/>
                <w:sz w:val="21"/>
                <w:szCs w:val="21"/>
                <w:highlight w:val="none"/>
              </w:rPr>
              <w:t>发改能源〔2025〕791号</w:t>
            </w:r>
          </w:p>
        </w:tc>
      </w:tr>
      <w:tr w14:paraId="16F01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39D639C5">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3</w:t>
            </w:r>
          </w:p>
        </w:tc>
        <w:tc>
          <w:tcPr>
            <w:tcW w:w="2911" w:type="dxa"/>
            <w:vAlign w:val="center"/>
          </w:tcPr>
          <w:p w14:paraId="2C12F005">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初设批复文号</w:t>
            </w:r>
          </w:p>
        </w:tc>
        <w:tc>
          <w:tcPr>
            <w:tcW w:w="3476" w:type="dxa"/>
            <w:vAlign w:val="center"/>
          </w:tcPr>
          <w:p w14:paraId="0FC5B665">
            <w:pPr>
              <w:widowControl/>
              <w:snapToGrid w:val="0"/>
              <w:jc w:val="center"/>
              <w:rPr>
                <w:rFonts w:ascii="Times New Roman" w:hAnsi="Times New Roman"/>
                <w:snapToGrid w:val="0"/>
                <w:kern w:val="0"/>
                <w:szCs w:val="21"/>
                <w:highlight w:val="none"/>
              </w:rPr>
            </w:pPr>
            <w:r>
              <w:rPr>
                <w:rFonts w:hint="eastAsia" w:ascii="宋体" w:hAnsi="宋体" w:cs="宋体"/>
                <w:szCs w:val="21"/>
                <w:highlight w:val="none"/>
              </w:rPr>
              <w:t>南方电网工程〔2025〕</w:t>
            </w:r>
            <w:r>
              <w:rPr>
                <w:rFonts w:hint="eastAsia" w:ascii="宋体" w:hAnsi="宋体" w:cs="宋体"/>
                <w:szCs w:val="21"/>
                <w:highlight w:val="none"/>
                <w:lang w:val="en-US" w:eastAsia="zh-CN"/>
              </w:rPr>
              <w:t>7</w:t>
            </w:r>
            <w:r>
              <w:rPr>
                <w:rFonts w:hint="eastAsia" w:ascii="宋体" w:hAnsi="宋体" w:cs="宋体"/>
                <w:szCs w:val="21"/>
                <w:highlight w:val="none"/>
              </w:rPr>
              <w:t>号</w:t>
            </w:r>
          </w:p>
        </w:tc>
      </w:tr>
      <w:tr w14:paraId="1628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0AFB2E4E">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4</w:t>
            </w:r>
          </w:p>
        </w:tc>
        <w:tc>
          <w:tcPr>
            <w:tcW w:w="2911" w:type="dxa"/>
            <w:vAlign w:val="center"/>
          </w:tcPr>
          <w:p w14:paraId="07F7633E">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资金落实情况</w:t>
            </w:r>
          </w:p>
        </w:tc>
        <w:tc>
          <w:tcPr>
            <w:tcW w:w="3476" w:type="dxa"/>
            <w:vAlign w:val="center"/>
          </w:tcPr>
          <w:p w14:paraId="750C6A94">
            <w:pPr>
              <w:pStyle w:val="11"/>
              <w:snapToGrid w:val="0"/>
              <w:jc w:val="center"/>
              <w:rPr>
                <w:rFonts w:ascii="Times New Roman" w:hAnsi="Times New Roman"/>
                <w:snapToGrid w:val="0"/>
                <w:sz w:val="21"/>
                <w:szCs w:val="21"/>
                <w:highlight w:val="none"/>
              </w:rPr>
            </w:pPr>
            <w:r>
              <w:rPr>
                <w:rFonts w:ascii="Times New Roman" w:hAnsi="Times New Roman"/>
                <w:sz w:val="21"/>
                <w:szCs w:val="21"/>
                <w:highlight w:val="none"/>
              </w:rPr>
              <w:t>南方电网计财[2025]6号</w:t>
            </w:r>
          </w:p>
        </w:tc>
      </w:tr>
      <w:tr w14:paraId="6672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6F95E75C">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5</w:t>
            </w:r>
          </w:p>
        </w:tc>
        <w:tc>
          <w:tcPr>
            <w:tcW w:w="2911" w:type="dxa"/>
            <w:vAlign w:val="center"/>
          </w:tcPr>
          <w:p w14:paraId="07054DAB">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施工图预算批复文号</w:t>
            </w:r>
          </w:p>
        </w:tc>
        <w:tc>
          <w:tcPr>
            <w:tcW w:w="3476" w:type="dxa"/>
            <w:vAlign w:val="center"/>
          </w:tcPr>
          <w:p w14:paraId="3E1CA824">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w:t>
            </w:r>
          </w:p>
        </w:tc>
      </w:tr>
      <w:tr w14:paraId="0130B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33EE9D85">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6</w:t>
            </w:r>
          </w:p>
        </w:tc>
        <w:tc>
          <w:tcPr>
            <w:tcW w:w="2911" w:type="dxa"/>
            <w:vAlign w:val="center"/>
          </w:tcPr>
          <w:p w14:paraId="02274E75">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项目建设单位</w:t>
            </w:r>
          </w:p>
        </w:tc>
        <w:tc>
          <w:tcPr>
            <w:tcW w:w="3476" w:type="dxa"/>
            <w:vAlign w:val="center"/>
          </w:tcPr>
          <w:p w14:paraId="686182C3">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南网超高压公司</w:t>
            </w:r>
          </w:p>
        </w:tc>
      </w:tr>
      <w:tr w14:paraId="18004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451B2BD8">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7</w:t>
            </w:r>
          </w:p>
        </w:tc>
        <w:tc>
          <w:tcPr>
            <w:tcW w:w="2911" w:type="dxa"/>
            <w:vAlign w:val="center"/>
          </w:tcPr>
          <w:p w14:paraId="3B165137">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项目建设地点</w:t>
            </w:r>
          </w:p>
        </w:tc>
        <w:tc>
          <w:tcPr>
            <w:tcW w:w="3476" w:type="dxa"/>
            <w:vAlign w:val="center"/>
          </w:tcPr>
          <w:p w14:paraId="48761F26">
            <w:pPr>
              <w:pStyle w:val="11"/>
              <w:snapToGrid w:val="0"/>
              <w:jc w:val="center"/>
              <w:rPr>
                <w:rFonts w:ascii="Times New Roman" w:hAnsi="Times New Roman"/>
                <w:snapToGrid w:val="0"/>
                <w:sz w:val="21"/>
                <w:szCs w:val="21"/>
                <w:highlight w:val="none"/>
              </w:rPr>
            </w:pPr>
            <w:r>
              <w:rPr>
                <w:rFonts w:hint="eastAsia" w:ascii="Times New Roman" w:hAnsi="Times New Roman"/>
                <w:snapToGrid w:val="0"/>
                <w:sz w:val="21"/>
                <w:szCs w:val="21"/>
                <w:highlight w:val="none"/>
              </w:rPr>
              <w:t>云南、广西、广东</w:t>
            </w:r>
          </w:p>
        </w:tc>
      </w:tr>
      <w:tr w14:paraId="62FC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5EBB81D0">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8</w:t>
            </w:r>
          </w:p>
        </w:tc>
        <w:tc>
          <w:tcPr>
            <w:tcW w:w="2911" w:type="dxa"/>
            <w:vAlign w:val="center"/>
          </w:tcPr>
          <w:p w14:paraId="7835FF2D">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前期的设计或咨询服务单位名称</w:t>
            </w:r>
          </w:p>
        </w:tc>
        <w:tc>
          <w:tcPr>
            <w:tcW w:w="3476" w:type="dxa"/>
            <w:vAlign w:val="center"/>
          </w:tcPr>
          <w:p w14:paraId="10CA4D30">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电力规划总院有限公司</w:t>
            </w:r>
          </w:p>
          <w:p w14:paraId="4F909844">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中国能源建设集团云南省电力设计院有限公司</w:t>
            </w:r>
          </w:p>
          <w:p w14:paraId="139ADFC6">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中国电力工程顾问集团西南电力设计院有限公司</w:t>
            </w:r>
          </w:p>
          <w:p w14:paraId="1A272D27">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中国电力工程顾问集团东北电力设计院有限公司</w:t>
            </w:r>
          </w:p>
          <w:p w14:paraId="204607F4">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中国电建集团贵州电力设计研究院有限公司</w:t>
            </w:r>
          </w:p>
          <w:p w14:paraId="1FABD0ED">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中国能源建设集团湖南省电力设计院有限公司</w:t>
            </w:r>
          </w:p>
          <w:p w14:paraId="64CE48DD">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中国电力工程顾问集团西北电力设计院有限公司</w:t>
            </w:r>
          </w:p>
          <w:p w14:paraId="0168E2D6">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中国能源建设集团广西电力设计研究院有限公司</w:t>
            </w:r>
          </w:p>
          <w:p w14:paraId="3DF8CE19">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中国电力工程顾问集团中南电力设计院有限公司</w:t>
            </w:r>
          </w:p>
          <w:p w14:paraId="19F879AB">
            <w:pPr>
              <w:pStyle w:val="11"/>
              <w:snapToGrid w:val="0"/>
              <w:jc w:val="left"/>
              <w:rPr>
                <w:rFonts w:ascii="Times New Roman" w:hAnsi="Times New Roman"/>
                <w:sz w:val="21"/>
                <w:szCs w:val="21"/>
                <w:highlight w:val="none"/>
              </w:rPr>
            </w:pPr>
            <w:r>
              <w:rPr>
                <w:rFonts w:ascii="Times New Roman" w:hAnsi="Times New Roman"/>
                <w:sz w:val="21"/>
                <w:szCs w:val="21"/>
                <w:highlight w:val="none"/>
              </w:rPr>
              <w:t>中国能源建设集团广东省电力设计研究院有限公司</w:t>
            </w:r>
          </w:p>
          <w:p w14:paraId="79B66C8C">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中国电力工程顾问集团华东电力设计院有限公司</w:t>
            </w:r>
          </w:p>
        </w:tc>
      </w:tr>
      <w:tr w14:paraId="667F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14:paraId="04DEC951">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9</w:t>
            </w:r>
          </w:p>
        </w:tc>
        <w:tc>
          <w:tcPr>
            <w:tcW w:w="2911" w:type="dxa"/>
            <w:vAlign w:val="center"/>
          </w:tcPr>
          <w:p w14:paraId="004E9D3C">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项目监理单位</w:t>
            </w:r>
          </w:p>
        </w:tc>
        <w:tc>
          <w:tcPr>
            <w:tcW w:w="3476" w:type="dxa"/>
            <w:vAlign w:val="center"/>
          </w:tcPr>
          <w:p w14:paraId="023DE1A1">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w:t>
            </w:r>
          </w:p>
        </w:tc>
      </w:tr>
    </w:tbl>
    <w:p w14:paraId="3232CEEE">
      <w:pPr>
        <w:snapToGrid w:val="0"/>
        <w:rPr>
          <w:rFonts w:ascii="Times New Roman" w:hAnsi="Times New Roman"/>
          <w:highlight w:val="none"/>
        </w:rPr>
      </w:pPr>
    </w:p>
    <w:p w14:paraId="23E2687C">
      <w:pPr>
        <w:adjustRightInd w:val="0"/>
        <w:snapToGrid w:val="0"/>
        <w:spacing w:line="360" w:lineRule="auto"/>
        <w:rPr>
          <w:rFonts w:hint="eastAsia" w:asciiTheme="minorEastAsia" w:hAnsiTheme="minorEastAsia" w:eastAsiaTheme="minorEastAsia" w:cstheme="minorEastAsia"/>
          <w:b/>
          <w:bCs/>
          <w:sz w:val="24"/>
          <w:szCs w:val="24"/>
          <w:highlight w:val="none"/>
        </w:rPr>
      </w:pPr>
    </w:p>
    <w:p w14:paraId="781762FA">
      <w:pPr>
        <w:adjustRightInd w:val="0"/>
        <w:snapToGrid w:val="0"/>
        <w:spacing w:line="360" w:lineRule="auto"/>
        <w:rPr>
          <w:rFonts w:hint="eastAsia" w:asciiTheme="minorEastAsia" w:hAnsiTheme="minorEastAsia" w:eastAsiaTheme="minorEastAsia" w:cstheme="minorEastAsia"/>
          <w:b/>
          <w:bCs/>
          <w:sz w:val="24"/>
          <w:szCs w:val="24"/>
          <w:highlight w:val="none"/>
        </w:rPr>
      </w:pPr>
    </w:p>
    <w:p w14:paraId="3ACAD659">
      <w:pPr>
        <w:adjustRightInd w:val="0"/>
        <w:snapToGrid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一、项目概况</w:t>
      </w:r>
    </w:p>
    <w:p w14:paraId="72E2A372">
      <w:pPr>
        <w:adjustRightInd w:val="0"/>
        <w:snapToGrid w:val="0"/>
        <w:spacing w:line="360" w:lineRule="auto"/>
        <w:ind w:firstLine="420" w:firstLineChars="200"/>
        <w:jc w:val="lef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本工程直流线路起于西藏自治区察瓦龙乡与云南省怒江州贡山县丙中洛</w:t>
      </w:r>
      <w:r>
        <w:rPr>
          <w:rFonts w:hint="eastAsia" w:asciiTheme="minorEastAsia" w:hAnsiTheme="minorEastAsia" w:eastAsiaTheme="minorEastAsia" w:cstheme="minorEastAsia"/>
          <w:bCs/>
          <w:color w:val="auto"/>
          <w:szCs w:val="21"/>
          <w:highlight w:val="none"/>
        </w:rPr>
        <w:t>乡</w:t>
      </w:r>
      <w:r>
        <w:rPr>
          <w:rFonts w:hint="eastAsia" w:asciiTheme="minorEastAsia" w:hAnsiTheme="minorEastAsia" w:eastAsiaTheme="minorEastAsia" w:cstheme="minorEastAsia"/>
          <w:bCs/>
          <w:szCs w:val="21"/>
          <w:highlight w:val="none"/>
        </w:rPr>
        <w:t>的交界处（藏滇边界），经广州小迳换流站，止于深圳中部换流站。线路全长2344.53km（其中利旧5.968km），其中滇藏边界～广州小迳站段线路长度1945.724km，曲折系数1.236，途经云南、广西、广东3省（自治区），云南境内1083.778km，广西境内673.418km，广东境内（西段）188.413km；广州小迳站～深圳中部换流站段线路长度398.921km（其中利旧5.968km），曲折系数2.962，全段位于广东境内。</w:t>
      </w:r>
    </w:p>
    <w:p w14:paraId="1EEC56D6">
      <w:pPr>
        <w:adjustRightInd w:val="0"/>
        <w:snapToGrid w:val="0"/>
        <w:spacing w:line="360" w:lineRule="auto"/>
        <w:ind w:firstLine="420" w:firstLineChars="200"/>
        <w:jc w:val="lef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本工程滇藏边界至小迳段，0mm和10mm冰区平丘段采用8×JL1/G3A－1250/70钢芯铝绞线；20mm以下轻、中冰区山地段和20mm重冰区采用8×JL1/G2A-1250/100钢芯铝绞线，导线分裂间距550mm；30mm重冰区采用8×JLHA4/G2A-900/75钢芯中强度铝合金绞线；结合施工和运维需求，以及交通条件、大档距、大高差档情况，贡山段全部采用8×JLHA4/G2A-900/75钢芯中强度铝合金绞线，导线分裂间距500mm；小迳至中部段采用6×JL/G2A-720/50钢芯铝绞线，导线分裂间距450mm。</w:t>
      </w:r>
    </w:p>
    <w:p w14:paraId="6DF9B9DF">
      <w:pPr>
        <w:adjustRightInd w:val="0"/>
        <w:snapToGrid w:val="0"/>
        <w:spacing w:line="360" w:lineRule="auto"/>
        <w:ind w:firstLine="420" w:firstLineChars="200"/>
        <w:jc w:val="lef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结合系统通信要求，本工程在20mm及以下冰区普通地线采用JLB20A-150铝包钢绞线，光缆采用OPGW-150复合光缆；30mm冰区普通地线采用JLB20A-240铝包钢绞线，光缆采用OPGW-240复合光缆；考虑融冰需求，</w:t>
      </w:r>
      <w:r>
        <w:rPr>
          <w:rFonts w:hint="eastAsia" w:asciiTheme="minorEastAsia" w:hAnsiTheme="minorEastAsia" w:eastAsiaTheme="minorEastAsia"/>
          <w:snapToGrid w:val="0"/>
          <w:kern w:val="0"/>
          <w:highlight w:val="none"/>
        </w:rPr>
        <w:t>与30mm冰区在一个融冰区段的其他冰区地线采用JLB20A-185铝包钢绞线，</w:t>
      </w:r>
      <w:r>
        <w:rPr>
          <w:rFonts w:hint="eastAsia" w:asciiTheme="minorEastAsia" w:hAnsiTheme="minorEastAsia" w:eastAsiaTheme="minorEastAsia" w:cstheme="minorEastAsia"/>
          <w:bCs/>
          <w:szCs w:val="21"/>
          <w:highlight w:val="none"/>
        </w:rPr>
        <w:t>光缆采用OPGW-180复合光缆；结合施工和运维需求，以及交通条件、大档距、大高差档情况，贡山段双光缆采用OPGW-180复合光缆。</w:t>
      </w:r>
    </w:p>
    <w:p w14:paraId="1992F567">
      <w:pPr>
        <w:adjustRightInd w:val="0"/>
        <w:snapToGrid w:val="0"/>
        <w:spacing w:line="360" w:lineRule="auto"/>
        <w:ind w:firstLine="420" w:firstLineChars="200"/>
        <w:jc w:val="left"/>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受端接地极线路：（1）小迳换流站至接地极的接地极线路长度为179.562km，其中共塔段架设93.85km，独立段架设85.712km，导线采用JNRLH60/G3A-300/40钢芯耐热铝合金绞线，按两组双分裂分别挂于杆塔两侧，子导线分裂间距取500mm，垂直布置。地线采用一根JLB20A-80铝包钢绞线。（2）中部换流站至接地极的接地极线路长度为213.005km，其中共塔段架设129.282km，独立段架设83.723km，导线采用JNRLH60/G3A-300/40钢芯耐热铝合金绞线，按两组双分裂分别挂于杆塔两侧，子导线分裂间距取500mm，垂直布置。地线采用一根JLB20A-80铝包钢绞线。</w:t>
      </w:r>
    </w:p>
    <w:p w14:paraId="5012FF7E">
      <w:pPr>
        <w:adjustRightInd w:val="0"/>
        <w:snapToGrid w:val="0"/>
        <w:spacing w:line="360" w:lineRule="auto"/>
        <w:ind w:firstLine="420" w:firstLineChars="200"/>
        <w:rPr>
          <w:rFonts w:hint="eastAsia" w:ascii="仿宋_GB2312" w:hAnsi="仿宋_GB2312" w:eastAsia="仿宋_GB2312" w:cs="仿宋_GB2312"/>
          <w:bCs/>
          <w:sz w:val="32"/>
          <w:szCs w:val="32"/>
          <w:highlight w:val="none"/>
        </w:rPr>
      </w:pPr>
      <w:r>
        <w:rPr>
          <w:rFonts w:hint="eastAsia" w:asciiTheme="minorEastAsia" w:hAnsiTheme="minorEastAsia" w:eastAsiaTheme="minorEastAsia" w:cstheme="minorEastAsia"/>
          <w:bCs/>
          <w:szCs w:val="21"/>
          <w:highlight w:val="none"/>
        </w:rPr>
        <w:t>建设规模详见技术文件。</w:t>
      </w:r>
    </w:p>
    <w:p w14:paraId="34357EEC">
      <w:pPr>
        <w:adjustRightInd w:val="0"/>
        <w:snapToGrid w:val="0"/>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二、采购范围</w:t>
      </w:r>
    </w:p>
    <w:p w14:paraId="46876CCE">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包括但不限于：包括施工图范围内的建筑、安装及调试工程。施工图范围内的下列工作内容，无□及☑的为本次报价范围；</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未打√的，不在本次报价范围内，特殊情况在“其他”中说明。</w:t>
      </w:r>
    </w:p>
    <w:p w14:paraId="3B8FD783">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标的1：（第一批线路施工1-5标段）</w:t>
      </w:r>
    </w:p>
    <w:p w14:paraId="38B6B352">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14:paraId="3773D7B0">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1、线路基础、杆塔、接地、架线及附件安装工程等。</w:t>
      </w:r>
    </w:p>
    <w:p w14:paraId="69CBA2B6">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2、辅助工程（含排水沟、护坡、挡土墙、防撞墩、围堰等设施修筑，危岩清理、塔位主被动防护网安装、岩溶处理，航空警示灯、警示球安装，施工临时道路修筑、索道设施架设等）。</w:t>
      </w:r>
    </w:p>
    <w:p w14:paraId="4F8216E5">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14:paraId="749B4B8A">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4、标志牌（含</w:t>
      </w:r>
      <w:bookmarkStart w:id="0" w:name="OLE_LINK2"/>
      <w:r>
        <w:rPr>
          <w:rFonts w:hint="eastAsia" w:asciiTheme="minorEastAsia" w:hAnsiTheme="minorEastAsia" w:eastAsiaTheme="minorEastAsia" w:cstheme="minorEastAsia"/>
          <w:bCs/>
          <w:szCs w:val="21"/>
          <w:highlight w:val="none"/>
        </w:rPr>
        <w:t>塔号牌、警示牌、极性牌</w:t>
      </w:r>
      <w:bookmarkEnd w:id="0"/>
      <w:r>
        <w:rPr>
          <w:rFonts w:hint="eastAsia" w:asciiTheme="minorEastAsia" w:hAnsiTheme="minorEastAsia" w:eastAsiaTheme="minorEastAsia" w:cstheme="minorEastAsia"/>
          <w:bCs/>
          <w:szCs w:val="21"/>
          <w:highlight w:val="none"/>
        </w:rPr>
        <w:t>、通航江河航道标识、直升机巡视牌等）安装，其中塔号牌、警示牌、极性牌、直升机巡视牌由发包人负责采购，通航江河航道标识由承包人负责采购。</w:t>
      </w:r>
    </w:p>
    <w:p w14:paraId="54714CF8">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5、塔基永久性占地及地面附着物补偿（包括构筑物、宅基地、鱼塘、青苗、经济作物赔偿等迁移和补偿）、通道林木砍伐（含砍伐、清理、赔偿、手续办理、复绿等工作所需费用以及相关需缴纳的规（税）费）；不含林勘报告编制费，永久性占地耕地占用税及政府征收的植被恢复费。迁坟，房屋拆迁（各类房屋及附属设施赔偿、拆迁及相关税费，包括另置宅基地及拆除后复耕（绿））。</w:t>
      </w:r>
    </w:p>
    <w:p w14:paraId="03C6CD7F">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、施工场地（材料站、牵张场、临时用地、施工临时道路等），含对应场地租用、清理、赔偿、复绿等；</w:t>
      </w:r>
    </w:p>
    <w:p w14:paraId="04975619">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7</w:t>
      </w:r>
      <w:r>
        <w:rPr>
          <w:rFonts w:hint="eastAsia" w:asciiTheme="minorEastAsia" w:hAnsiTheme="minorEastAsia" w:eastAsiaTheme="minorEastAsia" w:cstheme="minorEastAsia"/>
          <w:bCs/>
          <w:szCs w:val="21"/>
          <w:highlight w:val="none"/>
        </w:rPr>
        <w:t>、施工涉及的砍伐树木，包括施工临时道路、索道架设、跨越设施、牵引绳展放、铁塔组立等所需的树木砍伐、赔偿、清理、运输（含手续办理、复绿等工作所需费用以及相关需缴纳的规（税）费，不含林勘报告编制费）。</w:t>
      </w:r>
    </w:p>
    <w:p w14:paraId="7156F0F6">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8</w:t>
      </w:r>
      <w:r>
        <w:rPr>
          <w:rFonts w:hint="eastAsia" w:asciiTheme="minorEastAsia" w:hAnsiTheme="minorEastAsia" w:eastAsiaTheme="minorEastAsia" w:cstheme="minorEastAsia"/>
          <w:bCs/>
          <w:szCs w:val="21"/>
          <w:highlight w:val="none"/>
        </w:rPr>
        <w:t>、沿线建（构）筑物(含国防光缆改造等)搬迁由承包人负责实施；其中搬迁通信基站（塔）、炸药库、垃圾场、砂场、石场、砖瓦厂、矿区、风景区、保护区及有证工业厂房等的赔偿费用由发包人承担。</w:t>
      </w:r>
    </w:p>
    <w:p w14:paraId="57D99AF6">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9、35千伏及以下低压电力线路、各级通信线（含广播线、电视线等）拆迁（改迁）全部相关工作（包含但不限于项目实施、材料及设备采购、拆迁赔偿、迹地恢复、协调等）；</w:t>
      </w:r>
    </w:p>
    <w:p w14:paraId="4BAA46BC">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10、</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步行栈道、道路、水渠、水管、水井、水池等迁改，含对应施工、材料、设备、拆迁赔偿、迹地恢复、协调等；</w:t>
      </w:r>
    </w:p>
    <w:p w14:paraId="37F5DF05">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11、落实水土保持、环境保护、职业健康、安全设施（包含但不限于余土综合利用、迹地恢复等）及配合验收，与工程有关的测试、调试、检查等工作；</w:t>
      </w:r>
    </w:p>
    <w:p w14:paraId="178C8B19">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12.甲供材料交货地点卸车、保管、二次倒运、余料回收等工作和费用，配合由厂家包安装甲供物资的安装及调试；</w:t>
      </w:r>
    </w:p>
    <w:p w14:paraId="1A82BAC1">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13、其他为了正常施工所需办理的一切手续（含施工许可证、林木采伐设计及采伐证、专业爆破、临时用地植被恢复等）及费用等全部相关工作。</w:t>
      </w:r>
    </w:p>
    <w:p w14:paraId="573968EC">
      <w:pPr>
        <w:adjustRightInd w:val="0"/>
        <w:snapToGrid w:val="0"/>
        <w:spacing w:line="360" w:lineRule="auto"/>
        <w:ind w:firstLine="420" w:firstLineChars="200"/>
        <w:rPr>
          <w:highlight w:val="none"/>
        </w:rPr>
      </w:pPr>
      <w:r>
        <w:rPr>
          <w:rFonts w:hint="eastAsia" w:asciiTheme="minorEastAsia" w:hAnsiTheme="minorEastAsia" w:eastAsiaTheme="minorEastAsia" w:cstheme="minorEastAsia"/>
          <w:bCs/>
          <w:szCs w:val="21"/>
          <w:highlight w:val="none"/>
        </w:rPr>
        <w:t>具体工作内容详见技术文件和工程量清单。</w:t>
      </w:r>
    </w:p>
    <w:p w14:paraId="6D28AE65">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标的2：（第一批线路施工6-8标段）</w:t>
      </w:r>
    </w:p>
    <w:p w14:paraId="23674655">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14:paraId="1B272761">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1、线路本体工程（含基础、杆塔、接地、架线及附件安装工程等）；</w:t>
      </w:r>
    </w:p>
    <w:p w14:paraId="59E57E6E">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2、辅助工程（含排水沟、护坡、挡土墙、防撞墩、围堰等设施修筑，危岩清理、塔位主被动防护网安装、岩溶处理，航空警示灯、警示球安装，施工临时道路修筑、索道设施架设）；</w:t>
      </w:r>
    </w:p>
    <w:p w14:paraId="7EFDA3FE">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14:paraId="142A56DB">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highlight w:val="none"/>
        </w:rPr>
        <w:t>4、标志牌（含塔号牌、警示牌、极性牌、通航江河航道标识、直升机巡视牌等）安装，其中塔号牌、警示牌、极性牌、直升机巡视牌由发包人采购，通航江河航道标识由承包人采购</w:t>
      </w:r>
      <w:r>
        <w:rPr>
          <w:rFonts w:hint="eastAsia" w:asciiTheme="minorEastAsia" w:hAnsiTheme="minorEastAsia" w:eastAsiaTheme="minorEastAsia" w:cstheme="minorEastAsia"/>
          <w:bCs/>
          <w:szCs w:val="21"/>
          <w:highlight w:val="none"/>
          <w:lang w:eastAsia="zh-CN"/>
        </w:rPr>
        <w:t>。</w:t>
      </w:r>
    </w:p>
    <w:p w14:paraId="5365394D">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rPr>
        <w:t>5、塔基永久性占地及永久占地范围对应的地面附着物补偿（包括构筑物、宅基地、坟墓及鱼塘、青苗、经济作物赔偿等迁移和补偿</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由承包人负责，经发包人审批同意后据实结算</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费用由承包人代付</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林勘报告编制费，永久性占地耕地占用税及政府征收的植被恢复费</w:t>
      </w:r>
      <w:r>
        <w:rPr>
          <w:rFonts w:hint="eastAsia" w:asciiTheme="minorEastAsia" w:hAnsiTheme="minorEastAsia" w:eastAsiaTheme="minorEastAsia" w:cstheme="minorEastAsia"/>
          <w:bCs/>
          <w:szCs w:val="21"/>
          <w:highlight w:val="none"/>
          <w:lang w:val="en-US" w:eastAsia="zh-CN"/>
        </w:rPr>
        <w:t>由发包人负责</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val="en-US" w:eastAsia="zh-CN"/>
        </w:rPr>
        <w:t>。</w:t>
      </w:r>
    </w:p>
    <w:p w14:paraId="298EAE6D">
      <w:pPr>
        <w:adjustRightInd w:val="0"/>
        <w:snapToGrid w:val="0"/>
        <w:spacing w:line="360" w:lineRule="auto"/>
        <w:ind w:firstLine="420" w:firstLineChars="20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、施工场地（</w:t>
      </w:r>
      <w:r>
        <w:rPr>
          <w:rFonts w:hint="eastAsia" w:asciiTheme="minorEastAsia" w:hAnsiTheme="minorEastAsia" w:eastAsiaTheme="minorEastAsia" w:cstheme="minorEastAsia"/>
          <w:bCs/>
          <w:szCs w:val="21"/>
          <w:highlight w:val="none"/>
          <w:lang w:val="en-US" w:eastAsia="zh-CN"/>
        </w:rPr>
        <w:t>含</w:t>
      </w:r>
      <w:r>
        <w:rPr>
          <w:rFonts w:hint="eastAsia" w:asciiTheme="minorEastAsia" w:hAnsiTheme="minorEastAsia" w:eastAsiaTheme="minorEastAsia" w:cstheme="minorEastAsia"/>
          <w:bCs/>
          <w:szCs w:val="21"/>
          <w:highlight w:val="none"/>
        </w:rPr>
        <w:t>牵张场、临时用地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跨越设施</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索道架设等），含对应场地租用、赔偿、复绿等由承包人负责</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租用费、赔偿费</w:t>
      </w:r>
      <w:r>
        <w:rPr>
          <w:rFonts w:hint="eastAsia" w:asciiTheme="minorEastAsia" w:hAnsiTheme="minorEastAsia" w:eastAsiaTheme="minorEastAsia" w:cstheme="minorEastAsia"/>
          <w:bCs/>
          <w:szCs w:val="21"/>
          <w:highlight w:val="none"/>
        </w:rPr>
        <w:t>经发包人审批同意后据实结算</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费用由承包人代付，复绿费用由承包人负责。施工场地修整费用由承包人负责。</w:t>
      </w:r>
    </w:p>
    <w:p w14:paraId="66790055">
      <w:pPr>
        <w:adjustRightInd w:val="0"/>
        <w:snapToGrid w:val="0"/>
        <w:spacing w:line="360" w:lineRule="auto"/>
        <w:ind w:firstLine="420" w:firstLineChars="20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szCs w:val="21"/>
          <w:highlight w:val="none"/>
          <w:lang w:val="en-US" w:eastAsia="zh-CN"/>
        </w:rPr>
        <w:t>7</w:t>
      </w:r>
      <w:r>
        <w:rPr>
          <w:rFonts w:hint="eastAsia" w:asciiTheme="minorEastAsia" w:hAnsiTheme="minorEastAsia" w:eastAsiaTheme="minorEastAsia" w:cstheme="minorEastAsia"/>
          <w:bCs/>
          <w:szCs w:val="21"/>
          <w:highlight w:val="none"/>
        </w:rPr>
        <w:t>、施工临时道路，含对应</w:t>
      </w:r>
      <w:r>
        <w:rPr>
          <w:rFonts w:hint="eastAsia" w:asciiTheme="minorEastAsia" w:hAnsiTheme="minorEastAsia" w:eastAsiaTheme="minorEastAsia" w:cstheme="minorEastAsia"/>
          <w:bCs/>
          <w:szCs w:val="21"/>
          <w:highlight w:val="none"/>
          <w:lang w:val="en-US" w:eastAsia="zh-CN"/>
        </w:rPr>
        <w:t>道路</w:t>
      </w:r>
      <w:r>
        <w:rPr>
          <w:rFonts w:hint="eastAsia" w:asciiTheme="minorEastAsia" w:hAnsiTheme="minorEastAsia" w:eastAsiaTheme="minorEastAsia" w:cstheme="minorEastAsia"/>
          <w:bCs/>
          <w:szCs w:val="21"/>
          <w:highlight w:val="none"/>
        </w:rPr>
        <w:t>租用、赔偿、复绿等由承包人负责</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租用、赔偿、复绿</w:t>
      </w:r>
      <w:r>
        <w:rPr>
          <w:rFonts w:hint="eastAsia" w:asciiTheme="minorEastAsia" w:hAnsiTheme="minorEastAsia" w:eastAsiaTheme="minorEastAsia" w:cstheme="minorEastAsia"/>
          <w:bCs/>
          <w:szCs w:val="21"/>
          <w:highlight w:val="none"/>
          <w:lang w:val="en-US" w:eastAsia="zh-CN"/>
        </w:rPr>
        <w:t>费用</w:t>
      </w:r>
      <w:r>
        <w:rPr>
          <w:rFonts w:hint="eastAsia" w:asciiTheme="minorEastAsia" w:hAnsiTheme="minorEastAsia" w:eastAsiaTheme="minorEastAsia" w:cstheme="minorEastAsia"/>
          <w:bCs/>
          <w:szCs w:val="21"/>
          <w:highlight w:val="none"/>
        </w:rPr>
        <w:t>经发包人审批同意后据实结算</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费用由承包人代付，临时道路修整费用由承包人负责。</w:t>
      </w:r>
    </w:p>
    <w:p w14:paraId="52AA61DB">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highlight w:val="none"/>
          <w:lang w:val="en-US" w:eastAsia="zh-CN"/>
        </w:rPr>
        <w:t>8</w:t>
      </w:r>
      <w:r>
        <w:rPr>
          <w:rFonts w:hint="eastAsia" w:asciiTheme="minorEastAsia" w:hAnsiTheme="minorEastAsia" w:eastAsiaTheme="minorEastAsia" w:cstheme="minorEastAsia"/>
          <w:bCs/>
          <w:szCs w:val="21"/>
          <w:highlight w:val="none"/>
        </w:rPr>
        <w:t>、通道林木砍伐（含砍伐、清理、赔偿、手续办理、复绿等工作所需费用以及相关需缴纳的规（税）费）由承包人负责</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林木赔偿费</w:t>
      </w:r>
      <w:r>
        <w:rPr>
          <w:rFonts w:hint="eastAsia" w:asciiTheme="minorEastAsia" w:hAnsiTheme="minorEastAsia" w:eastAsiaTheme="minorEastAsia" w:cstheme="minorEastAsia"/>
          <w:bCs/>
          <w:szCs w:val="21"/>
          <w:highlight w:val="none"/>
        </w:rPr>
        <w:t>经发包人审批同意后据实结算</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费用由承包人代付</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林木赔偿费以外的其他费用由承包人负责</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林勘报告编制费</w:t>
      </w:r>
      <w:r>
        <w:rPr>
          <w:rFonts w:hint="eastAsia" w:asciiTheme="minorEastAsia" w:hAnsiTheme="minorEastAsia" w:eastAsiaTheme="minorEastAsia" w:cstheme="minorEastAsia"/>
          <w:bCs/>
          <w:szCs w:val="21"/>
          <w:highlight w:val="none"/>
          <w:lang w:val="en-US" w:eastAsia="zh-CN"/>
        </w:rPr>
        <w:t>由发包人负责</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eastAsia="zh-CN"/>
        </w:rPr>
        <w:t>。</w:t>
      </w:r>
    </w:p>
    <w:p w14:paraId="07E21A52">
      <w:pPr>
        <w:adjustRightInd w:val="0"/>
        <w:snapToGrid w:val="0"/>
        <w:spacing w:line="360" w:lineRule="auto"/>
        <w:ind w:firstLine="420" w:firstLineChars="200"/>
        <w:rPr>
          <w:rFonts w:hint="default"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szCs w:val="21"/>
          <w:highlight w:val="none"/>
          <w:lang w:val="en-US" w:eastAsia="zh-CN"/>
        </w:rPr>
        <w:t>9</w:t>
      </w:r>
      <w:r>
        <w:rPr>
          <w:rFonts w:hint="eastAsia" w:asciiTheme="minorEastAsia" w:hAnsiTheme="minorEastAsia" w:eastAsiaTheme="minorEastAsia" w:cstheme="minorEastAsia"/>
          <w:bCs/>
          <w:szCs w:val="21"/>
          <w:highlight w:val="none"/>
        </w:rPr>
        <w:t>、施工</w:t>
      </w:r>
      <w:r>
        <w:rPr>
          <w:rFonts w:hint="eastAsia" w:asciiTheme="minorEastAsia" w:hAnsiTheme="minorEastAsia" w:eastAsiaTheme="minorEastAsia" w:cstheme="minorEastAsia"/>
          <w:bCs/>
          <w:szCs w:val="21"/>
          <w:highlight w:val="none"/>
          <w:lang w:val="en-US" w:eastAsia="zh-CN"/>
        </w:rPr>
        <w:t>场地</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val="en-US" w:eastAsia="zh-CN"/>
        </w:rPr>
        <w:t>含</w:t>
      </w:r>
      <w:r>
        <w:rPr>
          <w:rFonts w:hint="eastAsia" w:asciiTheme="minorEastAsia" w:hAnsiTheme="minorEastAsia" w:eastAsiaTheme="minorEastAsia" w:cstheme="minorEastAsia"/>
          <w:bCs/>
          <w:szCs w:val="21"/>
          <w:highlight w:val="none"/>
        </w:rPr>
        <w:t>牵张场、临时用地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跨越设施</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索道架设</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牵引绳展放等）所需的</w:t>
      </w:r>
      <w:r>
        <w:rPr>
          <w:rFonts w:hint="eastAsia" w:asciiTheme="minorEastAsia" w:hAnsiTheme="minorEastAsia" w:eastAsiaTheme="minorEastAsia" w:cstheme="minorEastAsia"/>
          <w:bCs/>
          <w:szCs w:val="21"/>
          <w:highlight w:val="none"/>
          <w:lang w:val="en-US" w:eastAsia="zh-CN"/>
        </w:rPr>
        <w:t>林木</w:t>
      </w:r>
      <w:r>
        <w:rPr>
          <w:rFonts w:hint="eastAsia" w:asciiTheme="minorEastAsia" w:hAnsiTheme="minorEastAsia" w:eastAsiaTheme="minorEastAsia" w:cstheme="minorEastAsia"/>
          <w:bCs/>
          <w:szCs w:val="21"/>
          <w:highlight w:val="none"/>
        </w:rPr>
        <w:t>砍伐、赔偿、清理、运输（含手续办理、复绿等工作所需费用以及相关需缴纳的规（税）费，不含林勘报告编制费）由承包人负责</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其中林木赔偿费用</w:t>
      </w:r>
      <w:r>
        <w:rPr>
          <w:rFonts w:hint="eastAsia" w:asciiTheme="minorEastAsia" w:hAnsiTheme="minorEastAsia" w:eastAsiaTheme="minorEastAsia" w:cstheme="minorEastAsia"/>
          <w:bCs/>
          <w:szCs w:val="21"/>
          <w:highlight w:val="none"/>
        </w:rPr>
        <w:t>经发包人审批同意后据实结算</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费用由承包人代付，林木赔偿费以外其他费用由承包人负责。</w:t>
      </w:r>
    </w:p>
    <w:p w14:paraId="32DEAD87">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color w:val="auto"/>
          <w:szCs w:val="21"/>
          <w:highlight w:val="none"/>
          <w:lang w:val="en-US" w:eastAsia="zh-CN"/>
        </w:rPr>
        <w:t>10</w:t>
      </w:r>
      <w:r>
        <w:rPr>
          <w:rFonts w:hint="eastAsia" w:asciiTheme="minorEastAsia" w:hAnsiTheme="minorEastAsia" w:eastAsiaTheme="minorEastAsia" w:cstheme="minorEastAsia"/>
          <w:bCs/>
          <w:color w:val="auto"/>
          <w:szCs w:val="21"/>
          <w:highlight w:val="none"/>
        </w:rPr>
        <w:t>、通道构筑物拆迁</w:t>
      </w:r>
      <w:r>
        <w:rPr>
          <w:rFonts w:hint="eastAsia" w:asciiTheme="minorEastAsia" w:hAnsiTheme="minorEastAsia" w:eastAsiaTheme="minorEastAsia" w:cstheme="minorEastAsia"/>
          <w:bCs/>
          <w:color w:val="auto"/>
          <w:szCs w:val="21"/>
          <w:highlight w:val="none"/>
          <w:lang w:val="en-US" w:eastAsia="zh-CN"/>
        </w:rPr>
        <w:t>谈判</w:t>
      </w:r>
      <w:r>
        <w:rPr>
          <w:rFonts w:hint="eastAsia" w:asciiTheme="minorEastAsia" w:hAnsiTheme="minorEastAsia" w:eastAsiaTheme="minorEastAsia" w:cstheme="minorEastAsia"/>
          <w:bCs/>
          <w:color w:val="auto"/>
          <w:szCs w:val="21"/>
          <w:highlight w:val="none"/>
        </w:rPr>
        <w:t>协调由承包人负责，拆迁赔偿协议（各类房屋及附属设施赔偿、拆迁及相关税费，包括另置宅基地及拆除后复耕（绿））由发包人负责签订及支付赔偿费用；</w:t>
      </w:r>
    </w:p>
    <w:p w14:paraId="1F36A0A5">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11</w:t>
      </w:r>
      <w:r>
        <w:rPr>
          <w:rFonts w:hint="eastAsia" w:asciiTheme="minorEastAsia" w:hAnsiTheme="minorEastAsia" w:eastAsiaTheme="minorEastAsia" w:cstheme="minorEastAsia"/>
          <w:bCs/>
          <w:szCs w:val="21"/>
          <w:highlight w:val="none"/>
        </w:rPr>
        <w:t>、搬迁通信基站（塔）、炸药库、垃圾场、砂场、石场、砖瓦厂、矿区、风景区、保护区及有证工业厂房等的赔偿费用由发包人承担；</w:t>
      </w:r>
    </w:p>
    <w:p w14:paraId="445A2FA8">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2</w:t>
      </w:r>
      <w:r>
        <w:rPr>
          <w:rFonts w:hint="eastAsia" w:asciiTheme="minorEastAsia" w:hAnsiTheme="minorEastAsia" w:eastAsiaTheme="minorEastAsia" w:cstheme="minorEastAsia"/>
          <w:bCs/>
          <w:szCs w:val="21"/>
          <w:highlight w:val="none"/>
        </w:rPr>
        <w:t>、35千伏及以下低压电力线路、各级通信线（含广播线、电视线等）拆迁（改迁）全部相关工作（包含但不限于项目实施、材料及设备采购、拆迁赔偿、迹地恢复、协调等）；</w:t>
      </w:r>
    </w:p>
    <w:p w14:paraId="4BF995A6">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3</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步行栈道、道路、水渠、水管、水井、水池等迁改，含对应施工、材料、设备、拆迁赔偿、迹地恢复、协调等；</w:t>
      </w:r>
    </w:p>
    <w:p w14:paraId="6266D5B8">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4</w:t>
      </w:r>
      <w:r>
        <w:rPr>
          <w:rFonts w:hint="eastAsia" w:asciiTheme="minorEastAsia" w:hAnsiTheme="minorEastAsia" w:eastAsiaTheme="minorEastAsia" w:cstheme="minorEastAsia"/>
          <w:bCs/>
          <w:szCs w:val="21"/>
          <w:highlight w:val="none"/>
        </w:rPr>
        <w:t>、落实水土保持、环境保护、职业健康、安全设施（包含但不限于余土综合利用、迹地恢复等）及配合验收，与工程有关的测试、调试、检查等工作；</w:t>
      </w:r>
    </w:p>
    <w:p w14:paraId="78BE127A">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5</w:t>
      </w:r>
      <w:r>
        <w:rPr>
          <w:rFonts w:hint="eastAsia" w:asciiTheme="minorEastAsia" w:hAnsiTheme="minorEastAsia" w:eastAsiaTheme="minorEastAsia" w:cstheme="minorEastAsia"/>
          <w:bCs/>
          <w:szCs w:val="21"/>
          <w:highlight w:val="none"/>
        </w:rPr>
        <w:t>.甲供材料交货地点卸车、保管、二次倒运、余料回收等工作和费用，配合由厂家包安装甲供物资的安装及调试；</w:t>
      </w:r>
    </w:p>
    <w:p w14:paraId="103C320E">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、其他为了正常施工所需办理的一切手续（含施工许可证、林木采伐设计及采伐证、专业爆破、临时用地植被恢复等）及费用等全部相关工作。</w:t>
      </w:r>
    </w:p>
    <w:p w14:paraId="2965B28C">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具体工作内容详见技术文件和工程量清单。</w:t>
      </w:r>
    </w:p>
    <w:p w14:paraId="01313B7F">
      <w:pPr>
        <w:pStyle w:val="11"/>
        <w:snapToGrid w:val="0"/>
        <w:spacing w:line="360" w:lineRule="auto"/>
        <w:rPr>
          <w:rFonts w:hint="eastAsia" w:asciiTheme="minorEastAsia" w:hAnsiTheme="minorEastAsia" w:eastAsiaTheme="minorEastAsia" w:cstheme="minorEastAsia"/>
          <w:b/>
          <w:bCs/>
          <w:snapToGrid w:val="0"/>
          <w:sz w:val="24"/>
          <w:szCs w:val="24"/>
          <w:highlight w:val="none"/>
        </w:rPr>
      </w:pPr>
      <w:r>
        <w:rPr>
          <w:rFonts w:hint="eastAsia" w:asciiTheme="minorEastAsia" w:hAnsiTheme="minorEastAsia" w:eastAsiaTheme="minorEastAsia" w:cstheme="minorEastAsia"/>
          <w:b/>
          <w:bCs/>
          <w:snapToGrid w:val="0"/>
          <w:sz w:val="24"/>
          <w:szCs w:val="24"/>
          <w:highlight w:val="none"/>
        </w:rPr>
        <w:t>三、承包方式</w:t>
      </w:r>
    </w:p>
    <w:p w14:paraId="13D88530">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包工、部分包料，施工图纸范围内如有下列设备、材料，无□及</w:t>
      </w:r>
      <w:r>
        <w:rPr>
          <w:rFonts w:hint="eastAsia" w:asciiTheme="minorEastAsia" w:hAnsiTheme="minorEastAsia" w:eastAsiaTheme="minorEastAsia" w:cstheme="minorEastAsia"/>
          <w:bCs/>
          <w:szCs w:val="21"/>
          <w:highlight w:val="none"/>
        </w:rPr>
        <w:fldChar w:fldCharType="begin"/>
      </w:r>
      <w:r>
        <w:rPr>
          <w:rFonts w:hint="eastAsia" w:asciiTheme="minorEastAsia" w:hAnsiTheme="minorEastAsia" w:eastAsiaTheme="minorEastAsia" w:cstheme="minorEastAsia"/>
          <w:bCs/>
          <w:szCs w:val="21"/>
          <w:highlight w:val="none"/>
        </w:rPr>
        <w:instrText xml:space="preserve"> EQ \o\ac(□,√)</w:instrText>
      </w:r>
      <w:r>
        <w:rPr>
          <w:rFonts w:hint="eastAsia" w:asciiTheme="minorEastAsia" w:hAnsiTheme="minorEastAsia" w:eastAsiaTheme="minorEastAsia" w:cstheme="minorEastAsia"/>
          <w:bCs/>
          <w:szCs w:val="21"/>
          <w:highlight w:val="none"/>
        </w:rPr>
        <w:fldChar w:fldCharType="end"/>
      </w:r>
      <w:r>
        <w:rPr>
          <w:rFonts w:hint="eastAsia" w:asciiTheme="minorEastAsia" w:hAnsiTheme="minorEastAsia" w:eastAsiaTheme="minorEastAsia" w:cstheme="minorEastAsia"/>
          <w:bCs/>
          <w:szCs w:val="21"/>
          <w:highlight w:val="none"/>
        </w:rPr>
        <w:t>的为甲供，□未打√的及不在下列的为乙供。</w:t>
      </w:r>
    </w:p>
    <w:p w14:paraId="7B1BA131">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（一）甲供物资：</w:t>
      </w:r>
    </w:p>
    <w:p w14:paraId="14449CD0">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1、直流线路及接地极线路工程</w:t>
      </w:r>
    </w:p>
    <w:p w14:paraId="00ED27F2">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线路部分甲供范围包括：地脚螺栓、塔材、导地线、金具、绝缘子、光缆及光缆金具、铁塔防坠落装置、在线监测装置</w:t>
      </w:r>
      <w:bookmarkStart w:id="1" w:name="OLE_LINK1"/>
      <w:r>
        <w:rPr>
          <w:rFonts w:hint="eastAsia" w:asciiTheme="minorEastAsia" w:hAnsiTheme="minorEastAsia" w:eastAsiaTheme="minorEastAsia" w:cstheme="minorEastAsia"/>
          <w:bCs/>
          <w:szCs w:val="21"/>
          <w:highlight w:val="none"/>
        </w:rPr>
        <w:t>(由供货厂家安装)</w:t>
      </w:r>
      <w:bookmarkEnd w:id="1"/>
      <w:r>
        <w:rPr>
          <w:rFonts w:hint="eastAsia" w:asciiTheme="minorEastAsia" w:hAnsiTheme="minorEastAsia" w:eastAsiaTheme="minorEastAsia" w:cstheme="minorEastAsia"/>
          <w:bCs/>
          <w:szCs w:val="21"/>
          <w:highlight w:val="none"/>
        </w:rPr>
        <w:t>、地线融冰装置、避雷器、攀爬机(由供货厂家安装)、航空警示灯、警示球、标志牌等；</w:t>
      </w:r>
    </w:p>
    <w:p w14:paraId="178D2362">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甲供范围详见技术文件和工程量清单，其他未作特别说明的设备材料由承包人采购。</w:t>
      </w:r>
    </w:p>
    <w:p w14:paraId="00A3DEE4">
      <w:pPr>
        <w:adjustRightInd w:val="0"/>
        <w:snapToGrid w:val="0"/>
        <w:spacing w:line="360" w:lineRule="auto"/>
        <w:ind w:firstLine="420" w:firstLineChars="200"/>
        <w:rPr>
          <w:rFonts w:hint="eastAsia" w:ascii="仿宋_GB2312" w:hAnsi="仿宋_GB2312" w:eastAsia="仿宋_GB2312" w:cs="仿宋_GB2312"/>
          <w:sz w:val="24"/>
          <w:szCs w:val="24"/>
          <w:highlight w:val="none"/>
        </w:rPr>
      </w:pPr>
      <w:r>
        <w:rPr>
          <w:rFonts w:hint="eastAsia" w:asciiTheme="minorEastAsia" w:hAnsiTheme="minorEastAsia" w:eastAsiaTheme="minorEastAsia" w:cstheme="minorEastAsia"/>
          <w:bCs/>
          <w:szCs w:val="21"/>
          <w:highlight w:val="none"/>
        </w:rPr>
        <w:t>其他甲供物资： /。</w:t>
      </w:r>
    </w:p>
    <w:p w14:paraId="4809FB9F">
      <w:pPr>
        <w:numPr>
          <w:ilvl w:val="0"/>
          <w:numId w:val="0"/>
        </w:numPr>
        <w:spacing w:line="360" w:lineRule="auto"/>
        <w:outlineLvl w:val="9"/>
        <w:rPr>
          <w:rFonts w:hint="eastAsia" w:ascii="宋体" w:hAnsi="宋体" w:eastAsia="宋体" w:cs="宋体"/>
          <w:i w:val="0"/>
          <w:color w:val="auto"/>
          <w:kern w:val="0"/>
          <w:sz w:val="21"/>
          <w:szCs w:val="21"/>
          <w:highlight w:val="none"/>
          <w:u w:val="none"/>
          <w:lang w:val="en-US" w:eastAsia="zh-CN" w:bidi="ar"/>
        </w:rPr>
      </w:pPr>
      <w:bookmarkStart w:id="2" w:name="_GoBack"/>
      <w:bookmarkEnd w:id="2"/>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1" w:fontKey="{B62EF3CC-7532-4DF8-8A84-A6EF3694559C}"/>
  </w:font>
  <w:font w:name="楷体">
    <w:panose1 w:val="02010609060101010101"/>
    <w:charset w:val="86"/>
    <w:family w:val="modern"/>
    <w:pitch w:val="default"/>
    <w:sig w:usb0="800002BF" w:usb1="38CF7CFA" w:usb2="00000016" w:usb3="00000000" w:csb0="00040001" w:csb1="00000000"/>
    <w:embedRegular r:id="rId2" w:fontKey="{61DFF920-B869-4396-B73A-AC5FF999AE01}"/>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87068">
    <w:pPr>
      <w:pStyle w:val="12"/>
      <w:ind w:right="360" w:firstLine="360"/>
      <w:jc w:val="center"/>
      <w:rPr>
        <w:sz w:val="21"/>
        <w:szCs w:val="21"/>
      </w:rPr>
    </w:pPr>
    <w:r>
      <w:rPr>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14</w:t>
    </w:r>
    <w:r>
      <w:rPr>
        <w:rFonts w:ascii="Times New Roman" w:hAnsi="Times New Roman"/>
        <w:sz w:val="21"/>
        <w:szCs w:val="21"/>
      </w:rPr>
      <w:fldChar w:fldCharType="end"/>
    </w:r>
    <w:r>
      <w:rPr>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2CB35">
    <w:pPr>
      <w:spacing w:before="240" w:beforeLines="100"/>
      <w:rPr>
        <w:rFonts w:ascii="Times New Roman" w:hAnsi="Times New Roman" w:eastAsia="楷体"/>
        <w:sz w:val="18"/>
        <w:szCs w:val="18"/>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zYzE1OThlNTMwYmI1OTViZTMyYjkxMDU0YWVjZDYifQ=="/>
  </w:docVars>
  <w:rsids>
    <w:rsidRoot w:val="511C160B"/>
    <w:rsid w:val="000E1A41"/>
    <w:rsid w:val="002F074E"/>
    <w:rsid w:val="00414666"/>
    <w:rsid w:val="00420E7C"/>
    <w:rsid w:val="00554E9D"/>
    <w:rsid w:val="00AA75A7"/>
    <w:rsid w:val="00B26BB1"/>
    <w:rsid w:val="00D81DBE"/>
    <w:rsid w:val="00E1424F"/>
    <w:rsid w:val="00E56A85"/>
    <w:rsid w:val="00EA1CB0"/>
    <w:rsid w:val="010F4D4C"/>
    <w:rsid w:val="011D35A0"/>
    <w:rsid w:val="015348B9"/>
    <w:rsid w:val="019E2708"/>
    <w:rsid w:val="01C015FF"/>
    <w:rsid w:val="01F34FBF"/>
    <w:rsid w:val="0213224F"/>
    <w:rsid w:val="025A67AA"/>
    <w:rsid w:val="02721111"/>
    <w:rsid w:val="02886898"/>
    <w:rsid w:val="02AB31E9"/>
    <w:rsid w:val="02D07A79"/>
    <w:rsid w:val="03376B63"/>
    <w:rsid w:val="034623EE"/>
    <w:rsid w:val="04184952"/>
    <w:rsid w:val="04554E25"/>
    <w:rsid w:val="04653A3F"/>
    <w:rsid w:val="047C49E9"/>
    <w:rsid w:val="04F049A8"/>
    <w:rsid w:val="056117E3"/>
    <w:rsid w:val="056921AA"/>
    <w:rsid w:val="05BA2CB8"/>
    <w:rsid w:val="05D76A8A"/>
    <w:rsid w:val="063F3A64"/>
    <w:rsid w:val="06666721"/>
    <w:rsid w:val="06905921"/>
    <w:rsid w:val="0720268A"/>
    <w:rsid w:val="073B5279"/>
    <w:rsid w:val="073F20F3"/>
    <w:rsid w:val="077A5294"/>
    <w:rsid w:val="07E24976"/>
    <w:rsid w:val="0859553B"/>
    <w:rsid w:val="08944426"/>
    <w:rsid w:val="08DB5C5E"/>
    <w:rsid w:val="096E4722"/>
    <w:rsid w:val="09B7769B"/>
    <w:rsid w:val="0A172612"/>
    <w:rsid w:val="0A2C0C06"/>
    <w:rsid w:val="0AEC727C"/>
    <w:rsid w:val="0BDC4B52"/>
    <w:rsid w:val="0C0128BB"/>
    <w:rsid w:val="0C93150A"/>
    <w:rsid w:val="0C952D82"/>
    <w:rsid w:val="0CBC3C74"/>
    <w:rsid w:val="0D8920C3"/>
    <w:rsid w:val="0DBE04C6"/>
    <w:rsid w:val="0DD60901"/>
    <w:rsid w:val="0DF6159C"/>
    <w:rsid w:val="0E890600"/>
    <w:rsid w:val="0EDC2445"/>
    <w:rsid w:val="0F013483"/>
    <w:rsid w:val="0F126346"/>
    <w:rsid w:val="0FEB729D"/>
    <w:rsid w:val="10045642"/>
    <w:rsid w:val="10D46A26"/>
    <w:rsid w:val="10F10552"/>
    <w:rsid w:val="112A3D19"/>
    <w:rsid w:val="11472166"/>
    <w:rsid w:val="1171712A"/>
    <w:rsid w:val="11840349"/>
    <w:rsid w:val="11A1067A"/>
    <w:rsid w:val="11C955BB"/>
    <w:rsid w:val="11E12C61"/>
    <w:rsid w:val="120B2110"/>
    <w:rsid w:val="12D9053A"/>
    <w:rsid w:val="12DC5FA1"/>
    <w:rsid w:val="131577DB"/>
    <w:rsid w:val="13511BBE"/>
    <w:rsid w:val="13A965B0"/>
    <w:rsid w:val="13F6014E"/>
    <w:rsid w:val="140243D2"/>
    <w:rsid w:val="144869F1"/>
    <w:rsid w:val="14612762"/>
    <w:rsid w:val="14DF5750"/>
    <w:rsid w:val="15125241"/>
    <w:rsid w:val="154D0DEA"/>
    <w:rsid w:val="158F187F"/>
    <w:rsid w:val="160D793F"/>
    <w:rsid w:val="16A66B66"/>
    <w:rsid w:val="16B32D29"/>
    <w:rsid w:val="17464AB3"/>
    <w:rsid w:val="178B572B"/>
    <w:rsid w:val="17CB6D8C"/>
    <w:rsid w:val="17E53511"/>
    <w:rsid w:val="185365BF"/>
    <w:rsid w:val="186F113B"/>
    <w:rsid w:val="18787932"/>
    <w:rsid w:val="18866C6C"/>
    <w:rsid w:val="19567321"/>
    <w:rsid w:val="198729C4"/>
    <w:rsid w:val="19B71113"/>
    <w:rsid w:val="19D62874"/>
    <w:rsid w:val="19FE418C"/>
    <w:rsid w:val="1A111FCE"/>
    <w:rsid w:val="1A473CA6"/>
    <w:rsid w:val="1A555BBE"/>
    <w:rsid w:val="1A85373E"/>
    <w:rsid w:val="1AB05F4B"/>
    <w:rsid w:val="1B846D66"/>
    <w:rsid w:val="1BB4525B"/>
    <w:rsid w:val="1BBE34B0"/>
    <w:rsid w:val="1C4A05F8"/>
    <w:rsid w:val="1CBB20F3"/>
    <w:rsid w:val="1D181F4A"/>
    <w:rsid w:val="1E35361B"/>
    <w:rsid w:val="1E964759"/>
    <w:rsid w:val="1EC2624D"/>
    <w:rsid w:val="1EDA6B5F"/>
    <w:rsid w:val="1F696E0E"/>
    <w:rsid w:val="200407CD"/>
    <w:rsid w:val="200F41A6"/>
    <w:rsid w:val="204D3C8B"/>
    <w:rsid w:val="206D64FC"/>
    <w:rsid w:val="20BB44E8"/>
    <w:rsid w:val="21293853"/>
    <w:rsid w:val="214848C1"/>
    <w:rsid w:val="21782177"/>
    <w:rsid w:val="226A4ED5"/>
    <w:rsid w:val="227620EA"/>
    <w:rsid w:val="227F2CA6"/>
    <w:rsid w:val="232606DC"/>
    <w:rsid w:val="23607DE2"/>
    <w:rsid w:val="23895DB1"/>
    <w:rsid w:val="23CF381C"/>
    <w:rsid w:val="24053DA7"/>
    <w:rsid w:val="240A6030"/>
    <w:rsid w:val="24CE7A5A"/>
    <w:rsid w:val="250B44FA"/>
    <w:rsid w:val="252D708B"/>
    <w:rsid w:val="27083034"/>
    <w:rsid w:val="27924413"/>
    <w:rsid w:val="27A83554"/>
    <w:rsid w:val="28220AFC"/>
    <w:rsid w:val="282B3C5B"/>
    <w:rsid w:val="28A80261"/>
    <w:rsid w:val="290B5D62"/>
    <w:rsid w:val="29702FAD"/>
    <w:rsid w:val="29735D77"/>
    <w:rsid w:val="298B1640"/>
    <w:rsid w:val="29C410CB"/>
    <w:rsid w:val="2A7F36C6"/>
    <w:rsid w:val="2A8410F6"/>
    <w:rsid w:val="2A8C2D26"/>
    <w:rsid w:val="2AF32708"/>
    <w:rsid w:val="2B13509A"/>
    <w:rsid w:val="2BB0001E"/>
    <w:rsid w:val="2C227279"/>
    <w:rsid w:val="2C31308C"/>
    <w:rsid w:val="2C8F0EA7"/>
    <w:rsid w:val="2CE26F74"/>
    <w:rsid w:val="2CE72BBB"/>
    <w:rsid w:val="2D1852EF"/>
    <w:rsid w:val="2D617429"/>
    <w:rsid w:val="2DBA1D37"/>
    <w:rsid w:val="2E6F6B90"/>
    <w:rsid w:val="2E70692E"/>
    <w:rsid w:val="2E993E36"/>
    <w:rsid w:val="2EF23C52"/>
    <w:rsid w:val="2EF43B94"/>
    <w:rsid w:val="2F097580"/>
    <w:rsid w:val="2F197C4D"/>
    <w:rsid w:val="2F5100A4"/>
    <w:rsid w:val="2FFC20CC"/>
    <w:rsid w:val="30607BAF"/>
    <w:rsid w:val="3075179D"/>
    <w:rsid w:val="307B6474"/>
    <w:rsid w:val="30D366C7"/>
    <w:rsid w:val="319121DA"/>
    <w:rsid w:val="319375DC"/>
    <w:rsid w:val="31B75058"/>
    <w:rsid w:val="31D670A4"/>
    <w:rsid w:val="321E6130"/>
    <w:rsid w:val="3243118A"/>
    <w:rsid w:val="32A732A4"/>
    <w:rsid w:val="32BD3524"/>
    <w:rsid w:val="334462DA"/>
    <w:rsid w:val="345B286C"/>
    <w:rsid w:val="34902BCC"/>
    <w:rsid w:val="34961CD9"/>
    <w:rsid w:val="34A1443F"/>
    <w:rsid w:val="34A76F6E"/>
    <w:rsid w:val="351C27B0"/>
    <w:rsid w:val="35B444DF"/>
    <w:rsid w:val="35F6026E"/>
    <w:rsid w:val="361424F5"/>
    <w:rsid w:val="36C02D19"/>
    <w:rsid w:val="371F7A61"/>
    <w:rsid w:val="376C1B63"/>
    <w:rsid w:val="37716A44"/>
    <w:rsid w:val="37AB2D5A"/>
    <w:rsid w:val="37CF4189"/>
    <w:rsid w:val="38307AD1"/>
    <w:rsid w:val="38D40BFF"/>
    <w:rsid w:val="38F4537F"/>
    <w:rsid w:val="390B4C99"/>
    <w:rsid w:val="396857D4"/>
    <w:rsid w:val="3A081998"/>
    <w:rsid w:val="3A8B541B"/>
    <w:rsid w:val="3B0557DB"/>
    <w:rsid w:val="3B720CD8"/>
    <w:rsid w:val="3B9D5939"/>
    <w:rsid w:val="3BA52C45"/>
    <w:rsid w:val="3D7A3713"/>
    <w:rsid w:val="3DD006F5"/>
    <w:rsid w:val="3E1C2B61"/>
    <w:rsid w:val="3E3E7CC7"/>
    <w:rsid w:val="3E895925"/>
    <w:rsid w:val="3EA242D1"/>
    <w:rsid w:val="3F2A7C66"/>
    <w:rsid w:val="3F596CF2"/>
    <w:rsid w:val="40096FE9"/>
    <w:rsid w:val="410427B6"/>
    <w:rsid w:val="41073E0E"/>
    <w:rsid w:val="417E7512"/>
    <w:rsid w:val="41A11B43"/>
    <w:rsid w:val="422A4891"/>
    <w:rsid w:val="427074EF"/>
    <w:rsid w:val="4272159B"/>
    <w:rsid w:val="428B0805"/>
    <w:rsid w:val="42AB18C2"/>
    <w:rsid w:val="432730CB"/>
    <w:rsid w:val="43374CD4"/>
    <w:rsid w:val="43455B8A"/>
    <w:rsid w:val="435F7804"/>
    <w:rsid w:val="43AA7164"/>
    <w:rsid w:val="44337C1C"/>
    <w:rsid w:val="446F0F4B"/>
    <w:rsid w:val="447311FF"/>
    <w:rsid w:val="44B6657D"/>
    <w:rsid w:val="44DF14C8"/>
    <w:rsid w:val="45010FCD"/>
    <w:rsid w:val="45857D9C"/>
    <w:rsid w:val="458C732D"/>
    <w:rsid w:val="45B90BAD"/>
    <w:rsid w:val="45D35BB2"/>
    <w:rsid w:val="468F70F5"/>
    <w:rsid w:val="46B46844"/>
    <w:rsid w:val="46B9408D"/>
    <w:rsid w:val="46D332C1"/>
    <w:rsid w:val="46ED6069"/>
    <w:rsid w:val="47743A6B"/>
    <w:rsid w:val="478F6D4D"/>
    <w:rsid w:val="479704E7"/>
    <w:rsid w:val="48A61537"/>
    <w:rsid w:val="4942653E"/>
    <w:rsid w:val="49A847A6"/>
    <w:rsid w:val="49C34687"/>
    <w:rsid w:val="49FF2174"/>
    <w:rsid w:val="4A07623F"/>
    <w:rsid w:val="4A180A44"/>
    <w:rsid w:val="4A6A798D"/>
    <w:rsid w:val="4AA40FEA"/>
    <w:rsid w:val="4AE828A9"/>
    <w:rsid w:val="4AF34C74"/>
    <w:rsid w:val="4AF505EB"/>
    <w:rsid w:val="4B32221A"/>
    <w:rsid w:val="4B926AB1"/>
    <w:rsid w:val="4BC81760"/>
    <w:rsid w:val="4C27522D"/>
    <w:rsid w:val="4C55038A"/>
    <w:rsid w:val="4C717EE1"/>
    <w:rsid w:val="4CDD12A8"/>
    <w:rsid w:val="4D391DAD"/>
    <w:rsid w:val="4D510AD1"/>
    <w:rsid w:val="4DA87C2C"/>
    <w:rsid w:val="4DFA077B"/>
    <w:rsid w:val="4E1B0A03"/>
    <w:rsid w:val="4E335445"/>
    <w:rsid w:val="4E612ADD"/>
    <w:rsid w:val="4EE24A5B"/>
    <w:rsid w:val="4F0D0FA2"/>
    <w:rsid w:val="4F112A7C"/>
    <w:rsid w:val="4F4068DE"/>
    <w:rsid w:val="4F937849"/>
    <w:rsid w:val="503F191E"/>
    <w:rsid w:val="506816E4"/>
    <w:rsid w:val="508558A6"/>
    <w:rsid w:val="508E52F2"/>
    <w:rsid w:val="50A2306D"/>
    <w:rsid w:val="50D107DB"/>
    <w:rsid w:val="51145746"/>
    <w:rsid w:val="511C160B"/>
    <w:rsid w:val="515E7D31"/>
    <w:rsid w:val="51874B16"/>
    <w:rsid w:val="519F621D"/>
    <w:rsid w:val="51FF699B"/>
    <w:rsid w:val="52885076"/>
    <w:rsid w:val="535D61E7"/>
    <w:rsid w:val="53AB6B01"/>
    <w:rsid w:val="53DC18A1"/>
    <w:rsid w:val="54216091"/>
    <w:rsid w:val="54223B91"/>
    <w:rsid w:val="545110D1"/>
    <w:rsid w:val="547B107C"/>
    <w:rsid w:val="54A07B2F"/>
    <w:rsid w:val="54AE588B"/>
    <w:rsid w:val="54B95DF9"/>
    <w:rsid w:val="54DB2FBF"/>
    <w:rsid w:val="54E54D3D"/>
    <w:rsid w:val="552D3719"/>
    <w:rsid w:val="55393536"/>
    <w:rsid w:val="5588202A"/>
    <w:rsid w:val="5591023D"/>
    <w:rsid w:val="55D46A07"/>
    <w:rsid w:val="561F27A4"/>
    <w:rsid w:val="564E2C80"/>
    <w:rsid w:val="56563349"/>
    <w:rsid w:val="57A35224"/>
    <w:rsid w:val="57F161C0"/>
    <w:rsid w:val="592856EA"/>
    <w:rsid w:val="59CE37A6"/>
    <w:rsid w:val="59D4284C"/>
    <w:rsid w:val="5A017854"/>
    <w:rsid w:val="5A1035F3"/>
    <w:rsid w:val="5AD115CD"/>
    <w:rsid w:val="5B043B95"/>
    <w:rsid w:val="5B171E82"/>
    <w:rsid w:val="5B256DD6"/>
    <w:rsid w:val="5B5C33E8"/>
    <w:rsid w:val="5C854B9B"/>
    <w:rsid w:val="5CA90D7A"/>
    <w:rsid w:val="5D156186"/>
    <w:rsid w:val="5D4A0134"/>
    <w:rsid w:val="5DA546AF"/>
    <w:rsid w:val="5E92116F"/>
    <w:rsid w:val="5EE906B0"/>
    <w:rsid w:val="5F500D3D"/>
    <w:rsid w:val="5F813FC0"/>
    <w:rsid w:val="5F9271EE"/>
    <w:rsid w:val="5FA82DEF"/>
    <w:rsid w:val="5FD52EAC"/>
    <w:rsid w:val="5FFD1D7C"/>
    <w:rsid w:val="607B63D6"/>
    <w:rsid w:val="60807BFF"/>
    <w:rsid w:val="612236EC"/>
    <w:rsid w:val="61245EFD"/>
    <w:rsid w:val="61975131"/>
    <w:rsid w:val="62477447"/>
    <w:rsid w:val="62714A32"/>
    <w:rsid w:val="62B10F90"/>
    <w:rsid w:val="633562CC"/>
    <w:rsid w:val="64231560"/>
    <w:rsid w:val="643166B3"/>
    <w:rsid w:val="643C3652"/>
    <w:rsid w:val="64ED0E04"/>
    <w:rsid w:val="64F21A2C"/>
    <w:rsid w:val="65264164"/>
    <w:rsid w:val="66533F6E"/>
    <w:rsid w:val="669C7C7D"/>
    <w:rsid w:val="6730655D"/>
    <w:rsid w:val="6829183D"/>
    <w:rsid w:val="6830033D"/>
    <w:rsid w:val="695C0A47"/>
    <w:rsid w:val="698E123D"/>
    <w:rsid w:val="6AC95741"/>
    <w:rsid w:val="6AF81D8A"/>
    <w:rsid w:val="6B1B3761"/>
    <w:rsid w:val="6B281D07"/>
    <w:rsid w:val="6B323B09"/>
    <w:rsid w:val="6B356FEF"/>
    <w:rsid w:val="6B3B2CBB"/>
    <w:rsid w:val="6B3C2AC9"/>
    <w:rsid w:val="6B3D558B"/>
    <w:rsid w:val="6C5C22D4"/>
    <w:rsid w:val="6DA438F0"/>
    <w:rsid w:val="6DA47407"/>
    <w:rsid w:val="6E1E4715"/>
    <w:rsid w:val="6E79627E"/>
    <w:rsid w:val="6E7E2D5A"/>
    <w:rsid w:val="6E9A3E10"/>
    <w:rsid w:val="6EAF3408"/>
    <w:rsid w:val="6F8A028E"/>
    <w:rsid w:val="6FCE294B"/>
    <w:rsid w:val="6FD8258B"/>
    <w:rsid w:val="6FDF2D41"/>
    <w:rsid w:val="70AB6673"/>
    <w:rsid w:val="71414BCF"/>
    <w:rsid w:val="715273A6"/>
    <w:rsid w:val="7159528B"/>
    <w:rsid w:val="71887D53"/>
    <w:rsid w:val="721B0834"/>
    <w:rsid w:val="72247D78"/>
    <w:rsid w:val="72AD20B4"/>
    <w:rsid w:val="7306167E"/>
    <w:rsid w:val="738E27FD"/>
    <w:rsid w:val="73C075B8"/>
    <w:rsid w:val="73C313C2"/>
    <w:rsid w:val="74167854"/>
    <w:rsid w:val="741B35EC"/>
    <w:rsid w:val="74BA7716"/>
    <w:rsid w:val="75892461"/>
    <w:rsid w:val="75B2734C"/>
    <w:rsid w:val="75BF2B4D"/>
    <w:rsid w:val="75FE0B1A"/>
    <w:rsid w:val="764E655D"/>
    <w:rsid w:val="765E0811"/>
    <w:rsid w:val="766A6DBB"/>
    <w:rsid w:val="7677576F"/>
    <w:rsid w:val="768F4E19"/>
    <w:rsid w:val="770B70DA"/>
    <w:rsid w:val="778B672F"/>
    <w:rsid w:val="77972F48"/>
    <w:rsid w:val="77A7135E"/>
    <w:rsid w:val="77CF2DBD"/>
    <w:rsid w:val="77D55FB4"/>
    <w:rsid w:val="78362FBC"/>
    <w:rsid w:val="786C12A0"/>
    <w:rsid w:val="78804A0E"/>
    <w:rsid w:val="788274D1"/>
    <w:rsid w:val="789B17B9"/>
    <w:rsid w:val="78A263A7"/>
    <w:rsid w:val="78FA4387"/>
    <w:rsid w:val="79011794"/>
    <w:rsid w:val="79497C31"/>
    <w:rsid w:val="797056C1"/>
    <w:rsid w:val="799449A0"/>
    <w:rsid w:val="7A0479F1"/>
    <w:rsid w:val="7A0D6597"/>
    <w:rsid w:val="7A403F0D"/>
    <w:rsid w:val="7A4778AC"/>
    <w:rsid w:val="7A5B103B"/>
    <w:rsid w:val="7A6678E3"/>
    <w:rsid w:val="7A6D1D3E"/>
    <w:rsid w:val="7A8B0402"/>
    <w:rsid w:val="7AE43B4F"/>
    <w:rsid w:val="7AEE0D33"/>
    <w:rsid w:val="7B0D27FB"/>
    <w:rsid w:val="7B115A6C"/>
    <w:rsid w:val="7B1E0809"/>
    <w:rsid w:val="7B47500A"/>
    <w:rsid w:val="7B816641"/>
    <w:rsid w:val="7BB265A2"/>
    <w:rsid w:val="7BE11BCC"/>
    <w:rsid w:val="7BFA4CF4"/>
    <w:rsid w:val="7C3410A6"/>
    <w:rsid w:val="7C5B7AF4"/>
    <w:rsid w:val="7C7D040E"/>
    <w:rsid w:val="7CCB17CA"/>
    <w:rsid w:val="7CEA1DC0"/>
    <w:rsid w:val="7D082779"/>
    <w:rsid w:val="7D4525F8"/>
    <w:rsid w:val="7D6C40EC"/>
    <w:rsid w:val="7D960ACB"/>
    <w:rsid w:val="7D9C3754"/>
    <w:rsid w:val="7DEF6F7E"/>
    <w:rsid w:val="7E0A29DC"/>
    <w:rsid w:val="7E320E8B"/>
    <w:rsid w:val="7E7C75B1"/>
    <w:rsid w:val="7EB919F5"/>
    <w:rsid w:val="7F153DEC"/>
    <w:rsid w:val="7F33152B"/>
    <w:rsid w:val="7F3B0945"/>
    <w:rsid w:val="7F7622D7"/>
    <w:rsid w:val="7FE91C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jc w:val="left"/>
      <w:outlineLvl w:val="0"/>
    </w:pPr>
    <w:rPr>
      <w:rFonts w:ascii="宋体" w:hAnsi="宋体"/>
      <w:b/>
      <w:bCs/>
      <w:color w:val="000000"/>
      <w:kern w:val="44"/>
      <w:szCs w:val="21"/>
    </w:rPr>
  </w:style>
  <w:style w:type="paragraph" w:styleId="5">
    <w:name w:val="heading 2"/>
    <w:basedOn w:val="1"/>
    <w:next w:val="1"/>
    <w:unhideWhenUsed/>
    <w:qFormat/>
    <w:uiPriority w:val="0"/>
    <w:pPr>
      <w:autoSpaceDE w:val="0"/>
      <w:autoSpaceDN w:val="0"/>
      <w:adjustRightInd w:val="0"/>
      <w:outlineLvl w:val="1"/>
    </w:pPr>
    <w:rPr>
      <w:rFonts w:ascii="Arial" w:hAnsi="Arial"/>
      <w:b/>
      <w:i/>
      <w:color w:val="000000"/>
      <w:sz w:val="28"/>
    </w:rPr>
  </w:style>
  <w:style w:type="paragraph" w:styleId="6">
    <w:name w:val="heading 3"/>
    <w:basedOn w:val="1"/>
    <w:next w:val="1"/>
    <w:qFormat/>
    <w:uiPriority w:val="0"/>
    <w:pPr>
      <w:keepNext/>
      <w:keepLines/>
      <w:spacing w:before="260" w:after="260" w:line="416" w:lineRule="auto"/>
      <w:ind w:firstLine="200" w:firstLineChars="200"/>
      <w:outlineLvl w:val="2"/>
    </w:pPr>
    <w:rPr>
      <w:rFonts w:ascii="Times New Roman" w:hAnsi="Times New Roman"/>
      <w:b/>
      <w:bCs/>
      <w:sz w:val="32"/>
      <w:szCs w:val="32"/>
    </w:rPr>
  </w:style>
  <w:style w:type="paragraph" w:styleId="7">
    <w:name w:val="heading 4"/>
    <w:basedOn w:val="6"/>
    <w:next w:val="8"/>
    <w:qFormat/>
    <w:uiPriority w:val="0"/>
    <w:pPr>
      <w:spacing w:beforeLines="50" w:afterLines="50" w:line="360" w:lineRule="auto"/>
      <w:jc w:val="center"/>
      <w:outlineLvl w:val="3"/>
    </w:pPr>
    <w:rPr>
      <w:rFonts w:ascii="Arial" w:hAnsi="Arial"/>
      <w:b w:val="0"/>
      <w:bCs w:val="0"/>
      <w:color w:val="000000"/>
      <w:sz w:val="24"/>
      <w:szCs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jc w:val="both"/>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8">
    <w:name w:val="Normal Indent"/>
    <w:basedOn w:val="1"/>
    <w:qFormat/>
    <w:uiPriority w:val="0"/>
    <w:pPr>
      <w:spacing w:line="360" w:lineRule="auto"/>
      <w:ind w:firstLine="420" w:firstLineChars="200"/>
    </w:pPr>
    <w:rPr>
      <w:rFonts w:ascii="Times New Roman" w:hAnsi="Times New Roman"/>
      <w:szCs w:val="20"/>
    </w:rPr>
  </w:style>
  <w:style w:type="paragraph" w:styleId="9">
    <w:name w:val="annotation text"/>
    <w:basedOn w:val="1"/>
    <w:unhideWhenUsed/>
    <w:qFormat/>
    <w:uiPriority w:val="0"/>
    <w:pPr>
      <w:jc w:val="left"/>
    </w:pPr>
  </w:style>
  <w:style w:type="paragraph" w:styleId="10">
    <w:name w:val="Body Text Indent"/>
    <w:qFormat/>
    <w:uiPriority w:val="0"/>
    <w:pPr>
      <w:widowControl w:val="0"/>
      <w:adjustRightInd w:val="0"/>
      <w:spacing w:line="360" w:lineRule="auto"/>
      <w:ind w:firstLine="600"/>
      <w:textAlignment w:val="baseline"/>
    </w:pPr>
    <w:rPr>
      <w:rFonts w:ascii="Times New Roman" w:hAnsi="Times New Roman" w:eastAsia="宋体" w:cs="Times New Roman"/>
      <w:color w:val="000000"/>
      <w:sz w:val="28"/>
      <w:lang w:val="en-US" w:eastAsia="zh-CN" w:bidi="ar-SA"/>
    </w:rPr>
  </w:style>
  <w:style w:type="paragraph" w:styleId="11">
    <w:name w:val="Plain Text"/>
    <w:basedOn w:val="1"/>
    <w:qFormat/>
    <w:uiPriority w:val="0"/>
    <w:rPr>
      <w:rFonts w:ascii="宋体" w:hAnsi="Courier New"/>
      <w:kern w:val="0"/>
      <w:sz w:val="20"/>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pPr>
      <w:spacing w:beforeLines="50"/>
    </w:pPr>
    <w:rPr>
      <w:rFonts w:ascii="Times New Roman" w:hAnsi="Times New Roman"/>
      <w:szCs w:val="20"/>
    </w:rPr>
  </w:style>
  <w:style w:type="paragraph" w:styleId="15">
    <w:name w:val="toc 2"/>
    <w:basedOn w:val="1"/>
    <w:next w:val="1"/>
    <w:qFormat/>
    <w:uiPriority w:val="39"/>
    <w:pPr>
      <w:spacing w:beforeLines="50"/>
      <w:ind w:left="210"/>
    </w:pPr>
    <w:rPr>
      <w:rFonts w:ascii="Times New Roman" w:hAnsi="Times New Roman"/>
      <w:szCs w:val="20"/>
    </w:rPr>
  </w:style>
  <w:style w:type="paragraph" w:styleId="16">
    <w:name w:val="Normal (Web)"/>
    <w:basedOn w:val="1"/>
    <w:qFormat/>
    <w:uiPriority w:val="99"/>
    <w:pPr>
      <w:widowControl/>
      <w:spacing w:before="100" w:beforeAutospacing="1" w:after="100" w:afterAutospacing="1" w:line="360" w:lineRule="auto"/>
      <w:ind w:firstLine="200" w:firstLineChars="200"/>
      <w:jc w:val="left"/>
    </w:pPr>
    <w:rPr>
      <w:rFonts w:ascii="宋体" w:hAnsi="宋体" w:cs="宋体"/>
      <w:kern w:val="0"/>
      <w:sz w:val="24"/>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Hyperlink"/>
    <w:qFormat/>
    <w:uiPriority w:val="99"/>
    <w:rPr>
      <w:color w:val="0000FF"/>
      <w:u w:val="single"/>
    </w:rPr>
  </w:style>
  <w:style w:type="character" w:styleId="22">
    <w:name w:val="annotation reference"/>
    <w:qFormat/>
    <w:uiPriority w:val="0"/>
    <w:rPr>
      <w:sz w:val="21"/>
      <w:szCs w:val="21"/>
    </w:rPr>
  </w:style>
  <w:style w:type="paragraph" w:customStyle="1" w:styleId="23">
    <w:name w:val="正文（首行缩进2字符）"/>
    <w:basedOn w:val="1"/>
    <w:qFormat/>
    <w:uiPriority w:val="0"/>
    <w:pPr>
      <w:topLinePunct/>
      <w:spacing w:line="360" w:lineRule="auto"/>
      <w:ind w:firstLine="200" w:firstLineChars="200"/>
    </w:pPr>
    <w:rPr>
      <w:rFonts w:cs="宋体"/>
      <w:sz w:val="28"/>
      <w:szCs w:val="28"/>
    </w:rPr>
  </w:style>
  <w:style w:type="table" w:customStyle="1" w:styleId="24">
    <w:name w:val="网格型31"/>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
    <w:name w:val="网格型6"/>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正文西部变电站"/>
    <w:basedOn w:val="1"/>
    <w:qFormat/>
    <w:uiPriority w:val="0"/>
    <w:pPr>
      <w:spacing w:line="360" w:lineRule="auto"/>
      <w:ind w:firstLine="200" w:firstLineChars="200"/>
    </w:pPr>
    <w:rPr>
      <w:rFonts w:ascii="Times New Roman" w:hAnsi="Times New Roman"/>
      <w:sz w:val="24"/>
      <w:szCs w:val="24"/>
    </w:rPr>
  </w:style>
  <w:style w:type="paragraph" w:customStyle="1" w:styleId="27">
    <w:name w:val="00正文"/>
    <w:basedOn w:val="28"/>
    <w:qFormat/>
    <w:uiPriority w:val="0"/>
    <w:pPr>
      <w:ind w:firstLine="480"/>
    </w:pPr>
    <w:rPr>
      <w:rFonts w:cs="宋体"/>
    </w:rPr>
  </w:style>
  <w:style w:type="paragraph" w:customStyle="1" w:styleId="28">
    <w:name w:val="0正文"/>
    <w:basedOn w:val="1"/>
    <w:qFormat/>
    <w:uiPriority w:val="0"/>
    <w:pPr>
      <w:adjustRightInd w:val="0"/>
      <w:snapToGrid w:val="0"/>
      <w:spacing w:line="360" w:lineRule="auto"/>
      <w:ind w:firstLine="200" w:firstLineChars="200"/>
    </w:pPr>
    <w:rPr>
      <w:rFonts w:ascii="Times New Roman" w:hAnsi="Times New Roman"/>
      <w:color w:val="000000"/>
      <w:kern w:val="0"/>
      <w:sz w:val="24"/>
      <w:szCs w:val="24"/>
    </w:rPr>
  </w:style>
  <w:style w:type="paragraph" w:styleId="29">
    <w:name w:val="List Paragraph"/>
    <w:basedOn w:val="1"/>
    <w:qFormat/>
    <w:uiPriority w:val="34"/>
    <w:pPr>
      <w:spacing w:line="360" w:lineRule="auto"/>
      <w:ind w:firstLine="420" w:firstLineChars="200"/>
    </w:pPr>
  </w:style>
  <w:style w:type="table" w:customStyle="1" w:styleId="30">
    <w:name w:val="网格型3"/>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
    <w:name w:val="font21"/>
    <w:qFormat/>
    <w:uiPriority w:val="0"/>
    <w:rPr>
      <w:rFonts w:hint="eastAsia" w:ascii="宋体" w:hAnsi="宋体" w:eastAsia="宋体"/>
      <w:color w:val="000000"/>
      <w:sz w:val="20"/>
      <w:szCs w:val="20"/>
      <w:u w:val="none"/>
    </w:rPr>
  </w:style>
  <w:style w:type="paragraph" w:customStyle="1" w:styleId="32">
    <w:name w:val="11444"/>
    <w:basedOn w:val="1"/>
    <w:qFormat/>
    <w:uiPriority w:val="0"/>
    <w:pPr>
      <w:overflowPunct w:val="0"/>
      <w:autoSpaceDE w:val="0"/>
      <w:autoSpaceDN w:val="0"/>
      <w:adjustRightInd w:val="0"/>
      <w:snapToGrid w:val="0"/>
      <w:spacing w:before="80" w:after="80" w:line="520" w:lineRule="atLeast"/>
      <w:jc w:val="center"/>
      <w:textAlignment w:val="baseline"/>
    </w:pPr>
    <w:rPr>
      <w:rFonts w:ascii="华文楷体" w:hAnsi="华文楷体" w:eastAsia="华文楷体"/>
      <w:b/>
      <w:snapToGrid w:val="0"/>
      <w:color w:val="000000" w:themeColor="text1"/>
      <w:kern w:val="0"/>
      <w:sz w:val="28"/>
      <w:szCs w:val="28"/>
      <w14:textFill>
        <w14:solidFill>
          <w14:schemeClr w14:val="tx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4745</Words>
  <Characters>5283</Characters>
  <Lines>120</Lines>
  <Paragraphs>136</Paragraphs>
  <TotalTime>1</TotalTime>
  <ScaleCrop>false</ScaleCrop>
  <LinksUpToDate>false</LinksUpToDate>
  <CharactersWithSpaces>5296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2021-02-24T07:31:00Z</dcterms:created>
  <dc:creator>weixy</dc:creator>
  <cp:lastModifiedBy>Y</cp:lastModifiedBy>
  <dcterms:modified xsi:type="dcterms:W3CDTF">2025-10-31T14:40:13Z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D2998DA17DE445B8832EC0CF69473B48</vt:lpwstr>
  </property>
  <property fmtid="{D5CDD505-2E9C-101B-9397-08002B2CF9AE}" pid="4" name="KSOTemplateDocerSaveRecord">
    <vt:lpwstr>eyJoZGlkIjoiOGJmMDA2NGQyMzZlNjM5MzA0YmFjNTc5NjdkZmMxODQiLCJ1c2VySWQiOiI2NDgxMTQ0NzQifQ==</vt:lpwstr>
  </property>
</Properties>
</file>