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auto"/>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lang w:val="en-US" w:eastAsia="zh-CN"/>
        </w:rPr>
        <w:t>东莞220千伏梅塘（大星）输变电工程施工</w:t>
      </w:r>
    </w:p>
    <w:tbl>
      <w:tblPr>
        <w:tblStyle w:val="14"/>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广东省东莞</w:t>
            </w:r>
            <w:r>
              <w:rPr>
                <w:rFonts w:hint="eastAsia" w:ascii="宋体" w:hAnsi="宋体" w:eastAsia="宋体" w:cs="宋体"/>
                <w:b w:val="0"/>
                <w:bCs w:val="0"/>
                <w:snapToGrid w:val="0"/>
                <w:color w:val="auto"/>
                <w:kern w:val="0"/>
                <w:sz w:val="21"/>
                <w:szCs w:val="21"/>
                <w:highlight w:val="none"/>
                <w:u w:val="none"/>
                <w:vertAlign w:val="baseli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w:t>
            </w:r>
            <w:r>
              <w:rPr>
                <w:rFonts w:hint="eastAsia" w:ascii="宋体" w:hAnsi="宋体" w:eastAsia="宋体" w:cs="宋体"/>
                <w:b w:val="0"/>
                <w:bCs w:val="0"/>
                <w:snapToGrid w:val="0"/>
                <w:color w:val="auto"/>
                <w:kern w:val="0"/>
                <w:sz w:val="21"/>
                <w:szCs w:val="21"/>
                <w:highlight w:val="none"/>
                <w:u w:val="none"/>
                <w:vertAlign w:val="baseline"/>
                <w:lang w:val="en-US" w:eastAsia="zh-CN"/>
              </w:rPr>
              <w:t>电计〔202</w:t>
            </w:r>
            <w:r>
              <w:rPr>
                <w:rFonts w:hint="eastAsia" w:hAnsi="宋体" w:cs="宋体"/>
                <w:b w:val="0"/>
                <w:bCs w:val="0"/>
                <w:snapToGrid w:val="0"/>
                <w:color w:val="auto"/>
                <w:kern w:val="0"/>
                <w:sz w:val="21"/>
                <w:szCs w:val="21"/>
                <w:highlight w:val="none"/>
                <w:u w:val="none"/>
                <w:vertAlign w:val="baseline"/>
                <w:lang w:val="en-US" w:eastAsia="zh-CN"/>
              </w:rPr>
              <w:t>5</w:t>
            </w:r>
            <w:r>
              <w:rPr>
                <w:rFonts w:hint="eastAsia" w:ascii="宋体" w:hAnsi="宋体" w:eastAsia="宋体" w:cs="宋体"/>
                <w:b w:val="0"/>
                <w:bCs w:val="0"/>
                <w:snapToGrid w:val="0"/>
                <w:color w:val="auto"/>
                <w:kern w:val="0"/>
                <w:sz w:val="21"/>
                <w:szCs w:val="21"/>
                <w:highlight w:val="none"/>
                <w:u w:val="none"/>
                <w:vertAlign w:val="baseline"/>
                <w:lang w:val="en-US" w:eastAsia="zh-CN"/>
              </w:rPr>
              <w:t>〕</w:t>
            </w:r>
            <w:r>
              <w:rPr>
                <w:rFonts w:hint="eastAsia" w:hAnsi="宋体" w:cs="宋体"/>
                <w:b w:val="0"/>
                <w:bCs w:val="0"/>
                <w:snapToGrid w:val="0"/>
                <w:color w:val="auto"/>
                <w:kern w:val="0"/>
                <w:sz w:val="21"/>
                <w:szCs w:val="21"/>
                <w:highlight w:val="none"/>
                <w:u w:val="none"/>
                <w:vertAlign w:val="baseline"/>
                <w:lang w:val="en-US" w:eastAsia="zh-CN"/>
              </w:rPr>
              <w:t>11</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w:t>
            </w:r>
            <w:r>
              <w:rPr>
                <w:rFonts w:hint="eastAsia" w:ascii="宋体" w:hAnsi="宋体" w:eastAsia="宋体" w:cs="宋体"/>
                <w:b w:val="0"/>
                <w:bCs w:val="0"/>
                <w:snapToGrid w:val="0"/>
                <w:color w:val="auto"/>
                <w:kern w:val="0"/>
                <w:sz w:val="21"/>
                <w:szCs w:val="21"/>
                <w:highlight w:val="none"/>
                <w:u w:val="none"/>
                <w:vertAlign w:val="baseline"/>
                <w:lang w:val="en-US" w:eastAsia="zh-CN"/>
              </w:rPr>
              <w:t>发改核准〔202</w:t>
            </w:r>
            <w:r>
              <w:rPr>
                <w:rFonts w:hint="eastAsia" w:hAnsi="宋体" w:cs="宋体"/>
                <w:b w:val="0"/>
                <w:bCs w:val="0"/>
                <w:snapToGrid w:val="0"/>
                <w:color w:val="auto"/>
                <w:kern w:val="0"/>
                <w:sz w:val="21"/>
                <w:szCs w:val="21"/>
                <w:highlight w:val="none"/>
                <w:u w:val="none"/>
                <w:vertAlign w:val="baseline"/>
                <w:lang w:val="en-US" w:eastAsia="zh-CN"/>
              </w:rPr>
              <w:t>5</w:t>
            </w:r>
            <w:r>
              <w:rPr>
                <w:rFonts w:hint="eastAsia" w:ascii="宋体" w:hAnsi="宋体" w:eastAsia="宋体" w:cs="宋体"/>
                <w:b w:val="0"/>
                <w:bCs w:val="0"/>
                <w:snapToGrid w:val="0"/>
                <w:color w:val="auto"/>
                <w:kern w:val="0"/>
                <w:sz w:val="21"/>
                <w:szCs w:val="21"/>
                <w:highlight w:val="none"/>
                <w:u w:val="none"/>
                <w:vertAlign w:val="baseline"/>
                <w:lang w:val="en-US" w:eastAsia="zh-CN"/>
              </w:rPr>
              <w:t>〕</w:t>
            </w:r>
            <w:r>
              <w:rPr>
                <w:rFonts w:hint="eastAsia" w:hAnsi="宋体" w:cs="宋体"/>
                <w:b w:val="0"/>
                <w:bCs w:val="0"/>
                <w:snapToGrid w:val="0"/>
                <w:color w:val="auto"/>
                <w:kern w:val="0"/>
                <w:sz w:val="21"/>
                <w:szCs w:val="21"/>
                <w:highlight w:val="none"/>
                <w:u w:val="none"/>
                <w:vertAlign w:val="baseline"/>
                <w:lang w:val="en-US" w:eastAsia="zh-CN"/>
              </w:rPr>
              <w:t>10</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东电计〔2025〕50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 xml:space="preserve">广电建〔2025〕164号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暂无</w:t>
            </w:r>
          </w:p>
        </w:tc>
      </w:tr>
    </w:tbl>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auto"/>
          <w:sz w:val="28"/>
          <w:szCs w:val="28"/>
          <w:highlight w:val="none"/>
          <w:lang w:val="en-US" w:eastAsia="zh-CN"/>
        </w:rPr>
      </w:pPr>
    </w:p>
    <w:bookmarkEnd w:id="0"/>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千伏梅塘变电站工程：新建240兆伏安主变压器2台，每台主变10千伏侧安装5组8兆乏并联电容器组和1组8兆乏并联电抗器组。新建220千伏出线4回，110千伏出线8回，10千伏出线20回。站区拟建建筑物共2座，总建筑面积9558平方米。其中，配电装置楼建筑面积9450平方米，消防泵房建筑面积108平方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2.220千伏冠和站保护改造工程：本期至梅塘站220千伏线路每回均配置双套电流差动保护。原有至纵江站220千伏线路保护搬迁至梅塘站使用。</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3.220千伏裕元站保护改造工程：本期至梅塘站110千伏 T接线路保护升级改造，配置复用光纤通道的电流差动保护。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4.220千伏莆心站保护改造工程：本期至梅塘站110千伏 T接线路保护升级改造，配置复用光纤通道的电流差动保护。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5.110千伏长龙站保护改造工程：本期至梅塘站110千伏线路配置复用光纤通道的电流差动保护。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6.110千伏星光站保护改造工程：本期至梅塘站110千伏线路配置复用光纤通道的电流差动保护。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w:t>
      </w:r>
      <w:r>
        <w:rPr>
          <w:rFonts w:hint="eastAsia" w:ascii="宋体" w:hAnsi="宋体" w:eastAsia="宋体" w:cs="宋体"/>
          <w:b w:val="0"/>
          <w:bCs w:val="0"/>
          <w:snapToGrid w:val="0"/>
          <w:color w:val="auto"/>
          <w:kern w:val="0"/>
          <w:sz w:val="21"/>
          <w:szCs w:val="21"/>
          <w:highlight w:val="none"/>
          <w:u w:val="none"/>
          <w:lang w:val="en-US" w:eastAsia="zh-CN"/>
        </w:rPr>
        <w:t>220千伏纵冠甲乙线解口入梅塘站线路工程：解口220千伏纵江至冠和双回线路接入梅塘站，新建220千伏同塔双回架空线路长约2×（0.38+0.22）千米。新建导线采用4×JL/LB20A-300/40型铝包钢芯铝绞线</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2</w:t>
      </w:r>
      <w:r>
        <w:rPr>
          <w:rFonts w:hint="eastAsia" w:ascii="宋体" w:hAnsi="宋体" w:eastAsia="宋体" w:cs="宋体"/>
          <w:b w:val="0"/>
          <w:bCs w:val="0"/>
          <w:snapToGrid w:val="0"/>
          <w:color w:val="auto"/>
          <w:kern w:val="0"/>
          <w:sz w:val="21"/>
          <w:szCs w:val="21"/>
          <w:highlight w:val="none"/>
          <w:u w:val="none"/>
          <w:lang w:val="en-US" w:eastAsia="zh-CN"/>
        </w:rPr>
        <w:t>.110千伏莆田线解口入梅塘站、莆田星线改接入梅塘站线路工程：解口现状110千伏莆田线接入梅塘站，另外将110千伏莆田星线改接入梅塘站内，新建110千伏单回电缆线路长约1×（0.15+0.25+0.13）千米。新建电缆采用FY-YJLW03-Z- 64/110-1×1200型电力电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3</w:t>
      </w:r>
      <w:r>
        <w:rPr>
          <w:rFonts w:hint="eastAsia" w:ascii="宋体" w:hAnsi="宋体" w:eastAsia="宋体" w:cs="宋体"/>
          <w:b w:val="0"/>
          <w:bCs w:val="0"/>
          <w:snapToGrid w:val="0"/>
          <w:color w:val="auto"/>
          <w:kern w:val="0"/>
          <w:sz w:val="21"/>
          <w:szCs w:val="21"/>
          <w:highlight w:val="none"/>
          <w:u w:val="none"/>
          <w:lang w:val="en-US" w:eastAsia="zh-CN"/>
        </w:rPr>
        <w:t>.110千伏裕田甲乙线T接入梅塘站线路工程：T 接110千伏裕田甲乙线接入梅塘站，新建110千伏双回电缆线路长约2×（0.38+0.32）千米。新建电缆采用FY-YJLW03-Z-64/110-1×1200型电力电缆。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hAnsi="宋体" w:cs="宋体"/>
          <w:b w:val="0"/>
          <w:bCs w:val="0"/>
          <w:snapToGrid w:val="0"/>
          <w:color w:val="auto"/>
          <w:kern w:val="0"/>
          <w:sz w:val="21"/>
          <w:szCs w:val="21"/>
          <w:highlight w:val="none"/>
          <w:u w:val="none"/>
          <w:lang w:val="en-US" w:eastAsia="zh-CN"/>
        </w:rPr>
        <w:t>4</w:t>
      </w:r>
      <w:r>
        <w:rPr>
          <w:rFonts w:hint="eastAsia" w:ascii="宋体" w:hAnsi="宋体" w:eastAsia="宋体" w:cs="宋体"/>
          <w:b w:val="0"/>
          <w:bCs w:val="0"/>
          <w:snapToGrid w:val="0"/>
          <w:color w:val="auto"/>
          <w:kern w:val="0"/>
          <w:sz w:val="21"/>
          <w:szCs w:val="21"/>
          <w:highlight w:val="none"/>
          <w:u w:val="none"/>
          <w:lang w:val="en-US" w:eastAsia="zh-CN"/>
        </w:rPr>
        <w:t>.110千伏裕长星线解口入梅塘站线路工程：解口110千伏裕长星线星光支线电缆线路入梅塘站,新建110千伏双回电缆线路长约2×0.41千米。新建电缆采用FY-YJLW03-Z-64/110-1×1200 型电力电缆。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（三）通信工程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1.配套通信设备工程：配置2套STM-64 ASON设备，3套汇聚路由器、1套接入交换机、1套IV区防火墙，1套WAPI站端系统、1套汇聚交换机、1套接入交换机等设备接入东莞地区配电数据网。</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千伏纵冠甲乙线解口入梅塘站线路工程（OPGW光缆部分）：解口纵江站至冠和站220千伏线路上的1条光缆入梅塘站，沿梅塘站至冠和站侧解口点220千伏新建线路建设1条72芯OPGW光缆，纵江站侧利旧原有光缆，并与原有光缆接续，形成梅塘站至纵江站、冠和站各1条光缆路由，新建光缆路径长度约0.38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3.110千伏莆田线解口入梅塘站、莆田星线改接入梅塘站线路工程（管道光缆部分）：解口田心站至莆心站的1条48芯管道光缆接入梅塘站，沿梅塘站至解口点新建2条48芯管道光缆，形成梅塘站至田心站、梅塘站至莆心站的光缆路由。新建光缆路径长度约为1×0.45千米+1×0.55千米（含站内管道光缆长度2×0.3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4.110千伏裕长星线解口入梅塘站线路工程（管道光缆部分）：解口长龙站至星光站110千伏线路的1条48芯管道光缆接入梅塘站，沿梅塘站至解口点新建2条48芯管道光缆，形成梅塘站至星光站、梅塘站至长龙站的光缆路由。新建光缆路径长度约2×0.71千米（含站内管道光缆2×0.3千米）</w:t>
      </w:r>
      <w:r>
        <w:rPr>
          <w:rFonts w:hint="eastAsia" w:ascii="宋体" w:hAnsi="宋体" w:eastAsia="宋体" w:cs="宋体"/>
          <w:b w:val="0"/>
          <w:bCs w:val="0"/>
          <w:snapToGrid w:val="0"/>
          <w:color w:val="auto"/>
          <w:kern w:val="0"/>
          <w:sz w:val="21"/>
          <w:szCs w:val="21"/>
          <w:highlight w:val="none"/>
          <w:u w:val="none"/>
        </w:rPr>
        <w:t>。</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r>
        <w:rPr>
          <w:rFonts w:hint="eastAsia" w:hAnsi="宋体" w:cs="宋体"/>
          <w:b/>
          <w:color w:val="auto"/>
          <w:sz w:val="24"/>
          <w:szCs w:val="24"/>
          <w:highlight w:val="none"/>
          <w:lang w:val="en-US" w:eastAsia="zh-CN"/>
        </w:rPr>
        <w:t>：</w:t>
      </w:r>
      <w:r>
        <w:rPr>
          <w:rFonts w:hint="eastAsia" w:ascii="宋体" w:hAnsi="宋体" w:eastAsia="宋体" w:cs="宋体"/>
          <w:b/>
          <w:color w:val="auto"/>
          <w:sz w:val="24"/>
          <w:szCs w:val="24"/>
          <w:highlight w:val="none"/>
          <w:lang w:val="en-US" w:eastAsia="zh-CN"/>
        </w:rPr>
        <w:t>包括施工图范围内的建筑、安装及调试工程。施工图范围内的下列工作内容，无□及</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EQ \o\ac(□,√)</w:instrTex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的为本次报价范围；□未打√的，不在本次报价范围内，特殊情况在“其他”中说明。</w:t>
      </w:r>
    </w:p>
    <w:bookmarkEnd w:id="1"/>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※变电部分：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变电建筑工程：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（一）主要生产工程：</w:t>
      </w:r>
      <w:r>
        <w:rPr>
          <w:rFonts w:hint="eastAsia" w:ascii="宋体" w:hAnsi="宋体" w:cs="宋体"/>
          <w:b w:val="0"/>
          <w:bCs w:val="0"/>
          <w:snapToGrid w:val="0"/>
          <w:color w:val="auto"/>
          <w:kern w:val="0"/>
          <w:sz w:val="21"/>
          <w:szCs w:val="21"/>
          <w:highlight w:val="none"/>
          <w:u w:val="none"/>
          <w:lang w:val="en-US" w:eastAsia="zh-CN"/>
        </w:rPr>
        <w:t>主要生产建筑，配电装置建筑，供水系统，消防系统；</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（二）辅助生产工程：</w:t>
      </w:r>
      <w:r>
        <w:rPr>
          <w:rFonts w:hint="eastAsia" w:ascii="宋体" w:hAnsi="宋体" w:cs="宋体"/>
          <w:b w:val="0"/>
          <w:bCs w:val="0"/>
          <w:snapToGrid w:val="0"/>
          <w:color w:val="auto"/>
          <w:kern w:val="0"/>
          <w:sz w:val="21"/>
          <w:szCs w:val="21"/>
          <w:highlight w:val="none"/>
          <w:u w:val="none"/>
          <w:lang w:val="en-US" w:eastAsia="zh-CN"/>
        </w:rPr>
        <w:t>辅助生产建筑，站区性建筑，特殊构筑物，全站沉降观测点，站区绿化；</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（三）与站址有关的单项工程：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val="0"/>
          <w:bCs w:val="0"/>
          <w:snapToGrid w:val="0"/>
          <w:color w:val="auto"/>
          <w:kern w:val="0"/>
          <w:sz w:val="21"/>
          <w:szCs w:val="21"/>
          <w:highlight w:val="none"/>
          <w:u w:val="none"/>
          <w:lang w:val="en-US" w:eastAsia="zh-CN"/>
        </w:rPr>
        <w:t>☑地基处理，☑站外道路（其中□桥涵），☑站外水源，☑站外排水，□站外蒸发池，□施工降水，☑临时施工电源，□临时施工水源，□临时施工道路，□临时施工通信线路，□临时施工防护工程；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（四）其他费用工程：</w:t>
      </w:r>
      <w:r>
        <w:rPr>
          <w:rFonts w:hint="eastAsia" w:ascii="宋体" w:hAnsi="宋体" w:cs="宋体"/>
          <w:b w:val="0"/>
          <w:bCs w:val="0"/>
          <w:snapToGrid w:val="0"/>
          <w:color w:val="auto"/>
          <w:kern w:val="0"/>
          <w:sz w:val="21"/>
          <w:szCs w:val="21"/>
          <w:highlight w:val="none"/>
          <w:u w:val="none"/>
          <w:lang w:val="en-US" w:eastAsia="zh-CN"/>
        </w:rPr>
        <w:t>☑白蚁防治，□拆除工程；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（五）其他：</w:t>
      </w:r>
      <w:r>
        <w:rPr>
          <w:rFonts w:hint="eastAsia" w:ascii="宋体" w:hAnsi="宋体" w:cs="宋体"/>
          <w:b w:val="0"/>
          <w:bCs w:val="0"/>
          <w:snapToGrid w:val="0"/>
          <w:color w:val="auto"/>
          <w:kern w:val="0"/>
          <w:sz w:val="21"/>
          <w:szCs w:val="21"/>
          <w:highlight w:val="none"/>
          <w:u w:val="single"/>
          <w:lang w:val="en-US" w:eastAsia="zh-CN"/>
        </w:rPr>
        <w:t>1、☑施工场地租用费，执行《临时用地手续管理协调会议会议纪要》（东莞项纪〔2025〕44号）及《关于发布东莞供电局基建项目临时占用地相关费用计算要求的通知》（东莞基建部20250152），施工场地租用费按招标图（设计方案）标注面积，招标计划工期及单价20元/月.平方计列，结算时需依据开竣工报告时间，结合签证单及租地协议及发票或收据（有无变更均需提供）、设计变更单（如有）进行结算。2、☑渣土消纳费，执行《广东省电力建设定额站关于东莞电力建设项目余泥渣土运输及消纳费计价请示的复函》（粤电定〔2022〕3号）。</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变电安装工程：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主要生产工程：</w:t>
      </w:r>
      <w:r>
        <w:rPr>
          <w:rFonts w:hint="eastAsia" w:ascii="宋体" w:hAnsi="宋体" w:cs="宋体"/>
          <w:b w:val="0"/>
          <w:bCs w:val="0"/>
          <w:snapToGrid w:val="0"/>
          <w:color w:val="auto"/>
          <w:kern w:val="0"/>
          <w:sz w:val="21"/>
          <w:szCs w:val="21"/>
          <w:highlight w:val="none"/>
          <w:u w:val="none"/>
          <w:lang w:val="en-US" w:eastAsia="zh-CN"/>
        </w:rPr>
        <w:t>主变压器系统，配电装置，无功补偿，控制及直流系统，站用电系统，电缆及接地，远动系统（含总调、中调、地调调度端的扩容），计费系统，全站调试（其中特殊调试以合同附件十二特殊调试项目为准）；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（二）辅助生产工程：</w:t>
      </w:r>
      <w:r>
        <w:rPr>
          <w:rFonts w:hint="eastAsia" w:ascii="宋体" w:hAnsi="宋体" w:cs="宋体"/>
          <w:b w:val="0"/>
          <w:bCs w:val="0"/>
          <w:snapToGrid w:val="0"/>
          <w:color w:val="auto"/>
          <w:kern w:val="0"/>
          <w:sz w:val="21"/>
          <w:szCs w:val="21"/>
          <w:highlight w:val="none"/>
          <w:u w:val="none"/>
          <w:lang w:val="en-US" w:eastAsia="zh-CN"/>
        </w:rPr>
        <w:t>检修及修配设备；</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（三）与站址有关的单项工程：</w:t>
      </w:r>
      <w:r>
        <w:rPr>
          <w:rFonts w:hint="eastAsia" w:ascii="宋体" w:hAnsi="宋体" w:cs="宋体"/>
          <w:b w:val="0"/>
          <w:bCs w:val="0"/>
          <w:snapToGrid w:val="0"/>
          <w:color w:val="auto"/>
          <w:kern w:val="0"/>
          <w:sz w:val="21"/>
          <w:szCs w:val="21"/>
          <w:highlight w:val="none"/>
          <w:u w:val="none"/>
          <w:lang w:val="en-US" w:eastAsia="zh-CN"/>
        </w:rPr>
        <w:t>□站外电源，☑站外通信；</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（四）其他费用工程：</w:t>
      </w:r>
      <w:bookmarkStart w:id="2" w:name="OLE_LINK1"/>
      <w:r>
        <w:rPr>
          <w:rFonts w:hint="eastAsia" w:ascii="宋体" w:hAnsi="宋体" w:cs="宋体"/>
          <w:b w:val="0"/>
          <w:bCs w:val="0"/>
          <w:snapToGrid w:val="0"/>
          <w:color w:val="auto"/>
          <w:kern w:val="0"/>
          <w:sz w:val="21"/>
          <w:szCs w:val="21"/>
          <w:highlight w:val="none"/>
          <w:u w:val="none"/>
          <w:lang w:val="en-US" w:eastAsia="zh-CN"/>
        </w:rPr>
        <w:t>☑</w:t>
      </w:r>
      <w:bookmarkEnd w:id="2"/>
      <w:r>
        <w:rPr>
          <w:rFonts w:hint="eastAsia" w:ascii="宋体" w:hAnsi="宋体" w:cs="宋体"/>
          <w:b w:val="0"/>
          <w:bCs w:val="0"/>
          <w:snapToGrid w:val="0"/>
          <w:color w:val="auto"/>
          <w:kern w:val="0"/>
          <w:sz w:val="21"/>
          <w:szCs w:val="21"/>
          <w:highlight w:val="none"/>
          <w:u w:val="none"/>
          <w:lang w:val="en-US" w:eastAsia="zh-CN"/>
        </w:rPr>
        <w:t>标志牌安装，☑拆除工程；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（五）其他：</w:t>
      </w:r>
      <w:r>
        <w:rPr>
          <w:rFonts w:hint="eastAsia" w:ascii="宋体" w:hAnsi="宋体" w:cs="宋体"/>
          <w:b w:val="0"/>
          <w:bCs w:val="0"/>
          <w:snapToGrid w:val="0"/>
          <w:color w:val="auto"/>
          <w:kern w:val="0"/>
          <w:sz w:val="21"/>
          <w:szCs w:val="21"/>
          <w:highlight w:val="none"/>
          <w:u w:val="single"/>
          <w:lang w:val="en-US" w:eastAsia="zh-CN"/>
        </w:rPr>
        <w:t>/。</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※架空线路部分：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（一）基础工程：</w:t>
      </w:r>
      <w:r>
        <w:rPr>
          <w:rFonts w:hint="eastAsia" w:ascii="宋体" w:hAnsi="宋体" w:cs="宋体"/>
          <w:b w:val="0"/>
          <w:bCs w:val="0"/>
          <w:snapToGrid w:val="0"/>
          <w:color w:val="auto"/>
          <w:kern w:val="0"/>
          <w:sz w:val="21"/>
          <w:szCs w:val="21"/>
          <w:highlight w:val="none"/>
          <w:u w:val="none"/>
          <w:lang w:val="en-US" w:eastAsia="zh-CN"/>
        </w:rPr>
        <w:t>基础工程材料工地运输，土石方工程，基础砌筑，基础防腐，基础防护，地基处理；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（二）杆塔工程：</w:t>
      </w:r>
      <w:r>
        <w:rPr>
          <w:rFonts w:hint="eastAsia" w:ascii="宋体" w:hAnsi="宋体" w:cs="宋体"/>
          <w:b w:val="0"/>
          <w:bCs w:val="0"/>
          <w:snapToGrid w:val="0"/>
          <w:color w:val="auto"/>
          <w:kern w:val="0"/>
          <w:sz w:val="21"/>
          <w:szCs w:val="21"/>
          <w:highlight w:val="none"/>
          <w:u w:val="none"/>
          <w:lang w:val="en-US" w:eastAsia="zh-CN"/>
        </w:rPr>
        <w:t>杆塔工程材料工地运输，杆塔组立；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（三）接地工程：</w:t>
      </w:r>
      <w:r>
        <w:rPr>
          <w:rFonts w:hint="eastAsia" w:ascii="宋体" w:hAnsi="宋体" w:cs="宋体"/>
          <w:b w:val="0"/>
          <w:bCs w:val="0"/>
          <w:snapToGrid w:val="0"/>
          <w:color w:val="auto"/>
          <w:kern w:val="0"/>
          <w:sz w:val="21"/>
          <w:szCs w:val="21"/>
          <w:highlight w:val="none"/>
          <w:u w:val="none"/>
          <w:lang w:val="en-US" w:eastAsia="zh-CN"/>
        </w:rPr>
        <w:t>接地工程材料工地运输，接地土石方，接地安装；</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（四）架线工程：</w:t>
      </w:r>
      <w:r>
        <w:rPr>
          <w:rFonts w:hint="eastAsia" w:ascii="宋体" w:hAnsi="宋体" w:cs="宋体"/>
          <w:b w:val="0"/>
          <w:bCs w:val="0"/>
          <w:snapToGrid w:val="0"/>
          <w:color w:val="auto"/>
          <w:kern w:val="0"/>
          <w:sz w:val="21"/>
          <w:szCs w:val="21"/>
          <w:highlight w:val="none"/>
          <w:u w:val="none"/>
          <w:lang w:val="en-US" w:eastAsia="zh-CN"/>
        </w:rPr>
        <w:t>架线工程材料工地运输，导地线架设（不含OPGW接续与测量），导地线跨越架设（其中☑带电跨越10千伏及以下电力线路、</w:t>
      </w:r>
      <w:r>
        <w:rPr>
          <w:rFonts w:hint="eastAsia" w:ascii="宋体" w:hAnsi="宋体" w:cs="宋体"/>
          <w:b w:val="0"/>
          <w:bCs w:val="0"/>
          <w:snapToGrid w:val="0"/>
          <w:color w:val="auto"/>
          <w:kern w:val="0"/>
          <w:sz w:val="21"/>
          <w:szCs w:val="21"/>
          <w:highlight w:val="none"/>
          <w:u w:val="none"/>
          <w:lang w:val="en-US" w:eastAsia="zh-CN"/>
        </w:rPr>
        <w:sym w:font="Wingdings 2" w:char="00A3"/>
      </w:r>
      <w:r>
        <w:rPr>
          <w:rFonts w:hint="eastAsia" w:ascii="宋体" w:hAnsi="宋体" w:cs="宋体"/>
          <w:b w:val="0"/>
          <w:bCs w:val="0"/>
          <w:snapToGrid w:val="0"/>
          <w:color w:val="auto"/>
          <w:kern w:val="0"/>
          <w:sz w:val="21"/>
          <w:szCs w:val="21"/>
          <w:highlight w:val="none"/>
          <w:u w:val="none"/>
          <w:lang w:val="en-US" w:eastAsia="zh-CN"/>
        </w:rPr>
        <w:t>带电跨越35千伏及以上电力线路、□跨越铁路、□高速公路、☑一、二级公路、☑河流），其他架线工程；</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（五）附件安装工程：</w:t>
      </w:r>
      <w:r>
        <w:rPr>
          <w:rFonts w:hint="eastAsia" w:ascii="宋体" w:hAnsi="宋体" w:cs="宋体"/>
          <w:b w:val="0"/>
          <w:bCs w:val="0"/>
          <w:snapToGrid w:val="0"/>
          <w:color w:val="auto"/>
          <w:kern w:val="0"/>
          <w:sz w:val="21"/>
          <w:szCs w:val="21"/>
          <w:highlight w:val="none"/>
          <w:u w:val="none"/>
          <w:lang w:val="en-US" w:eastAsia="zh-CN"/>
        </w:rPr>
        <w:t>附件安装工程材料工地运输，绝缘子串及金具安装；</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（六）辅助工程：</w:t>
      </w:r>
      <w:r>
        <w:rPr>
          <w:rFonts w:hint="eastAsia" w:ascii="宋体" w:hAnsi="宋体" w:cs="宋体"/>
          <w:b w:val="0"/>
          <w:bCs w:val="0"/>
          <w:snapToGrid w:val="0"/>
          <w:color w:val="auto"/>
          <w:kern w:val="0"/>
          <w:sz w:val="21"/>
          <w:szCs w:val="21"/>
          <w:highlight w:val="none"/>
          <w:u w:val="none"/>
          <w:lang w:val="en-US" w:eastAsia="zh-CN"/>
        </w:rPr>
        <w:t>永久施工道路修筑，尖峰、施工基面土石方工程，护坡、挡土墙及排洪沟，基础永久性围堰，索道站安装，杆塔上装的各类辅助生产装置（其中：☑标志牌安装，☑防坠地装置，□防鸟刺装置），☑输、送电线路试运；</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（七）其他费用工程：</w:t>
      </w:r>
      <w:r>
        <w:rPr>
          <w:rFonts w:hint="eastAsia" w:ascii="宋体" w:hAnsi="宋体" w:cs="宋体"/>
          <w:b w:val="0"/>
          <w:bCs w:val="0"/>
          <w:snapToGrid w:val="0"/>
          <w:color w:val="auto"/>
          <w:kern w:val="0"/>
          <w:sz w:val="21"/>
          <w:szCs w:val="21"/>
          <w:highlight w:val="none"/>
          <w:u w:val="none"/>
          <w:lang w:val="en-US" w:eastAsia="zh-CN"/>
        </w:rPr>
        <w:t>☑拆除工程，□施工临时占用地补偿（含牵引场地租用费），□施工临时占用地（含牵引场地）青苗赔偿，□临时施工道路的青苗赔偿，□塔基占地及其青苗赔偿，□架线青苗赔偿，□接地线铺设的青苗赔偿，☑塔基绿化恢复，□临时施工道路修筑费（单价/总价均报），输电线路跨越补偿费（□跨越铁路补偿费、□跨越高速公路补偿费、☑跨越一、二级公路补偿费、□跨越通航河流补偿费）；</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（八）其他：</w:t>
      </w:r>
      <w:r>
        <w:rPr>
          <w:rFonts w:hint="eastAsia" w:ascii="宋体" w:hAnsi="宋体" w:cs="宋体"/>
          <w:b w:val="0"/>
          <w:bCs w:val="0"/>
          <w:snapToGrid w:val="0"/>
          <w:color w:val="auto"/>
          <w:kern w:val="0"/>
          <w:sz w:val="21"/>
          <w:szCs w:val="21"/>
          <w:highlight w:val="none"/>
          <w:u w:val="single"/>
          <w:lang w:val="en-US" w:eastAsia="zh-CN"/>
        </w:rPr>
        <w:t>1、☑水土保持措施费(含表土剥离、表土回覆、土地整治和撒播草籽)；2、☑渣土消纳费，执行《广东省电力建设定额站关于东莞电力建设项目余泥渣土运输及消纳费计价请示的复函》（粤电定〔2022〕3号）；3、☑施工临时占用地补偿（含牵引场地租用费），执行《临时用地手续管理协调会议会议纪要》（东莞项纪〔2025〕44号）及《关于发布东莞供电局基建项目临时占用地相关费用计算要求的通知》（东莞基建部20250152）要求，张力场及牵张场建设工期按0.5月计算，结算时需依据开竣工报告时间，结合签证单及租地协议及发票或收据（有无变更均需提供）、设计变更单（如有）进行结算。</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※电缆线路部分：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施工图纸范围内的电缆建筑：</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（一）土石方：</w:t>
      </w:r>
      <w:r>
        <w:rPr>
          <w:rFonts w:hint="eastAsia" w:ascii="宋体" w:hAnsi="宋体" w:cs="宋体"/>
          <w:b w:val="0"/>
          <w:bCs w:val="0"/>
          <w:snapToGrid w:val="0"/>
          <w:color w:val="auto"/>
          <w:kern w:val="0"/>
          <w:sz w:val="21"/>
          <w:szCs w:val="21"/>
          <w:highlight w:val="none"/>
          <w:u w:val="none"/>
          <w:lang w:val="en-US" w:eastAsia="zh-CN"/>
        </w:rPr>
        <w:t>材料运输，土石方挖填，开挖路面，修复路面，隧道挖填；</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（二）构筑物：</w:t>
      </w:r>
      <w:r>
        <w:rPr>
          <w:rFonts w:hint="eastAsia" w:ascii="宋体" w:hAnsi="宋体" w:cs="宋体"/>
          <w:b w:val="0"/>
          <w:bCs w:val="0"/>
          <w:snapToGrid w:val="0"/>
          <w:color w:val="auto"/>
          <w:kern w:val="0"/>
          <w:sz w:val="21"/>
          <w:szCs w:val="21"/>
          <w:highlight w:val="none"/>
          <w:u w:val="none"/>
          <w:lang w:val="en-US" w:eastAsia="zh-CN"/>
        </w:rPr>
        <w:t>材料运输，直埋电缆垫层及盖板，电缆沟、浅槽，工作井，电缆埋管，隧道，隧道工作井，栈桥，基础；</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（三）辅助工程：</w:t>
      </w:r>
      <w:r>
        <w:rPr>
          <w:rFonts w:hint="eastAsia" w:ascii="宋体" w:hAnsi="宋体" w:cs="宋体"/>
          <w:b w:val="0"/>
          <w:bCs w:val="0"/>
          <w:snapToGrid w:val="0"/>
          <w:color w:val="auto"/>
          <w:kern w:val="0"/>
          <w:sz w:val="21"/>
          <w:szCs w:val="21"/>
          <w:highlight w:val="none"/>
          <w:u w:val="none"/>
          <w:lang w:val="en-US" w:eastAsia="zh-CN"/>
        </w:rPr>
        <w:t>材料运输，通风，照明，排水，消防，围护，地基处理；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（四）其他费用工程：</w:t>
      </w:r>
      <w:r>
        <w:rPr>
          <w:rFonts w:hint="eastAsia" w:ascii="宋体" w:hAnsi="宋体" w:cs="宋体"/>
          <w:b w:val="0"/>
          <w:bCs w:val="0"/>
          <w:snapToGrid w:val="0"/>
          <w:color w:val="auto"/>
          <w:kern w:val="0"/>
          <w:sz w:val="21"/>
          <w:szCs w:val="21"/>
          <w:highlight w:val="none"/>
          <w:u w:val="none"/>
          <w:lang w:val="en-US" w:eastAsia="zh-CN"/>
        </w:rPr>
        <w:t>☑白蚁防治，☑拆除工程，□电缆走廊绿化赔偿，□沿线建（构）筑物的拆除，☑与城市规划、市政、园林、交警、城监、公路等部门联系办理施工许可手续，□施工临时占用地补偿费；</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（五）其他：</w:t>
      </w:r>
      <w:r>
        <w:rPr>
          <w:rFonts w:hint="eastAsia" w:ascii="宋体" w:hAnsi="宋体" w:cs="宋体"/>
          <w:b w:val="0"/>
          <w:bCs w:val="0"/>
          <w:snapToGrid w:val="0"/>
          <w:color w:val="auto"/>
          <w:kern w:val="0"/>
          <w:sz w:val="21"/>
          <w:szCs w:val="21"/>
          <w:highlight w:val="none"/>
          <w:u w:val="single"/>
          <w:lang w:val="en-US" w:eastAsia="zh-CN"/>
        </w:rPr>
        <w:t>1、☑渣土消纳费执行《广东省电力建设定额站关于东莞电力建设项目余泥渣土运输及消纳费计价请示的复函》（粤电定〔2022〕3号）。</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※电缆线路部分：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施工图纸范围内的电缆安装：</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（一）电缆桥、支架制作安装：</w:t>
      </w:r>
      <w:r>
        <w:rPr>
          <w:rFonts w:hint="eastAsia" w:ascii="宋体" w:hAnsi="宋体" w:cs="宋体"/>
          <w:b w:val="0"/>
          <w:bCs w:val="0"/>
          <w:snapToGrid w:val="0"/>
          <w:color w:val="auto"/>
          <w:kern w:val="0"/>
          <w:sz w:val="21"/>
          <w:szCs w:val="21"/>
          <w:highlight w:val="none"/>
          <w:u w:val="none"/>
          <w:lang w:val="en-US" w:eastAsia="zh-CN"/>
        </w:rPr>
        <w:t>材料运输，电缆桥架，电缆支架；</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（二）电缆敷设：</w:t>
      </w:r>
      <w:r>
        <w:rPr>
          <w:rFonts w:hint="eastAsia" w:ascii="宋体" w:hAnsi="宋体" w:cs="宋体"/>
          <w:b w:val="0"/>
          <w:bCs w:val="0"/>
          <w:snapToGrid w:val="0"/>
          <w:color w:val="auto"/>
          <w:kern w:val="0"/>
          <w:sz w:val="21"/>
          <w:szCs w:val="21"/>
          <w:highlight w:val="none"/>
          <w:u w:val="none"/>
          <w:lang w:val="en-US" w:eastAsia="zh-CN"/>
        </w:rPr>
        <w:t>材料运输，直埋敷设，电缆沟、浅槽敷设，埋管内敷设，电缆隧道敷设，桥架敷设，栈桥敷设；</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（三）电缆附件：</w:t>
      </w:r>
      <w:r>
        <w:rPr>
          <w:rFonts w:hint="eastAsia" w:ascii="宋体" w:hAnsi="宋体" w:cs="宋体"/>
          <w:b w:val="0"/>
          <w:bCs w:val="0"/>
          <w:snapToGrid w:val="0"/>
          <w:color w:val="auto"/>
          <w:kern w:val="0"/>
          <w:sz w:val="21"/>
          <w:szCs w:val="21"/>
          <w:highlight w:val="none"/>
          <w:u w:val="none"/>
          <w:lang w:val="en-US" w:eastAsia="zh-CN"/>
        </w:rPr>
        <w:t>材料运输，终端头制作安装，中间接头制作安装，接地安装，设备安装，电缆保护管；</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（四）电缆防火：</w:t>
      </w:r>
      <w:r>
        <w:rPr>
          <w:rFonts w:hint="eastAsia" w:ascii="宋体" w:hAnsi="宋体" w:cs="宋体"/>
          <w:b w:val="0"/>
          <w:bCs w:val="0"/>
          <w:snapToGrid w:val="0"/>
          <w:color w:val="auto"/>
          <w:kern w:val="0"/>
          <w:sz w:val="21"/>
          <w:szCs w:val="21"/>
          <w:highlight w:val="none"/>
          <w:u w:val="none"/>
          <w:lang w:val="en-US" w:eastAsia="zh-CN"/>
        </w:rPr>
        <w:t>材料运输，构筑物防火，电缆本体防火；</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（五）调试与试验：</w:t>
      </w:r>
      <w:r>
        <w:rPr>
          <w:rFonts w:hint="eastAsia" w:ascii="宋体" w:hAnsi="宋体" w:cs="宋体"/>
          <w:b w:val="0"/>
          <w:bCs w:val="0"/>
          <w:snapToGrid w:val="0"/>
          <w:color w:val="auto"/>
          <w:kern w:val="0"/>
          <w:sz w:val="21"/>
          <w:szCs w:val="21"/>
          <w:highlight w:val="none"/>
          <w:u w:val="none"/>
          <w:lang w:val="en-US" w:eastAsia="zh-CN"/>
        </w:rPr>
        <w:t>电缆试验（其中：☑电缆局部放电试验，☑电缆参数测定），设备试验；</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（六）电缆监测（控）系统：</w:t>
      </w:r>
      <w:r>
        <w:rPr>
          <w:rFonts w:hint="eastAsia" w:ascii="宋体" w:hAnsi="宋体" w:cs="宋体"/>
          <w:b w:val="0"/>
          <w:bCs w:val="0"/>
          <w:snapToGrid w:val="0"/>
          <w:color w:val="auto"/>
          <w:kern w:val="0"/>
          <w:sz w:val="21"/>
          <w:szCs w:val="21"/>
          <w:highlight w:val="none"/>
          <w:u w:val="none"/>
          <w:lang w:val="en-US" w:eastAsia="zh-CN"/>
        </w:rPr>
        <w:t>材料运输，在线监测，安保监控；</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（七）其他费用工程：</w:t>
      </w:r>
      <w:r>
        <w:rPr>
          <w:rFonts w:hint="eastAsia" w:ascii="宋体" w:hAnsi="宋体" w:cs="宋体"/>
          <w:b w:val="0"/>
          <w:bCs w:val="0"/>
          <w:snapToGrid w:val="0"/>
          <w:color w:val="auto"/>
          <w:kern w:val="0"/>
          <w:sz w:val="21"/>
          <w:szCs w:val="21"/>
          <w:highlight w:val="none"/>
          <w:u w:val="none"/>
          <w:lang w:val="en-US" w:eastAsia="zh-CN"/>
        </w:rPr>
        <w:t>☑标志牌安装，☑拆除工程，☑线路牌挂牌；</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（八）其他：</w:t>
      </w:r>
      <w:r>
        <w:rPr>
          <w:rFonts w:hint="eastAsia" w:ascii="宋体" w:hAnsi="宋体" w:cs="宋体"/>
          <w:b w:val="0"/>
          <w:bCs w:val="0"/>
          <w:snapToGrid w:val="0"/>
          <w:color w:val="auto"/>
          <w:kern w:val="0"/>
          <w:sz w:val="21"/>
          <w:szCs w:val="21"/>
          <w:highlight w:val="none"/>
          <w:u w:val="single"/>
          <w:lang w:val="en-US" w:eastAsia="zh-CN"/>
        </w:rPr>
        <w:t>1、☑输电线路试运。</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※通信部分：</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变电站工程：</w:t>
      </w:r>
      <w:r>
        <w:rPr>
          <w:rFonts w:hint="eastAsia" w:ascii="宋体" w:hAnsi="宋体" w:cs="宋体"/>
          <w:b w:val="0"/>
          <w:bCs w:val="0"/>
          <w:snapToGrid w:val="0"/>
          <w:color w:val="auto"/>
          <w:kern w:val="0"/>
          <w:sz w:val="21"/>
          <w:szCs w:val="21"/>
          <w:highlight w:val="none"/>
          <w:u w:val="none"/>
          <w:lang w:val="en-US" w:eastAsia="zh-CN"/>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架空线路部分：</w:t>
      </w:r>
      <w:r>
        <w:rPr>
          <w:rFonts w:hint="eastAsia" w:ascii="宋体" w:hAnsi="宋体" w:cs="宋体"/>
          <w:b w:val="0"/>
          <w:bCs w:val="0"/>
          <w:snapToGrid w:val="0"/>
          <w:color w:val="auto"/>
          <w:kern w:val="0"/>
          <w:sz w:val="21"/>
          <w:szCs w:val="21"/>
          <w:highlight w:val="none"/>
          <w:u w:val="none"/>
          <w:lang w:val="en-US" w:eastAsia="zh-CN"/>
        </w:rPr>
        <w:t>施工图纸范围内的光缆单盘测量、接续、全程测量；与施工相关的所有其他费用项目；不包含光缆架设、拆除、跨越及青苗赔偿。</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val="0"/>
          <w:bCs w:val="0"/>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电缆线路部分：</w:t>
      </w:r>
      <w:r>
        <w:rPr>
          <w:rFonts w:hint="eastAsia" w:ascii="宋体" w:hAnsi="宋体" w:cs="宋体"/>
          <w:b w:val="0"/>
          <w:bCs w:val="0"/>
          <w:snapToGrid w:val="0"/>
          <w:color w:val="auto"/>
          <w:kern w:val="0"/>
          <w:sz w:val="21"/>
          <w:szCs w:val="21"/>
          <w:highlight w:val="none"/>
          <w:u w:val="none"/>
          <w:lang w:val="en-US" w:eastAsia="zh-CN"/>
        </w:rPr>
        <w:t>施工图纸范围内的光缆单盘测试、中继测试、接续、光缆及联络光缆敷设、通信子管敷设、通道开通及业务接入、割接等；光缆及金具卸车清点、验收及保管，与施工相关的所有其他费用项目。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default" w:ascii="宋体" w:hAnsi="宋体" w:cs="宋体"/>
          <w:b/>
          <w:bCs/>
          <w:snapToGrid w:val="0"/>
          <w:color w:val="auto"/>
          <w:kern w:val="0"/>
          <w:sz w:val="21"/>
          <w:szCs w:val="21"/>
          <w:highlight w:val="none"/>
          <w:u w:val="none"/>
          <w:lang w:val="en-US" w:eastAsia="zh-CN"/>
        </w:rPr>
      </w:pPr>
    </w:p>
    <w:p>
      <w:pPr>
        <w:rPr>
          <w:rFonts w:hint="default"/>
          <w:color w:val="auto"/>
          <w:lang w:val="en-US"/>
        </w:rPr>
      </w:pP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bookmarkStart w:id="3" w:name="XmInfoEntity_SGCBFS_0_1"/>
      <w:r>
        <w:rPr>
          <w:rFonts w:hint="eastAsia" w:hAnsi="宋体" w:cs="宋体"/>
          <w:b/>
          <w:color w:val="auto"/>
          <w:sz w:val="24"/>
          <w:szCs w:val="24"/>
          <w:highlight w:val="none"/>
          <w:lang w:val="en-US" w:eastAsia="zh-CN"/>
        </w:rPr>
        <w:t>：</w:t>
      </w:r>
      <w:r>
        <w:rPr>
          <w:rFonts w:hint="eastAsia" w:ascii="宋体" w:hAnsi="宋体" w:eastAsia="宋体" w:cs="宋体"/>
          <w:b/>
          <w:color w:val="auto"/>
          <w:sz w:val="24"/>
          <w:szCs w:val="24"/>
          <w:highlight w:val="none"/>
          <w:lang w:val="en-US" w:eastAsia="zh-CN"/>
        </w:rPr>
        <w:t>包工、部分包料，施工图纸范围内如有下列设备、材料，无□及的为甲供，□未打√的及不在下列的为乙供。</w:t>
      </w:r>
    </w:p>
    <w:bookmarkEnd w:id="3"/>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变电建筑工程：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2、□装配式电缆沟、□消防电缆、□电梯（不含货物电梯）、□嵌入式空调（天井式）、☑专用空调（生产场所、带自动启动功能）。</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变电安装工程：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千伏及以上电缆头，各种类型绝缘子，封闭母线桥，10千伏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2、□吊车。</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（二）其他甲供物资：</w:t>
      </w:r>
      <w:r>
        <w:rPr>
          <w:rFonts w:hint="eastAsia" w:hAnsi="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※架空线路部分：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杆塔（水泥杆），铁塔加固器装置，高空防坠落装置，攀爬机轨道，钢绞线，铝绞线，导地线，绝缘子、绝缘横担，金具，标准铁构件，光缆，光缆金具，线路避雷器，故障指示器，故障精确定位装置，监测装置，视频监控系统，防鸟装置，铜覆钢接地极，石墨基接地体，通用型标志牌（包括：禁止攀登、高压危险、禁止抛物、高压危险等提醒类标志牌及相线牌、安装支架，不涉及资产名称、编号或位置）、警示灯（航空、航道）、航道牌及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2、☑地脚螺栓，☑直升机巡视作业标志牌。</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（二）其他甲供物资：</w:t>
      </w:r>
      <w:r>
        <w:rPr>
          <w:rFonts w:hint="eastAsia" w:hAnsi="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※电缆线路部分：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2、□装配式电缆沟，□玻璃钢管。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（二）其他甲供物资：</w:t>
      </w:r>
      <w:r>
        <w:rPr>
          <w:rFonts w:hint="eastAsia" w:hAnsi="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※通信部分：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bCs/>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（一）甲供物资：</w:t>
      </w:r>
      <w:r>
        <w:rPr>
          <w:rFonts w:hint="eastAsia" w:hAnsi="宋体" w:cs="宋体"/>
          <w:b w:val="0"/>
          <w:bCs w:val="0"/>
          <w:snapToGrid w:val="0"/>
          <w:color w:val="auto"/>
          <w:kern w:val="0"/>
          <w:sz w:val="21"/>
          <w:szCs w:val="21"/>
          <w:highlight w:val="none"/>
          <w:u w:val="none"/>
          <w:lang w:val="en-US" w:eastAsia="zh-CN"/>
        </w:rPr>
        <w:t>通信相关设备（含光传输设备、无线设备、电话、电池、监控、视频会议系统等），数据网设备，机架，通信电源，通信光缆及其金具，综合配线设备及材料，电缆保护管材（HDPE管、涂塑钢管、PVC管、MPP管）。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hAnsi="宋体" w:cs="宋体"/>
          <w:b w:val="0"/>
          <w:bCs w:val="0"/>
          <w:snapToGrid w:val="0"/>
          <w:color w:val="auto"/>
          <w:kern w:val="0"/>
          <w:sz w:val="21"/>
          <w:szCs w:val="21"/>
          <w:highlight w:val="none"/>
          <w:u w:val="none"/>
          <w:lang w:val="en-US" w:eastAsia="zh-CN"/>
        </w:rPr>
      </w:pPr>
      <w:r>
        <w:rPr>
          <w:rFonts w:hint="eastAsia" w:hAnsi="宋体" w:cs="宋体"/>
          <w:b/>
          <w:bCs/>
          <w:snapToGrid w:val="0"/>
          <w:color w:val="auto"/>
          <w:kern w:val="0"/>
          <w:sz w:val="21"/>
          <w:szCs w:val="21"/>
          <w:highlight w:val="none"/>
          <w:u w:val="none"/>
          <w:lang w:val="en-US" w:eastAsia="zh-CN"/>
        </w:rPr>
        <w:t>（二）其他甲供物资：</w:t>
      </w:r>
      <w:r>
        <w:rPr>
          <w:rFonts w:hint="eastAsia" w:hAnsi="宋体" w:cs="宋体"/>
          <w:b w:val="0"/>
          <w:bCs w:val="0"/>
          <w:snapToGrid w:val="0"/>
          <w:color w:val="auto"/>
          <w:kern w:val="0"/>
          <w:sz w:val="21"/>
          <w:szCs w:val="21"/>
          <w:highlight w:val="none"/>
          <w:u w:val="single"/>
          <w:lang w:val="en-US" w:eastAsia="zh-CN"/>
        </w:rPr>
        <w:t>/  。</w:t>
      </w:r>
    </w:p>
    <w:p>
      <w:pPr>
        <w:rPr>
          <w:rFonts w:hint="default"/>
          <w:color w:val="auto"/>
          <w:lang w:val="en-US"/>
        </w:rPr>
      </w:pPr>
      <w:r>
        <w:rPr>
          <w:rFonts w:hint="default"/>
          <w:color w:val="auto"/>
          <w:lang w:val="en-US"/>
        </w:rPr>
        <w:t>注：建设单位提供的设备、材料以合同附件</w:t>
      </w:r>
      <w:r>
        <w:rPr>
          <w:rFonts w:hint="default"/>
          <w:color w:val="auto"/>
          <w:lang w:val="en-US" w:eastAsia="zh-CN"/>
        </w:rPr>
        <w:t>：</w:t>
      </w:r>
      <w:r>
        <w:rPr>
          <w:rFonts w:hint="default"/>
          <w:color w:val="auto"/>
          <w:lang w:val="en-US"/>
        </w:rPr>
        <w:t>甲供设备材料明细表为准。</w:t>
      </w:r>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bookmarkStart w:id="4" w:name="_GoBack"/>
      <w:bookmarkEnd w:id="4"/>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p>
    <w:p>
      <w:pPr>
        <w:rPr>
          <w:rFonts w:hint="eastAsia" w:ascii="宋体" w:hAnsi="宋体" w:eastAsia="宋体" w:cs="宋体"/>
          <w:color w:val="auto"/>
          <w:sz w:val="28"/>
          <w:szCs w:val="28"/>
          <w:highlight w:val="yellow"/>
          <w:lang w:val="en-US" w:eastAsia="zh-CN"/>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270337E"/>
    <w:rsid w:val="0465127D"/>
    <w:rsid w:val="04D31677"/>
    <w:rsid w:val="050E07AE"/>
    <w:rsid w:val="05B87515"/>
    <w:rsid w:val="05E259E1"/>
    <w:rsid w:val="068D71D9"/>
    <w:rsid w:val="07751D79"/>
    <w:rsid w:val="08027423"/>
    <w:rsid w:val="09DF620A"/>
    <w:rsid w:val="09F62510"/>
    <w:rsid w:val="0B25077B"/>
    <w:rsid w:val="0BC07002"/>
    <w:rsid w:val="0C6B30AA"/>
    <w:rsid w:val="0D0758F3"/>
    <w:rsid w:val="0D882D55"/>
    <w:rsid w:val="0D9432B7"/>
    <w:rsid w:val="0E7F20D3"/>
    <w:rsid w:val="10A919C2"/>
    <w:rsid w:val="11444D6C"/>
    <w:rsid w:val="116419AD"/>
    <w:rsid w:val="11DF6CFE"/>
    <w:rsid w:val="11FC1228"/>
    <w:rsid w:val="1221206F"/>
    <w:rsid w:val="12617BA5"/>
    <w:rsid w:val="13C71878"/>
    <w:rsid w:val="142C4DA5"/>
    <w:rsid w:val="14440D4B"/>
    <w:rsid w:val="15056A61"/>
    <w:rsid w:val="15F1120D"/>
    <w:rsid w:val="16BE50DE"/>
    <w:rsid w:val="17241016"/>
    <w:rsid w:val="17311749"/>
    <w:rsid w:val="18B14F30"/>
    <w:rsid w:val="18D36BB7"/>
    <w:rsid w:val="18E57496"/>
    <w:rsid w:val="190C67D7"/>
    <w:rsid w:val="193066EB"/>
    <w:rsid w:val="196B23E3"/>
    <w:rsid w:val="1A2F2F81"/>
    <w:rsid w:val="1B1435D1"/>
    <w:rsid w:val="1B272424"/>
    <w:rsid w:val="1B663F82"/>
    <w:rsid w:val="1BA9108A"/>
    <w:rsid w:val="1C660CB1"/>
    <w:rsid w:val="1CF5670B"/>
    <w:rsid w:val="1D592E11"/>
    <w:rsid w:val="1EA379B5"/>
    <w:rsid w:val="20E776A4"/>
    <w:rsid w:val="216F4D5B"/>
    <w:rsid w:val="22B30023"/>
    <w:rsid w:val="22BD2637"/>
    <w:rsid w:val="22D01CE9"/>
    <w:rsid w:val="23290A9A"/>
    <w:rsid w:val="24E46BF4"/>
    <w:rsid w:val="24F737D8"/>
    <w:rsid w:val="250E3A49"/>
    <w:rsid w:val="274170EE"/>
    <w:rsid w:val="2785030E"/>
    <w:rsid w:val="278F57AD"/>
    <w:rsid w:val="27E47C4B"/>
    <w:rsid w:val="28A57C33"/>
    <w:rsid w:val="28F46A2A"/>
    <w:rsid w:val="290F6167"/>
    <w:rsid w:val="296555D1"/>
    <w:rsid w:val="29A55C56"/>
    <w:rsid w:val="29FC239E"/>
    <w:rsid w:val="2BED7EC0"/>
    <w:rsid w:val="2BFF0E0F"/>
    <w:rsid w:val="2D8D50EF"/>
    <w:rsid w:val="2D8E3667"/>
    <w:rsid w:val="2E1349A5"/>
    <w:rsid w:val="2E816236"/>
    <w:rsid w:val="2E9A5E18"/>
    <w:rsid w:val="2F362DFB"/>
    <w:rsid w:val="2F893A97"/>
    <w:rsid w:val="2FF65FF8"/>
    <w:rsid w:val="30035F08"/>
    <w:rsid w:val="300D195C"/>
    <w:rsid w:val="3044134F"/>
    <w:rsid w:val="30BF37B5"/>
    <w:rsid w:val="312C2AE5"/>
    <w:rsid w:val="3178798B"/>
    <w:rsid w:val="3220664F"/>
    <w:rsid w:val="3244265D"/>
    <w:rsid w:val="32F2736E"/>
    <w:rsid w:val="35B73053"/>
    <w:rsid w:val="361736AD"/>
    <w:rsid w:val="36676B65"/>
    <w:rsid w:val="36905D28"/>
    <w:rsid w:val="36A54835"/>
    <w:rsid w:val="36D200CF"/>
    <w:rsid w:val="38382DC3"/>
    <w:rsid w:val="38F32560"/>
    <w:rsid w:val="39446F46"/>
    <w:rsid w:val="3ACE475D"/>
    <w:rsid w:val="3B2A0F67"/>
    <w:rsid w:val="3BB261E1"/>
    <w:rsid w:val="3BCA27B8"/>
    <w:rsid w:val="3C114F9E"/>
    <w:rsid w:val="3C1E17EA"/>
    <w:rsid w:val="3C4A35F1"/>
    <w:rsid w:val="3E9D7E49"/>
    <w:rsid w:val="3F9B7EF1"/>
    <w:rsid w:val="415A7E63"/>
    <w:rsid w:val="42E701E3"/>
    <w:rsid w:val="43193F4E"/>
    <w:rsid w:val="44A8314C"/>
    <w:rsid w:val="44D414C9"/>
    <w:rsid w:val="45AE252B"/>
    <w:rsid w:val="45BA6458"/>
    <w:rsid w:val="45C37365"/>
    <w:rsid w:val="460D1423"/>
    <w:rsid w:val="46472D5E"/>
    <w:rsid w:val="468E0BD5"/>
    <w:rsid w:val="469B4709"/>
    <w:rsid w:val="46A85B41"/>
    <w:rsid w:val="47CB2C71"/>
    <w:rsid w:val="4866289C"/>
    <w:rsid w:val="49332FB5"/>
    <w:rsid w:val="49BC215B"/>
    <w:rsid w:val="4B3A1BDA"/>
    <w:rsid w:val="4C1966EB"/>
    <w:rsid w:val="4D392B7F"/>
    <w:rsid w:val="4DC12A00"/>
    <w:rsid w:val="4DC759F3"/>
    <w:rsid w:val="4DD3333C"/>
    <w:rsid w:val="4E040B17"/>
    <w:rsid w:val="4EA560D6"/>
    <w:rsid w:val="4EAB70C1"/>
    <w:rsid w:val="525522E2"/>
    <w:rsid w:val="528404F0"/>
    <w:rsid w:val="53463775"/>
    <w:rsid w:val="53523D60"/>
    <w:rsid w:val="53AA5AAD"/>
    <w:rsid w:val="547776C9"/>
    <w:rsid w:val="55734D49"/>
    <w:rsid w:val="55C3156A"/>
    <w:rsid w:val="57461A1C"/>
    <w:rsid w:val="57593089"/>
    <w:rsid w:val="599017B7"/>
    <w:rsid w:val="5A492CEC"/>
    <w:rsid w:val="5BDB5B6E"/>
    <w:rsid w:val="5DE84119"/>
    <w:rsid w:val="5EB72BF2"/>
    <w:rsid w:val="5F8E0C51"/>
    <w:rsid w:val="5FE724D4"/>
    <w:rsid w:val="60395037"/>
    <w:rsid w:val="60546075"/>
    <w:rsid w:val="608606DE"/>
    <w:rsid w:val="639D46DC"/>
    <w:rsid w:val="6424058D"/>
    <w:rsid w:val="66081D64"/>
    <w:rsid w:val="663511C3"/>
    <w:rsid w:val="663B2A3B"/>
    <w:rsid w:val="66C35559"/>
    <w:rsid w:val="66D91A76"/>
    <w:rsid w:val="67977F0F"/>
    <w:rsid w:val="68B337CC"/>
    <w:rsid w:val="69311D38"/>
    <w:rsid w:val="6A287B5E"/>
    <w:rsid w:val="6A485E7E"/>
    <w:rsid w:val="6A6B37FA"/>
    <w:rsid w:val="6AD12E4F"/>
    <w:rsid w:val="6B303A1A"/>
    <w:rsid w:val="6C141EE0"/>
    <w:rsid w:val="6CF02B48"/>
    <w:rsid w:val="6D897695"/>
    <w:rsid w:val="6DAA2FDF"/>
    <w:rsid w:val="6E121228"/>
    <w:rsid w:val="70873960"/>
    <w:rsid w:val="70B81233"/>
    <w:rsid w:val="70D1495F"/>
    <w:rsid w:val="7129638F"/>
    <w:rsid w:val="72004BAC"/>
    <w:rsid w:val="73641402"/>
    <w:rsid w:val="73C2144E"/>
    <w:rsid w:val="74E73186"/>
    <w:rsid w:val="74F238E6"/>
    <w:rsid w:val="76015DEA"/>
    <w:rsid w:val="763B2CF0"/>
    <w:rsid w:val="764E470D"/>
    <w:rsid w:val="76850D49"/>
    <w:rsid w:val="76EB7161"/>
    <w:rsid w:val="77E67240"/>
    <w:rsid w:val="7842124A"/>
    <w:rsid w:val="791A7C27"/>
    <w:rsid w:val="79435213"/>
    <w:rsid w:val="79527737"/>
    <w:rsid w:val="79D51B6D"/>
    <w:rsid w:val="7A4F78E9"/>
    <w:rsid w:val="7B2B3FE2"/>
    <w:rsid w:val="7B3B73B5"/>
    <w:rsid w:val="7C233754"/>
    <w:rsid w:val="7C766170"/>
    <w:rsid w:val="7CC45B07"/>
    <w:rsid w:val="7CC84BE5"/>
    <w:rsid w:val="7D26550D"/>
    <w:rsid w:val="7D2D6A7C"/>
    <w:rsid w:val="7D3A3102"/>
    <w:rsid w:val="7E3420E0"/>
    <w:rsid w:val="7E405052"/>
    <w:rsid w:val="7F1A0C44"/>
    <w:rsid w:val="7F8F7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character" w:customStyle="1" w:styleId="19">
    <w:name w:val="font31"/>
    <w:basedOn w:val="15"/>
    <w:qFormat/>
    <w:uiPriority w:val="0"/>
    <w:rPr>
      <w:rFonts w:hint="eastAsia" w:ascii="宋体" w:hAnsi="宋体" w:eastAsia="宋体" w:cs="宋体"/>
      <w:color w:val="000000"/>
      <w:sz w:val="21"/>
      <w:szCs w:val="21"/>
      <w:u w:val="none"/>
    </w:rPr>
  </w:style>
  <w:style w:type="character" w:customStyle="1" w:styleId="20">
    <w:name w:val="font5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5477</Words>
  <Characters>5851</Characters>
  <Lines>0</Lines>
  <Paragraphs>0</Paragraphs>
  <TotalTime>15</TotalTime>
  <ScaleCrop>false</ScaleCrop>
  <LinksUpToDate>false</LinksUpToDate>
  <CharactersWithSpaces>5879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gzry8</cp:lastModifiedBy>
  <cp:lastPrinted>2022-02-11T02:00:00Z</cp:lastPrinted>
  <dcterms:modified xsi:type="dcterms:W3CDTF">2025-11-03T06:52:06Z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573C029A226643C087F25B4F8E92BC41</vt:lpwstr>
  </property>
  <property fmtid="{D5CDD505-2E9C-101B-9397-08002B2CF9AE}" pid="4" name="KSOTemplateDocerSaveRecord">
    <vt:lpwstr>eyJoZGlkIjoiYjU5MTUwNjExYzJiNmEwMTkwZjM2OTdiZTAxZjQ4MjgiLCJ1c2VySWQiOiIzMDIyNjUyOTgifQ==</vt:lpwstr>
  </property>
</Properties>
</file>