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eastAsia="宋体" w:cs="宋体"/>
          <w:b/>
          <w:color w:val="auto"/>
          <w:sz w:val="28"/>
          <w:szCs w:val="28"/>
          <w:highlight w:val="none"/>
          <w:lang w:val="en-US" w:eastAsia="zh-CN"/>
        </w:rPr>
      </w:pPr>
      <w:bookmarkStart w:id="0" w:name="_Toc8445"/>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asciiTheme="minorEastAsia" w:hAnsiTheme="minorEastAsia" w:cstheme="minorEastAsia"/>
          <w:b/>
          <w:bCs/>
          <w:snapToGrid w:val="0"/>
          <w:color w:val="auto"/>
          <w:sz w:val="28"/>
          <w:szCs w:val="28"/>
          <w:u w:val="single"/>
          <w:lang w:eastAsia="zh-CN"/>
        </w:rPr>
        <w:t>500千伏海珠输变电工程（隧道土建部分）施工（标段一）</w:t>
      </w:r>
    </w:p>
    <w:tbl>
      <w:tblPr>
        <w:tblStyle w:val="13"/>
        <w:tblW w:w="7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文件名称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sz w:val="21"/>
                <w:szCs w:val="21"/>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南方电网规划〔2025〕13号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穗发改核准〔2025〕3号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南方电网输配电〔2025〕46号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广电规〔2025〕85号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snapToGrid w:val="0"/>
                <w:sz w:val="21"/>
                <w:szCs w:val="21"/>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870" w:type="dxa"/>
            <w:vAlign w:val="center"/>
          </w:tcPr>
          <w:p>
            <w:pPr>
              <w:pStyle w:val="9"/>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w:t>
            </w:r>
          </w:p>
        </w:tc>
      </w:tr>
    </w:tbl>
    <w:p>
      <w:pPr>
        <w:pStyle w:val="9"/>
        <w:keepNext w:val="0"/>
        <w:keepLines w:val="0"/>
        <w:pageBreakBefore w:val="0"/>
        <w:shd w:val="clear" w:color="auto" w:fill="auto"/>
        <w:kinsoku/>
        <w:wordWrap/>
        <w:overflowPunct/>
        <w:topLinePunct w:val="0"/>
        <w:bidi w:val="0"/>
        <w:adjustRightInd w:val="0"/>
        <w:snapToGrid w:val="0"/>
        <w:spacing w:line="360" w:lineRule="auto"/>
        <w:ind w:firstLine="422" w:firstLineChars="200"/>
        <w:jc w:val="center"/>
        <w:textAlignment w:val="auto"/>
        <w:outlineLvl w:val="0"/>
        <w:rPr>
          <w:rFonts w:hint="default" w:hAnsi="宋体" w:cs="宋体"/>
          <w:b/>
          <w:color w:val="auto"/>
          <w:sz w:val="21"/>
          <w:szCs w:val="21"/>
          <w:highlight w:val="none"/>
          <w:lang w:val="en-US" w:eastAsia="zh-CN"/>
        </w:rPr>
      </w:pPr>
    </w:p>
    <w:bookmarkEnd w:id="0"/>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24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9"/>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w:t>
      </w:r>
      <w:r>
        <w:rPr>
          <w:rFonts w:hint="eastAsia" w:asciiTheme="minorEastAsia" w:hAnsiTheme="minorEastAsia" w:eastAsiaTheme="minorEastAsia" w:cstheme="minorEastAsia"/>
          <w:b/>
          <w:sz w:val="21"/>
          <w:szCs w:val="21"/>
          <w:highlight w:val="none"/>
        </w:rPr>
        <w:t>电缆隧道部分</w:t>
      </w:r>
    </w:p>
    <w:p>
      <w:pPr>
        <w:pStyle w:val="9"/>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heme="minorEastAsia" w:hAnsiTheme="minorEastAsia" w:cstheme="minorEastAsia"/>
          <w:bCs/>
          <w:sz w:val="21"/>
          <w:szCs w:val="21"/>
          <w:highlight w:val="none"/>
          <w:lang w:val="en-US" w:eastAsia="zh-CN"/>
        </w:rPr>
      </w:pPr>
      <w:r>
        <w:rPr>
          <w:rFonts w:hint="eastAsia" w:asciiTheme="minorEastAsia" w:hAnsiTheme="minorEastAsia" w:cstheme="minorEastAsia"/>
          <w:bCs/>
          <w:sz w:val="21"/>
          <w:szCs w:val="21"/>
          <w:highlight w:val="none"/>
          <w:lang w:val="en-US" w:eastAsia="zh-CN"/>
        </w:rPr>
        <w:t>500千伏海珠输变电配套隧道工程：新建电力隧道全长10036.45米，全线设置14座井（其中2座为人员检修井）。其中海珠站连接段长度约170.65米，拟采用明挖法，施工隧道内净空2.6m（宽）*3.05m（高），隧道管容6回500kV线路；海珠站外段新建电力隧道长度约为9865.8米，除工作井外拟全部采用盾构法实施。盾构法隧道内径为3.5米，外径4.1米，壁厚0.3米，隧道管容4回500kV+4回220kV线路。</w:t>
      </w:r>
    </w:p>
    <w:p>
      <w:pPr>
        <w:pStyle w:val="9"/>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heme="minorEastAsia" w:hAnsiTheme="minorEastAsia" w:cstheme="minorEastAsia"/>
          <w:bCs/>
          <w:sz w:val="21"/>
          <w:szCs w:val="21"/>
          <w:highlight w:val="none"/>
          <w:lang w:val="en-US" w:eastAsia="zh-CN"/>
        </w:rPr>
      </w:pPr>
      <w:r>
        <w:rPr>
          <w:rFonts w:hint="eastAsia" w:asciiTheme="minorEastAsia" w:hAnsiTheme="minorEastAsia" w:cstheme="minorEastAsia"/>
          <w:bCs/>
          <w:sz w:val="21"/>
          <w:szCs w:val="21"/>
          <w:highlight w:val="none"/>
          <w:lang w:val="en-US" w:eastAsia="zh-CN"/>
        </w:rPr>
        <w:t>本标段包含1-8号工作井及区间（含8号工作井），隧道长度约6138.8米。</w:t>
      </w:r>
    </w:p>
    <w:p>
      <w:pPr>
        <w:pStyle w:val="9"/>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注：具体建设规模以施工图纸为准。</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240" w:lineRule="auto"/>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2" w:firstLineChars="200"/>
        <w:jc w:val="both"/>
        <w:textAlignment w:val="auto"/>
        <w:outlineLvl w:val="9"/>
        <w:rPr>
          <w:rFonts w:hint="eastAsia" w:asciiTheme="minorEastAsia" w:hAnsiTheme="minorEastAsia" w:eastAsiaTheme="minorEastAsia" w:cstheme="minorEastAsia"/>
          <w:b w:val="0"/>
          <w:bCs w:val="0"/>
          <w:color w:val="auto"/>
          <w:sz w:val="21"/>
          <w:szCs w:val="21"/>
          <w:highlight w:val="none"/>
          <w:u w:val="single"/>
          <w:lang w:val="en-US" w:eastAsia="zh-CN"/>
        </w:rPr>
      </w:pPr>
      <w:r>
        <w:rPr>
          <w:rFonts w:hint="eastAsia" w:asciiTheme="minorEastAsia" w:hAnsiTheme="minorEastAsia" w:eastAsiaTheme="minorEastAsia" w:cstheme="minorEastAsia"/>
          <w:b/>
          <w:bCs/>
          <w:color w:val="auto"/>
          <w:sz w:val="21"/>
          <w:szCs w:val="21"/>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的为本次范围；□未打√的，不在本次范围内，特殊情况在“其他”中说明。</w:t>
      </w:r>
    </w:p>
    <w:p>
      <w:pPr>
        <w:keepNext w:val="0"/>
        <w:keepLines w:val="0"/>
        <w:pageBreakBefore w:val="0"/>
        <w:kinsoku/>
        <w:wordWrap/>
        <w:overflowPunct/>
        <w:topLinePunct w:val="0"/>
        <w:autoSpaceDE w:val="0"/>
        <w:autoSpaceDN w:val="0"/>
        <w:bidi w:val="0"/>
        <w:adjustRightInd w:val="0"/>
        <w:snapToGrid/>
        <w:spacing w:line="24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电缆隧道部分：</w:t>
      </w:r>
    </w:p>
    <w:p>
      <w:pPr>
        <w:keepNext w:val="0"/>
        <w:keepLines w:val="0"/>
        <w:pageBreakBefore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标段包括施工图纸范围内的隧道建筑、结构、周边建筑物加固保护及措施、施工监测、道路破除及修复、交通疏解、临时供水、临时供电，配合完成前期工作及外部协调（包括与有关部门联系办理施工许可手续、安全鉴定、专项监测等）。不含隧道内征地及青赔，风水电，管线迁改等。道路修复、交通疏解实施工作，按实际工程量并计取中标下浮率进行结算</w:t>
      </w:r>
      <w:r>
        <w:rPr>
          <w:rFonts w:hint="eastAsia" w:ascii="宋体" w:hAnsi="宋体" w:eastAsia="宋体" w:cs="宋体"/>
          <w:color w:val="auto"/>
          <w:sz w:val="21"/>
          <w:szCs w:val="21"/>
          <w:highlight w:val="none"/>
          <w:lang w:eastAsia="zh-CN"/>
        </w:rPr>
        <w:t>。</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240" w:lineRule="auto"/>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承包方式</w:t>
      </w:r>
    </w:p>
    <w:p>
      <w:pPr>
        <w:pStyle w:val="9"/>
        <w:keepNext w:val="0"/>
        <w:keepLines w:val="0"/>
        <w:pageBreakBefore w:val="0"/>
        <w:widowControl w:val="0"/>
        <w:kinsoku/>
        <w:wordWrap/>
        <w:overflowPunct/>
        <w:topLinePunct w:val="0"/>
        <w:bidi w:val="0"/>
        <w:spacing w:line="24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的为甲供，□未打√的及不在下列的为乙供。建设单位根据最新的南方电网公司和广州供电局有限公司物资集中采购目录文件提供相应物资，目录外的设备、材料采购由中标人负责，本项目</w:t>
      </w:r>
      <w:r>
        <w:rPr>
          <w:rFonts w:hint="eastAsia" w:asciiTheme="minorEastAsia" w:hAnsiTheme="minorEastAsia" w:cstheme="minorEastAsia"/>
          <w:b/>
          <w:bCs/>
          <w:color w:val="auto"/>
          <w:sz w:val="21"/>
          <w:szCs w:val="21"/>
          <w:highlight w:val="none"/>
          <w:lang w:val="en-US" w:eastAsia="zh-CN"/>
        </w:rPr>
        <w:t>正式合同价</w:t>
      </w:r>
      <w:r>
        <w:rPr>
          <w:rFonts w:hint="eastAsia" w:asciiTheme="minorEastAsia" w:hAnsiTheme="minorEastAsia" w:eastAsiaTheme="minorEastAsia" w:cstheme="minorEastAsia"/>
          <w:b/>
          <w:bCs/>
          <w:color w:val="auto"/>
          <w:sz w:val="21"/>
          <w:szCs w:val="21"/>
          <w:highlight w:val="none"/>
          <w:lang w:val="en-US" w:eastAsia="zh-CN"/>
        </w:rPr>
        <w:t>实际甲供物资以《甲供设备材料明细表》为准。若在项目建设过程中网省公司或局物资集中采购目录文件有更新，则按新的文件执行，同时由建设单位以书面或签证形式，重新明确调整后的甲乙供范围，作为结算依据。</w:t>
      </w:r>
    </w:p>
    <w:p>
      <w:pPr>
        <w:keepNext w:val="0"/>
        <w:keepLines w:val="0"/>
        <w:pageBreakBefore w:val="0"/>
        <w:kinsoku/>
        <w:wordWrap/>
        <w:overflowPunct/>
        <w:topLinePunct w:val="0"/>
        <w:autoSpaceDE w:val="0"/>
        <w:autoSpaceDN w:val="0"/>
        <w:bidi w:val="0"/>
        <w:adjustRightInd w:val="0"/>
        <w:snapToGrid/>
        <w:spacing w:line="240" w:lineRule="auto"/>
        <w:ind w:firstLine="422"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※电缆隧道部分：建设单位提供部分设备及材料:</w:t>
      </w:r>
      <w:r>
        <w:rPr>
          <w:rFonts w:hint="eastAsia" w:ascii="宋体" w:hAnsi="宋体" w:eastAsia="宋体" w:cs="宋体"/>
          <w:b/>
          <w:bCs/>
          <w:color w:val="auto"/>
          <w:sz w:val="21"/>
          <w:szCs w:val="21"/>
          <w:highlight w:val="none"/>
          <w:lang w:eastAsia="zh-CN"/>
        </w:rPr>
        <w:t>电缆支架</w:t>
      </w:r>
      <w:r>
        <w:rPr>
          <w:rFonts w:hint="eastAsia" w:ascii="宋体" w:hAnsi="宋体" w:eastAsia="宋体" w:cs="宋体"/>
          <w:b/>
          <w:bCs/>
          <w:color w:val="auto"/>
          <w:sz w:val="21"/>
          <w:szCs w:val="21"/>
          <w:highlight w:val="none"/>
        </w:rPr>
        <w:t>。</w:t>
      </w:r>
    </w:p>
    <w:p>
      <w:pPr>
        <w:pStyle w:val="9"/>
        <w:keepNext w:val="0"/>
        <w:keepLines w:val="0"/>
        <w:pageBreakBefore w:val="0"/>
        <w:widowControl w:val="0"/>
        <w:kinsoku/>
        <w:wordWrap/>
        <w:overflowPunct/>
        <w:topLinePunct w:val="0"/>
        <w:bidi w:val="0"/>
        <w:spacing w:line="240" w:lineRule="auto"/>
        <w:textAlignment w:val="auto"/>
        <w:rPr>
          <w:rFonts w:hint="eastAsia" w:eastAsia="宋体"/>
          <w:color w:val="auto"/>
          <w:sz w:val="21"/>
          <w:szCs w:val="21"/>
          <w:highlight w:val="none"/>
          <w:lang w:val="en-US" w:eastAsia="zh-CN"/>
        </w:rPr>
      </w:pPr>
      <w:r>
        <w:rPr>
          <w:rFonts w:hint="eastAsia" w:ascii="宋体" w:hAnsi="宋体" w:cs="宋体"/>
          <w:b/>
          <w:bCs/>
          <w:snapToGrid w:val="0"/>
          <w:color w:val="auto"/>
          <w:kern w:val="0"/>
          <w:sz w:val="21"/>
          <w:szCs w:val="21"/>
          <w:highlight w:val="none"/>
          <w:u w:val="none"/>
          <w:lang w:val="en-US" w:eastAsia="zh-CN"/>
        </w:rPr>
        <w:t>注：建设单位提供的设备、材料以正式合同价提供的《甲供设备材料明细表》为准</w:t>
      </w:r>
      <w:r>
        <w:rPr>
          <w:rFonts w:hint="eastAsia" w:eastAsia="宋体"/>
          <w:color w:val="auto"/>
          <w:sz w:val="21"/>
          <w:szCs w:val="21"/>
          <w:highlight w:val="none"/>
          <w:lang w:val="en-US" w:eastAsia="zh-CN"/>
        </w:rPr>
        <w:t>。</w:t>
      </w:r>
    </w:p>
    <w:p>
      <w:pPr>
        <w:pStyle w:val="9"/>
        <w:keepNext w:val="0"/>
        <w:keepLines w:val="0"/>
        <w:pageBreakBefore w:val="0"/>
        <w:widowControl w:val="0"/>
        <w:kinsoku/>
        <w:wordWrap/>
        <w:overflowPunct/>
        <w:topLinePunct w:val="0"/>
        <w:bidi w:val="0"/>
        <w:spacing w:line="240" w:lineRule="auto"/>
        <w:textAlignment w:val="auto"/>
        <w:rPr>
          <w:rFonts w:hint="default" w:eastAsia="宋体"/>
          <w:color w:val="auto"/>
          <w:sz w:val="21"/>
          <w:szCs w:val="21"/>
          <w:highlight w:val="none"/>
          <w:lang w:val="en-US" w:eastAsia="zh-CN"/>
        </w:rPr>
      </w:pPr>
    </w:p>
    <w:p>
      <w:pPr>
        <w:rPr>
          <w:rFonts w:hint="eastAsia"/>
          <w:lang w:val="en-US" w:eastAsia="zh-CN"/>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2813B"/>
    <w:multiLevelType w:val="multilevel"/>
    <w:tmpl w:val="EDA2813B"/>
    <w:lvl w:ilvl="0" w:tentative="0">
      <w:start w:val="1"/>
      <w:numFmt w:val="decimal"/>
      <w:lvlText w:val="%1"/>
      <w:lvlJc w:val="left"/>
      <w:pPr>
        <w:ind w:left="432" w:hanging="432"/>
      </w:pPr>
      <w:rPr>
        <w:rFonts w:hint="eastAsia" w:ascii="Times New Roman" w:hAnsi="Times New Roman" w:cs="Times New Roman"/>
        <w:b w:val="0"/>
        <w:i w:val="0"/>
        <w:iCs w:val="0"/>
        <w:caps w:val="0"/>
        <w:smallCaps w:val="0"/>
        <w:strike w:val="0"/>
        <w:dstrike w:val="0"/>
        <w:vanish w:val="0"/>
        <w:spacing w:val="0"/>
        <w:position w:val="0"/>
        <w:u w:val="none"/>
        <w:vertAlign w:val="baseline"/>
      </w:rPr>
    </w:lvl>
    <w:lvl w:ilvl="1" w:tentative="0">
      <w:start w:val="1"/>
      <w:numFmt w:val="decimal"/>
      <w:lvlText w:val="%1.%2 "/>
      <w:lvlJc w:val="left"/>
      <w:pPr>
        <w:ind w:left="576" w:hanging="576"/>
      </w:pPr>
      <w:rPr>
        <w:rFonts w:hint="eastAsia" w:ascii="Times New Roman" w:hAnsi="Times New Roman" w:cs="Times New Roman"/>
        <w:b/>
        <w:i w:val="0"/>
        <w:iCs w:val="0"/>
        <w:caps w:val="0"/>
        <w:smallCaps w:val="0"/>
        <w:strike w:val="0"/>
        <w:dstrike w:val="0"/>
        <w:vanish w:val="0"/>
        <w:spacing w:val="0"/>
        <w:kern w:val="0"/>
        <w:position w:val="0"/>
        <w:u w:val="none"/>
        <w:vertAlign w:val="baseline"/>
      </w:rPr>
    </w:lvl>
    <w:lvl w:ilvl="2" w:tentative="0">
      <w:start w:val="1"/>
      <w:numFmt w:val="decimal"/>
      <w:lvlText w:val="%1.%2.%3 "/>
      <w:lvlJc w:val="left"/>
      <w:pPr>
        <w:ind w:left="1440" w:hanging="1440"/>
      </w:pPr>
      <w:rPr>
        <w:rFonts w:hint="default" w:ascii="Times New Roman" w:hAnsi="Times New Roman" w:cs="Times New Roman"/>
        <w:sz w:val="24"/>
        <w:szCs w:val="24"/>
      </w:rPr>
    </w:lvl>
    <w:lvl w:ilvl="3" w:tentative="0">
      <w:start w:val="1"/>
      <w:numFmt w:val="decimal"/>
      <w:pStyle w:val="6"/>
      <w:lvlText w:val="%1.%2.%3.%4 "/>
      <w:lvlJc w:val="left"/>
      <w:pPr>
        <w:ind w:left="1715" w:hanging="864"/>
      </w:pPr>
      <w:rPr>
        <w:rFonts w:hint="default" w:ascii="Times New Roman" w:hAnsi="Times New Roman" w:cs="Times New Roman"/>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b/>
        <w:bCs/>
        <w:color w:val="auto"/>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MDY5ZGVlYjdhMTRlZGI2M2RhZDEwNzJjMmZkZTIifQ=="/>
  </w:docVars>
  <w:rsids>
    <w:rsidRoot w:val="740D71D5"/>
    <w:rsid w:val="0109277B"/>
    <w:rsid w:val="01E5534B"/>
    <w:rsid w:val="036208AE"/>
    <w:rsid w:val="054A2620"/>
    <w:rsid w:val="05772F19"/>
    <w:rsid w:val="062C0A5B"/>
    <w:rsid w:val="071B3875"/>
    <w:rsid w:val="077057CE"/>
    <w:rsid w:val="08001F60"/>
    <w:rsid w:val="09676CF8"/>
    <w:rsid w:val="09790D9C"/>
    <w:rsid w:val="09D43B87"/>
    <w:rsid w:val="0D153780"/>
    <w:rsid w:val="0DAB15E2"/>
    <w:rsid w:val="0DB75190"/>
    <w:rsid w:val="0FB13319"/>
    <w:rsid w:val="10826080"/>
    <w:rsid w:val="110034DB"/>
    <w:rsid w:val="113A0F19"/>
    <w:rsid w:val="120A46B1"/>
    <w:rsid w:val="12331667"/>
    <w:rsid w:val="13166EC3"/>
    <w:rsid w:val="13186C6C"/>
    <w:rsid w:val="137F0EAC"/>
    <w:rsid w:val="13AB57C5"/>
    <w:rsid w:val="14EF7AC7"/>
    <w:rsid w:val="1576177E"/>
    <w:rsid w:val="15CE07BC"/>
    <w:rsid w:val="15D62BE2"/>
    <w:rsid w:val="163C61B2"/>
    <w:rsid w:val="167D7355"/>
    <w:rsid w:val="16C005E1"/>
    <w:rsid w:val="16E60230"/>
    <w:rsid w:val="1D7D0B48"/>
    <w:rsid w:val="1D8F4B51"/>
    <w:rsid w:val="1E1B62F5"/>
    <w:rsid w:val="21592EC3"/>
    <w:rsid w:val="21B60804"/>
    <w:rsid w:val="22234D1E"/>
    <w:rsid w:val="226C006B"/>
    <w:rsid w:val="22906A51"/>
    <w:rsid w:val="23333912"/>
    <w:rsid w:val="23F12D9A"/>
    <w:rsid w:val="24DD0910"/>
    <w:rsid w:val="24F81F57"/>
    <w:rsid w:val="255F233B"/>
    <w:rsid w:val="25B05051"/>
    <w:rsid w:val="27337CE7"/>
    <w:rsid w:val="28757DED"/>
    <w:rsid w:val="29576DD3"/>
    <w:rsid w:val="2AF6240B"/>
    <w:rsid w:val="2B3C44D5"/>
    <w:rsid w:val="2BC145A9"/>
    <w:rsid w:val="2BC87E6A"/>
    <w:rsid w:val="2D2B2AA3"/>
    <w:rsid w:val="2E326D00"/>
    <w:rsid w:val="2E3C6EAB"/>
    <w:rsid w:val="2E932876"/>
    <w:rsid w:val="2E9642AB"/>
    <w:rsid w:val="30D320BD"/>
    <w:rsid w:val="31432160"/>
    <w:rsid w:val="318F66BE"/>
    <w:rsid w:val="323A1F14"/>
    <w:rsid w:val="344A3184"/>
    <w:rsid w:val="34644A0D"/>
    <w:rsid w:val="35563D07"/>
    <w:rsid w:val="35613C72"/>
    <w:rsid w:val="35A85D44"/>
    <w:rsid w:val="389D3EE3"/>
    <w:rsid w:val="38A21B1B"/>
    <w:rsid w:val="38C03BB6"/>
    <w:rsid w:val="39684EB4"/>
    <w:rsid w:val="39F710DF"/>
    <w:rsid w:val="3A5E5795"/>
    <w:rsid w:val="3A865B12"/>
    <w:rsid w:val="3B730350"/>
    <w:rsid w:val="3BD038FF"/>
    <w:rsid w:val="3BE40D20"/>
    <w:rsid w:val="3C5C0DD3"/>
    <w:rsid w:val="3C6E4EB1"/>
    <w:rsid w:val="3D706AF4"/>
    <w:rsid w:val="3DA07FC8"/>
    <w:rsid w:val="3DE911DF"/>
    <w:rsid w:val="3E353AD6"/>
    <w:rsid w:val="3F0F6EA6"/>
    <w:rsid w:val="407713A8"/>
    <w:rsid w:val="419D318D"/>
    <w:rsid w:val="42C179DE"/>
    <w:rsid w:val="436B795D"/>
    <w:rsid w:val="43A773DD"/>
    <w:rsid w:val="44BB11B1"/>
    <w:rsid w:val="468C7F0B"/>
    <w:rsid w:val="46CD773D"/>
    <w:rsid w:val="472945F5"/>
    <w:rsid w:val="4739604D"/>
    <w:rsid w:val="47423D67"/>
    <w:rsid w:val="47875238"/>
    <w:rsid w:val="478D7E58"/>
    <w:rsid w:val="486B4D70"/>
    <w:rsid w:val="49B05850"/>
    <w:rsid w:val="4C4C5224"/>
    <w:rsid w:val="4C600C9E"/>
    <w:rsid w:val="4CE27CFA"/>
    <w:rsid w:val="4D063CD2"/>
    <w:rsid w:val="4D61270F"/>
    <w:rsid w:val="4DB746E4"/>
    <w:rsid w:val="4E9F73BA"/>
    <w:rsid w:val="4F0427EA"/>
    <w:rsid w:val="4F300272"/>
    <w:rsid w:val="515320B5"/>
    <w:rsid w:val="52841DFF"/>
    <w:rsid w:val="52E14633"/>
    <w:rsid w:val="53250778"/>
    <w:rsid w:val="53517035"/>
    <w:rsid w:val="53A92998"/>
    <w:rsid w:val="55D45164"/>
    <w:rsid w:val="58216330"/>
    <w:rsid w:val="58E13C08"/>
    <w:rsid w:val="59275A99"/>
    <w:rsid w:val="59DF5FFE"/>
    <w:rsid w:val="5A33357F"/>
    <w:rsid w:val="5D9F4915"/>
    <w:rsid w:val="5E483371"/>
    <w:rsid w:val="5E970568"/>
    <w:rsid w:val="5EC90F8E"/>
    <w:rsid w:val="5EF17D2A"/>
    <w:rsid w:val="5F59471B"/>
    <w:rsid w:val="60A2317A"/>
    <w:rsid w:val="60C31A1F"/>
    <w:rsid w:val="61687E97"/>
    <w:rsid w:val="616D55C9"/>
    <w:rsid w:val="62BB7999"/>
    <w:rsid w:val="644E4B1D"/>
    <w:rsid w:val="646F08D5"/>
    <w:rsid w:val="647B3DBC"/>
    <w:rsid w:val="650E0E71"/>
    <w:rsid w:val="65494613"/>
    <w:rsid w:val="65904792"/>
    <w:rsid w:val="65ED0D46"/>
    <w:rsid w:val="67137BFF"/>
    <w:rsid w:val="673A67EA"/>
    <w:rsid w:val="674D7D2D"/>
    <w:rsid w:val="6845160B"/>
    <w:rsid w:val="68560D10"/>
    <w:rsid w:val="6A0B1E23"/>
    <w:rsid w:val="6A516D7C"/>
    <w:rsid w:val="6AEA5840"/>
    <w:rsid w:val="6B0C2A72"/>
    <w:rsid w:val="6C9D4F37"/>
    <w:rsid w:val="6CDE58AA"/>
    <w:rsid w:val="6D1A47AE"/>
    <w:rsid w:val="6D8309B3"/>
    <w:rsid w:val="700D6D99"/>
    <w:rsid w:val="725F58BA"/>
    <w:rsid w:val="7262149F"/>
    <w:rsid w:val="727F0905"/>
    <w:rsid w:val="740B5A50"/>
    <w:rsid w:val="740D71D5"/>
    <w:rsid w:val="74F26963"/>
    <w:rsid w:val="751D7874"/>
    <w:rsid w:val="75337C73"/>
    <w:rsid w:val="764D2EB1"/>
    <w:rsid w:val="768E4E05"/>
    <w:rsid w:val="769B6CFA"/>
    <w:rsid w:val="77CD748B"/>
    <w:rsid w:val="785F1F2C"/>
    <w:rsid w:val="7A782F9B"/>
    <w:rsid w:val="7ADB1BD4"/>
    <w:rsid w:val="7B1F6DB5"/>
    <w:rsid w:val="7B436AD8"/>
    <w:rsid w:val="7B7F6110"/>
    <w:rsid w:val="7C4B1F1E"/>
    <w:rsid w:val="7D5B3637"/>
    <w:rsid w:val="7D683A3A"/>
    <w:rsid w:val="7E337317"/>
    <w:rsid w:val="7F7A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qFormat/>
    <w:uiPriority w:val="0"/>
    <w:pPr>
      <w:widowControl w:val="0"/>
      <w:numPr>
        <w:ilvl w:val="3"/>
        <w:numId w:val="1"/>
      </w:numPr>
      <w:adjustRightInd w:val="0"/>
      <w:snapToGrid w:val="0"/>
      <w:outlineLvl w:val="3"/>
    </w:pPr>
    <w:rPr>
      <w:rFonts w:ascii="宋体" w:hAnsi="宋体"/>
      <w:bCs/>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qFormat/>
    <w:uiPriority w:val="0"/>
    <w:pPr>
      <w:widowControl w:val="0"/>
      <w:adjustRightInd w:val="0"/>
      <w:spacing w:line="560" w:lineRule="exact"/>
      <w:ind w:firstLine="624"/>
      <w:textAlignment w:val="baseline"/>
    </w:pPr>
    <w:rPr>
      <w:rFonts w:eastAsia="仿宋_GB2312"/>
      <w:sz w:val="30"/>
    </w:rPr>
  </w:style>
  <w:style w:type="paragraph" w:styleId="8">
    <w:name w:val="annotation text"/>
    <w:basedOn w:val="1"/>
    <w:qFormat/>
    <w:uiPriority w:val="0"/>
    <w:pPr>
      <w:jc w:val="left"/>
    </w:pPr>
  </w:style>
  <w:style w:type="paragraph" w:styleId="9">
    <w:name w:val="Plain Text"/>
    <w:basedOn w:val="1"/>
    <w:link w:val="15"/>
    <w:qFormat/>
    <w:uiPriority w:val="0"/>
    <w:rPr>
      <w:rFonts w:ascii="宋体" w:hAnsi="Courier New"/>
      <w:kern w:val="0"/>
      <w:sz w:val="20"/>
      <w:szCs w:val="20"/>
    </w:rPr>
  </w:style>
  <w:style w:type="paragraph" w:styleId="10">
    <w:name w:val="Normal (Web)"/>
    <w:basedOn w:val="1"/>
    <w:qFormat/>
    <w:uiPriority w:val="0"/>
    <w:rPr>
      <w:rFonts w:ascii="宋体" w:hAnsi="宋体" w:cs="宋体"/>
      <w:sz w:val="24"/>
      <w:szCs w:val="24"/>
    </w:rPr>
  </w:style>
  <w:style w:type="paragraph" w:styleId="11">
    <w:name w:val="Body Text First Indent"/>
    <w:basedOn w:val="2"/>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纯文本 Char"/>
    <w:link w:val="9"/>
    <w:qFormat/>
    <w:uiPriority w:val="0"/>
    <w:rPr>
      <w:rFonts w:ascii="宋体" w:hAnsi="Courier New"/>
      <w:kern w:val="0"/>
      <w:sz w:val="20"/>
      <w:szCs w:val="20"/>
    </w:rPr>
  </w:style>
  <w:style w:type="character" w:customStyle="1" w:styleId="16">
    <w:name w:val="font11"/>
    <w:basedOn w:val="14"/>
    <w:qFormat/>
    <w:uiPriority w:val="0"/>
    <w:rPr>
      <w:rFonts w:hint="eastAsia" w:ascii="宋体" w:hAnsi="宋体" w:eastAsia="宋体" w:cs="宋体"/>
      <w:color w:val="000000"/>
      <w:sz w:val="21"/>
      <w:szCs w:val="21"/>
      <w:u w:val="none"/>
    </w:rPr>
  </w:style>
  <w:style w:type="character" w:customStyle="1" w:styleId="17">
    <w:name w:val="font12"/>
    <w:basedOn w:val="14"/>
    <w:qFormat/>
    <w:uiPriority w:val="0"/>
    <w:rPr>
      <w:rFonts w:hint="eastAsia" w:ascii="宋体" w:hAnsi="宋体" w:eastAsia="宋体" w:cs="宋体"/>
      <w:color w:val="000000"/>
      <w:sz w:val="21"/>
      <w:szCs w:val="21"/>
      <w:u w:val="none"/>
    </w:rPr>
  </w:style>
  <w:style w:type="character" w:customStyle="1" w:styleId="18">
    <w:name w:val="font61"/>
    <w:basedOn w:val="14"/>
    <w:qFormat/>
    <w:uiPriority w:val="0"/>
    <w:rPr>
      <w:rFonts w:hint="eastAsia" w:ascii="宋体" w:hAnsi="宋体" w:eastAsia="宋体" w:cs="宋体"/>
      <w:color w:val="000000"/>
      <w:sz w:val="21"/>
      <w:szCs w:val="21"/>
      <w:u w:val="none"/>
    </w:rPr>
  </w:style>
  <w:style w:type="character" w:customStyle="1" w:styleId="19">
    <w:name w:val="font51"/>
    <w:basedOn w:val="14"/>
    <w:qFormat/>
    <w:uiPriority w:val="0"/>
    <w:rPr>
      <w:rFonts w:ascii="Calibri" w:hAnsi="Calibri" w:cs="Calibri"/>
      <w:color w:val="000000"/>
      <w:sz w:val="21"/>
      <w:szCs w:val="21"/>
      <w:u w:val="none"/>
    </w:rPr>
  </w:style>
  <w:style w:type="character" w:customStyle="1" w:styleId="20">
    <w:name w:val="font122"/>
    <w:basedOn w:val="14"/>
    <w:qFormat/>
    <w:uiPriority w:val="0"/>
    <w:rPr>
      <w:rFonts w:hint="eastAsia" w:ascii="宋体" w:hAnsi="宋体" w:eastAsia="宋体" w:cs="宋体"/>
      <w:color w:val="000000"/>
      <w:sz w:val="24"/>
      <w:szCs w:val="24"/>
      <w:u w:val="none"/>
      <w:vertAlign w:val="subscript"/>
    </w:rPr>
  </w:style>
  <w:style w:type="character" w:customStyle="1" w:styleId="21">
    <w:name w:val="font31"/>
    <w:basedOn w:val="14"/>
    <w:qFormat/>
    <w:uiPriority w:val="0"/>
    <w:rPr>
      <w:rFonts w:hint="eastAsia" w:ascii="宋体" w:hAnsi="宋体" w:eastAsia="宋体" w:cs="宋体"/>
      <w:color w:val="000000"/>
      <w:sz w:val="24"/>
      <w:szCs w:val="24"/>
      <w:u w:val="none"/>
    </w:rPr>
  </w:style>
  <w:style w:type="character" w:customStyle="1" w:styleId="22">
    <w:name w:val="font71"/>
    <w:basedOn w:val="14"/>
    <w:qFormat/>
    <w:uiPriority w:val="0"/>
    <w:rPr>
      <w:rFonts w:hint="eastAsia" w:ascii="宋体" w:hAnsi="宋体" w:eastAsia="宋体" w:cs="宋体"/>
      <w:color w:val="000000"/>
      <w:sz w:val="21"/>
      <w:szCs w:val="2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1168</Words>
  <Characters>1274</Characters>
  <Lines>0</Lines>
  <Paragraphs>0</Paragraphs>
  <TotalTime>3</TotalTime>
  <ScaleCrop>false</ScaleCrop>
  <LinksUpToDate>false</LinksUpToDate>
  <CharactersWithSpaces>1279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gzry8</cp:lastModifiedBy>
  <dcterms:modified xsi:type="dcterms:W3CDTF">2025-10-29T11:06:41Z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9141ECE8030044A1B394E25CD06AE75E</vt:lpwstr>
  </property>
  <property fmtid="{D5CDD505-2E9C-101B-9397-08002B2CF9AE}" pid="4" name="KSOTemplateDocerSaveRecord">
    <vt:lpwstr>eyJoZGlkIjoiOGJmMDA2NGQyMzZlNjM5MzA0YmFjNTc5NjdkZmMxODQiLCJ1c2VySWQiOiI2NDgxMTQ0NzQifQ==</vt:lpwstr>
  </property>
</Properties>
</file>