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shd w:val="clear" w:color="auto" w:fill="auto"/>
        <w:kinsoku/>
        <w:wordWrap/>
        <w:overflowPunct/>
        <w:topLinePunct w:val="0"/>
        <w:bidi w:val="0"/>
        <w:adjustRightInd w:val="0"/>
        <w:snapToGrid w:val="0"/>
        <w:spacing w:line="360" w:lineRule="auto"/>
        <w:ind w:firstLine="562" w:firstLineChars="200"/>
        <w:jc w:val="center"/>
        <w:textAlignment w:val="auto"/>
        <w:outlineLvl w:val="0"/>
        <w:rPr>
          <w:rFonts w:hint="eastAsia" w:hAnsi="宋体" w:eastAsia="宋体" w:cs="宋体"/>
          <w:b/>
          <w:color w:val="000000" w:themeColor="text1"/>
          <w:sz w:val="28"/>
          <w:szCs w:val="28"/>
          <w:highlight w:val="none"/>
          <w:lang w:val="en-US" w:eastAsia="zh-CN"/>
          <w14:textFill>
            <w14:solidFill>
              <w14:schemeClr w14:val="tx1"/>
            </w14:solidFill>
          </w14:textFill>
        </w:rPr>
      </w:pPr>
      <w:bookmarkStart w:id="0" w:name="_Toc8445"/>
      <w:r>
        <w:rPr>
          <w:rFonts w:hint="eastAsia" w:hAnsi="宋体" w:cs="宋体"/>
          <w:b/>
          <w:bCs/>
          <w:snapToGrid w:val="0"/>
          <w:color w:val="000000" w:themeColor="text1"/>
          <w:kern w:val="0"/>
          <w:sz w:val="28"/>
          <w:szCs w:val="28"/>
          <w:highlight w:val="none"/>
          <w:u w:val="none"/>
          <w:lang w:val="en-US" w:eastAsia="zh-CN"/>
          <w14:textFill>
            <w14:solidFill>
              <w14:schemeClr w14:val="tx1"/>
            </w14:solidFill>
          </w14:textFill>
        </w:rPr>
        <w:t>项目</w:t>
      </w:r>
      <w:r>
        <w:rPr>
          <w:rFonts w:hint="eastAsia" w:ascii="宋体" w:hAnsi="宋体" w:eastAsia="宋体" w:cs="宋体"/>
          <w:b/>
          <w:bCs/>
          <w:snapToGrid w:val="0"/>
          <w:color w:val="000000" w:themeColor="text1"/>
          <w:kern w:val="0"/>
          <w:sz w:val="28"/>
          <w:szCs w:val="28"/>
          <w:highlight w:val="none"/>
          <w:u w:val="none"/>
          <w:lang w:val="en-US" w:eastAsia="zh-CN"/>
          <w14:textFill>
            <w14:solidFill>
              <w14:schemeClr w14:val="tx1"/>
            </w14:solidFill>
          </w14:textFill>
        </w:rPr>
        <w:t>名称：</w:t>
      </w:r>
      <w:r>
        <w:rPr>
          <w:rFonts w:hint="eastAsia" w:asciiTheme="minorEastAsia" w:hAnsiTheme="minorEastAsia" w:cstheme="minorEastAsia"/>
          <w:b/>
          <w:bCs/>
          <w:snapToGrid w:val="0"/>
          <w:color w:val="000000" w:themeColor="text1"/>
          <w:sz w:val="28"/>
          <w:szCs w:val="28"/>
          <w:u w:val="single"/>
          <w:lang w:eastAsia="zh-CN"/>
          <w14:textFill>
            <w14:solidFill>
              <w14:schemeClr w14:val="tx1"/>
            </w14:solidFill>
          </w14:textFill>
        </w:rPr>
        <w:t>广州海珠站配套220千伏线路工程（隧道土建部分）</w:t>
      </w:r>
      <w:r>
        <w:rPr>
          <w:rFonts w:hint="eastAsia" w:asciiTheme="minorEastAsia" w:hAnsiTheme="minorEastAsia" w:cstheme="minorEastAsia"/>
          <w:b/>
          <w:bCs/>
          <w:snapToGrid w:val="0"/>
          <w:color w:val="000000" w:themeColor="text1"/>
          <w:sz w:val="28"/>
          <w:szCs w:val="28"/>
          <w:u w:val="single"/>
          <w:lang w:val="en-US" w:eastAsia="zh-CN"/>
          <w14:textFill>
            <w14:solidFill>
              <w14:schemeClr w14:val="tx1"/>
            </w14:solidFill>
          </w14:textFill>
        </w:rPr>
        <w:t>施工</w:t>
      </w:r>
    </w:p>
    <w:tbl>
      <w:tblPr>
        <w:tblStyle w:val="13"/>
        <w:tblW w:w="7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4"/>
                <w:szCs w:val="24"/>
                <w:highlight w:val="none"/>
                <w:u w:val="none"/>
                <w:vertAlign w:val="baseline"/>
                <w:lang w:val="en-US" w:eastAsia="zh-CN"/>
                <w14:textFill>
                  <w14:solidFill>
                    <w14:schemeClr w14:val="tx1"/>
                  </w14:solidFill>
                </w14:textFill>
              </w:rPr>
              <w:t>序号</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4"/>
                <w:szCs w:val="24"/>
                <w:highlight w:val="none"/>
                <w:u w:val="none"/>
                <w:vertAlign w:val="baseline"/>
                <w:lang w:val="en-US" w:eastAsia="zh-CN"/>
                <w14:textFill>
                  <w14:solidFill>
                    <w14:schemeClr w14:val="tx1"/>
                  </w14:solidFill>
                </w14:textFill>
              </w:rPr>
              <w:t>文件名称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sz w:val="24"/>
                <w:szCs w:val="24"/>
                <w:highlight w:val="none"/>
                <w:u w:val="none"/>
                <w14:textFill>
                  <w14:solidFill>
                    <w14:schemeClr w14:val="tx1"/>
                  </w14:solidFill>
                </w14:textFill>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1</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可研批复文号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u w:val="none"/>
                <w:vertAlign w:val="baseline"/>
                <w:lang w:val="en-US" w:eastAsia="zh-CN"/>
                <w14:textFill>
                  <w14:solidFill>
                    <w14:schemeClr w14:val="tx1"/>
                  </w14:solidFill>
                </w14:textFill>
              </w:rPr>
              <w:t>广供电基〔2025〕26号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2</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项目</w:t>
            </w:r>
            <w:r>
              <w:rPr>
                <w:rFonts w:hint="eastAsia"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核准、</w:t>
            </w: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备案文号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000000" w:themeColor="text1"/>
                <w:kern w:val="0"/>
                <w:sz w:val="24"/>
                <w:szCs w:val="24"/>
                <w:highlight w:val="none"/>
                <w:u w:val="none"/>
                <w:vertAlign w:val="baseline"/>
                <w:lang w:val="en-US" w:eastAsia="zh-CN"/>
                <w14:textFill>
                  <w14:solidFill>
                    <w14:schemeClr w14:val="tx1"/>
                  </w14:solidFill>
                </w14:textFill>
              </w:rPr>
            </w:pPr>
            <w:r>
              <w:rPr>
                <w:rFonts w:hint="eastAsia" w:ascii="宋体" w:hAnsi="宋体" w:eastAsia="宋体" w:cs="宋体"/>
                <w:b w:val="0"/>
                <w:bCs w:val="0"/>
                <w:snapToGrid w:val="0"/>
                <w:color w:val="000000" w:themeColor="text1"/>
                <w:kern w:val="0"/>
                <w:sz w:val="24"/>
                <w:szCs w:val="24"/>
                <w:highlight w:val="none"/>
                <w:u w:val="none"/>
                <w:vertAlign w:val="baseline"/>
                <w:lang w:val="en-US" w:eastAsia="zh-CN"/>
                <w14:textFill>
                  <w14:solidFill>
                    <w14:schemeClr w14:val="tx1"/>
                  </w14:solidFill>
                </w14:textFill>
              </w:rPr>
              <w:t>穗发改核准〔2025〕</w:t>
            </w:r>
            <w:r>
              <w:rPr>
                <w:rFonts w:hint="eastAsia" w:hAnsi="宋体" w:eastAsia="宋体" w:cs="宋体"/>
                <w:b w:val="0"/>
                <w:bCs w:val="0"/>
                <w:snapToGrid w:val="0"/>
                <w:color w:val="000000" w:themeColor="text1"/>
                <w:kern w:val="0"/>
                <w:sz w:val="24"/>
                <w:szCs w:val="24"/>
                <w:highlight w:val="none"/>
                <w:u w:val="none"/>
                <w:vertAlign w:val="baseline"/>
                <w:lang w:val="en-US" w:eastAsia="zh-CN"/>
                <w14:textFill>
                  <w14:solidFill>
                    <w14:schemeClr w14:val="tx1"/>
                  </w14:solidFill>
                </w14:textFill>
              </w:rPr>
              <w:t>10</w:t>
            </w:r>
            <w:r>
              <w:rPr>
                <w:rFonts w:hint="eastAsia" w:ascii="宋体" w:hAnsi="宋体" w:eastAsia="宋体" w:cs="宋体"/>
                <w:b w:val="0"/>
                <w:bCs w:val="0"/>
                <w:snapToGrid w:val="0"/>
                <w:color w:val="000000" w:themeColor="text1"/>
                <w:kern w:val="0"/>
                <w:sz w:val="24"/>
                <w:szCs w:val="24"/>
                <w:highlight w:val="none"/>
                <w:u w:val="none"/>
                <w:vertAlign w:val="baseline"/>
                <w:lang w:val="en-US" w:eastAsia="zh-CN"/>
                <w14:textFill>
                  <w14:solidFill>
                    <w14:schemeClr w14:val="tx1"/>
                  </w14:solidFill>
                </w14:textFill>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3</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初设批复文号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pPr>
            <w:r>
              <w:rPr>
                <w:rFonts w:hint="default"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t>广供电基〔2025〕101号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4</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资金落实情况</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pPr>
            <w:r>
              <w:rPr>
                <w:rFonts w:hint="default"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t>广电规〔2025〕</w:t>
            </w:r>
            <w:r>
              <w:rPr>
                <w:rFonts w:hint="eastAsia" w:asciiTheme="minorEastAsia" w:hAnsi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t>26</w:t>
            </w:r>
            <w:r>
              <w:rPr>
                <w:rFonts w:hint="default"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5</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施工图预算批复文号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6</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项目建设单位</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14:textFill>
                  <w14:solidFill>
                    <w14:schemeClr w14:val="tx1"/>
                  </w14:solidFill>
                </w14:textFill>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7</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项目建设地点</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sz w:val="24"/>
                <w:szCs w:val="24"/>
                <w14:textFill>
                  <w14:solidFill>
                    <w14:schemeClr w14:val="tx1"/>
                  </w14:solidFill>
                </w14:textFill>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hAnsi="宋体" w:cs="宋体"/>
                <w:b/>
                <w:bCs/>
                <w:snapToGrid w:val="0"/>
                <w:color w:val="000000" w:themeColor="text1"/>
                <w:kern w:val="0"/>
                <w:sz w:val="21"/>
                <w:szCs w:val="21"/>
                <w:highlight w:val="none"/>
                <w:u w:val="none"/>
                <w:vertAlign w:val="baseline"/>
                <w:lang w:val="en-US" w:eastAsia="zh-CN"/>
                <w14:textFill>
                  <w14:solidFill>
                    <w14:schemeClr w14:val="tx1"/>
                  </w14:solidFill>
                </w14:textFill>
              </w:rPr>
              <w:t>8</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前期的设计或咨询服务单位名称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snapToGrid w:val="0"/>
                <w:color w:val="000000" w:themeColor="text1"/>
                <w:kern w:val="0"/>
                <w:sz w:val="24"/>
                <w:szCs w:val="24"/>
                <w:highlight w:val="none"/>
                <w:u w:val="none"/>
                <w:vertAlign w:val="baseline"/>
                <w:lang w:val="en-US" w:eastAsia="zh-CN" w:bidi="ar-SA"/>
                <w14:textFill>
                  <w14:solidFill>
                    <w14:schemeClr w14:val="tx1"/>
                  </w14:solidFill>
                </w14:textFill>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hAnsi="宋体" w:cs="宋体"/>
                <w:b/>
                <w:bCs/>
                <w:snapToGrid w:val="0"/>
                <w:color w:val="000000" w:themeColor="text1"/>
                <w:kern w:val="0"/>
                <w:sz w:val="21"/>
                <w:szCs w:val="21"/>
                <w:highlight w:val="none"/>
                <w:u w:val="none"/>
                <w:vertAlign w:val="baseline"/>
                <w:lang w:val="en-US" w:eastAsia="zh-CN"/>
                <w14:textFill>
                  <w14:solidFill>
                    <w14:schemeClr w14:val="tx1"/>
                  </w14:solidFill>
                </w14:textFill>
              </w:rPr>
              <w:t>9</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ascii="宋体" w:hAnsi="宋体" w:eastAsia="宋体" w:cs="宋体"/>
                <w:b/>
                <w:bCs/>
                <w:snapToGrid w:val="0"/>
                <w:color w:val="000000" w:themeColor="text1"/>
                <w:kern w:val="0"/>
                <w:sz w:val="21"/>
                <w:szCs w:val="21"/>
                <w:highlight w:val="none"/>
                <w:u w:val="none"/>
                <w:vertAlign w:val="baseline"/>
                <w:lang w:val="en-US" w:eastAsia="zh-CN"/>
                <w14:textFill>
                  <w14:solidFill>
                    <w14:schemeClr w14:val="tx1"/>
                  </w14:solidFill>
                </w14:textFill>
              </w:rPr>
              <w:t>项目监理单位</w:t>
            </w:r>
          </w:p>
        </w:tc>
        <w:tc>
          <w:tcPr>
            <w:tcW w:w="3870" w:type="dxa"/>
            <w:vAlign w:val="center"/>
          </w:tcPr>
          <w:p>
            <w:pPr>
              <w:pStyle w:val="9"/>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pPr>
            <w:r>
              <w:rPr>
                <w:rFonts w:hint="eastAsia" w:hAnsi="宋体" w:eastAsia="宋体" w:cs="宋体"/>
                <w:b w:val="0"/>
                <w:bCs w:val="0"/>
                <w:snapToGrid w:val="0"/>
                <w:color w:val="000000" w:themeColor="text1"/>
                <w:kern w:val="0"/>
                <w:sz w:val="21"/>
                <w:szCs w:val="21"/>
                <w:highlight w:val="none"/>
                <w:u w:val="none"/>
                <w:vertAlign w:val="baseline"/>
                <w:lang w:val="en-US" w:eastAsia="zh-CN"/>
                <w14:textFill>
                  <w14:solidFill>
                    <w14:schemeClr w14:val="tx1"/>
                  </w14:solidFill>
                </w14:textFill>
              </w:rPr>
              <w:t>-</w:t>
            </w:r>
          </w:p>
        </w:tc>
      </w:tr>
    </w:tbl>
    <w:p>
      <w:pPr>
        <w:pStyle w:val="9"/>
        <w:keepNext w:val="0"/>
        <w:keepLines w:val="0"/>
        <w:pageBreakBefore w:val="0"/>
        <w:shd w:val="clear" w:color="auto" w:fill="auto"/>
        <w:kinsoku/>
        <w:wordWrap/>
        <w:overflowPunct/>
        <w:topLinePunct w:val="0"/>
        <w:bidi w:val="0"/>
        <w:adjustRightInd w:val="0"/>
        <w:snapToGrid w:val="0"/>
        <w:spacing w:line="360" w:lineRule="auto"/>
        <w:ind w:firstLine="422" w:firstLineChars="200"/>
        <w:jc w:val="center"/>
        <w:textAlignment w:val="auto"/>
        <w:outlineLvl w:val="0"/>
        <w:rPr>
          <w:rFonts w:hint="default" w:hAnsi="宋体" w:cs="宋体"/>
          <w:b/>
          <w:color w:val="000000" w:themeColor="text1"/>
          <w:sz w:val="21"/>
          <w:szCs w:val="21"/>
          <w:highlight w:val="none"/>
          <w:lang w:val="en-US" w:eastAsia="zh-CN"/>
          <w14:textFill>
            <w14:solidFill>
              <w14:schemeClr w14:val="tx1"/>
            </w14:solidFill>
          </w14:textFill>
        </w:rPr>
      </w:pPr>
    </w:p>
    <w:bookmarkEnd w:id="0"/>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000000" w:themeColor="text1"/>
          <w:sz w:val="24"/>
          <w:szCs w:val="24"/>
          <w:highlight w:val="none"/>
          <w:lang w:val="en-US" w:eastAsia="zh-CN"/>
          <w14:textFill>
            <w14:solidFill>
              <w14:schemeClr w14:val="tx1"/>
            </w14:solidFill>
          </w14:textFill>
        </w:rPr>
      </w:pPr>
      <w:r>
        <w:rPr>
          <w:rFonts w:hint="eastAsia" w:hAnsi="宋体" w:eastAsia="宋体" w:cs="宋体"/>
          <w:b/>
          <w:color w:val="000000" w:themeColor="text1"/>
          <w:sz w:val="24"/>
          <w:szCs w:val="24"/>
          <w:highlight w:val="none"/>
          <w:lang w:val="en-US" w:eastAsia="zh-CN"/>
          <w14:textFill>
            <w14:solidFill>
              <w14:schemeClr w14:val="tx1"/>
            </w14:solidFill>
          </w14:textFill>
        </w:rPr>
        <w:t>建设规模</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※电缆隧道部分</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cstheme="minorEastAsia"/>
          <w:bCs/>
          <w:color w:val="000000" w:themeColor="text1"/>
          <w:sz w:val="21"/>
          <w:szCs w:val="21"/>
          <w:highlight w:val="none"/>
          <w:lang w:val="en-US" w:eastAsia="zh-CN"/>
          <w14:textFill>
            <w14:solidFill>
              <w14:schemeClr w14:val="tx1"/>
            </w14:solidFill>
          </w14:textFill>
        </w:rPr>
      </w:pPr>
      <w:r>
        <w:rPr>
          <w:rFonts w:hint="eastAsia" w:asciiTheme="minorEastAsia" w:hAnsiTheme="minorEastAsia" w:cstheme="minorEastAsia"/>
          <w:bCs/>
          <w:color w:val="000000" w:themeColor="text1"/>
          <w:sz w:val="21"/>
          <w:szCs w:val="21"/>
          <w:highlight w:val="none"/>
          <w:lang w:val="en-US" w:eastAsia="zh-CN"/>
          <w14:textFill>
            <w14:solidFill>
              <w14:schemeClr w14:val="tx1"/>
            </w14:solidFill>
          </w14:textFill>
        </w:rPr>
        <w:t>电缆隧道工程（不含风水电部分）：500kV广州海珠站配套220千伏线路工程新建电力隧道，位于广州市海珠区官洲街道，起点为500kV海珠站、终点已建的棠琶5号井。电缆隧道管容2回500kV和20回220kV电缆,长约1.151km（含工作井），其中新建盾构隧道区间长约600m（内径6.0m），明挖隧道区间全长约551m；本标段不含风水电部分。</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000000" w:themeColor="text1"/>
          <w:sz w:val="21"/>
          <w:szCs w:val="21"/>
          <w:highlight w:val="none"/>
          <w:u w:val="single"/>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u w:val="single"/>
          <w14:textFill>
            <w14:solidFill>
              <w14:schemeClr w14:val="tx1"/>
            </w14:solidFill>
          </w14:textFill>
        </w:rPr>
        <w:t>注：具体建设规模以施工图纸为准。</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采购范围</w:t>
      </w:r>
      <w:bookmarkStart w:id="1" w:name="施工招标范围综合"/>
    </w:p>
    <w:bookmarkEnd w:id="1"/>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22" w:firstLineChars="200"/>
        <w:jc w:val="both"/>
        <w:textAlignment w:val="auto"/>
        <w:outlineLvl w:val="9"/>
        <w:rPr>
          <w:rFonts w:hint="eastAsia" w:asciiTheme="minorEastAsia" w:hAnsiTheme="minorEastAsia" w:eastAsiaTheme="minorEastAsia" w:cstheme="minorEastAsia"/>
          <w:b w:val="0"/>
          <w:bCs w:val="0"/>
          <w:color w:val="000000" w:themeColor="text1"/>
          <w:sz w:val="21"/>
          <w:szCs w:val="21"/>
          <w:highlight w:val="none"/>
          <w:u w:val="singl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包括施工图范围内的建筑、安装及调试工程。施工图范围内的下列工作内容，无□及</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fldChar w:fldCharType="begin"/>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instrText xml:space="preserve"> EQ \o\ac(</w:instrText>
      </w:r>
      <w:r>
        <w:rPr>
          <w:rFonts w:hint="eastAsia" w:asciiTheme="minorEastAsia" w:hAnsiTheme="minorEastAsia" w:eastAsiaTheme="minorEastAsia" w:cstheme="minorEastAsia"/>
          <w:b/>
          <w:bCs/>
          <w:color w:val="000000" w:themeColor="text1"/>
          <w:position w:val="-4"/>
          <w:sz w:val="31"/>
          <w:szCs w:val="21"/>
          <w:highlight w:val="none"/>
          <w:lang w:val="en-US" w:eastAsia="zh-CN"/>
          <w14:textFill>
            <w14:solidFill>
              <w14:schemeClr w14:val="tx1"/>
            </w14:solidFill>
          </w14:textFill>
        </w:rPr>
        <w:instrText xml:space="preserve">□</w:instrText>
      </w:r>
      <w:r>
        <w:rPr>
          <w:rFonts w:hint="eastAsia" w:asciiTheme="minorEastAsia" w:hAnsiTheme="minorEastAsia" w:eastAsiaTheme="minorEastAsia" w:cstheme="minorEastAsia"/>
          <w:b/>
          <w:bCs/>
          <w:color w:val="000000" w:themeColor="text1"/>
          <w:position w:val="0"/>
          <w:sz w:val="21"/>
          <w:szCs w:val="21"/>
          <w:highlight w:val="none"/>
          <w:lang w:val="en-US" w:eastAsia="zh-CN"/>
          <w14:textFill>
            <w14:solidFill>
              <w14:schemeClr w14:val="tx1"/>
            </w14:solidFill>
          </w14:textFill>
        </w:rPr>
        <w:instrText xml:space="preserve">,√)</w:instrTex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fldChar w:fldCharType="end"/>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的为本次范围；□未打√的，不在本次范围内，特殊情况在“其他”中说明。</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电缆隧道部分：</w:t>
      </w:r>
    </w:p>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包括施工图纸范围内的隧道建筑及结构，隧道内电缆支架制作安装，包含施工监测、道路破除及修复、周边加固及保护、交通疏解、临时供水、临时供电、管线迁改等。不含隧道内征地及青赔，管线迁改等。管线迁改、道路修复、交通疏解实施工作，按实际工程量并计取中标下浮率进行结算</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承包方式</w:t>
      </w:r>
    </w:p>
    <w:p>
      <w:pPr>
        <w:pStyle w:val="9"/>
        <w:keepNext w:val="0"/>
        <w:keepLines w:val="0"/>
        <w:pageBreakBefore w:val="0"/>
        <w:widowControl w:val="0"/>
        <w:kinsoku/>
        <w:wordWrap/>
        <w:overflowPunct/>
        <w:topLinePunct w:val="0"/>
        <w:bidi w:val="0"/>
        <w:spacing w:line="480" w:lineRule="exact"/>
        <w:ind w:firstLine="422" w:firstLineChars="200"/>
        <w:jc w:val="left"/>
        <w:textAlignment w:val="auto"/>
        <w:outlineLvl w:val="9"/>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包工、部分包料，施工图纸范围内如有下列设备、材料，无□及</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fldChar w:fldCharType="begin"/>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instrText xml:space="preserve"> EQ \o\ac(</w:instrText>
      </w:r>
      <w:r>
        <w:rPr>
          <w:rFonts w:hint="eastAsia" w:asciiTheme="minorEastAsia" w:hAnsiTheme="minorEastAsia" w:eastAsiaTheme="minorEastAsia" w:cstheme="minorEastAsia"/>
          <w:b/>
          <w:bCs/>
          <w:color w:val="000000" w:themeColor="text1"/>
          <w:position w:val="-4"/>
          <w:sz w:val="31"/>
          <w:szCs w:val="21"/>
          <w:highlight w:val="none"/>
          <w:lang w:val="en-US" w:eastAsia="zh-CN"/>
          <w14:textFill>
            <w14:solidFill>
              <w14:schemeClr w14:val="tx1"/>
            </w14:solidFill>
          </w14:textFill>
        </w:rPr>
        <w:instrText xml:space="preserve">□</w:instrText>
      </w:r>
      <w:r>
        <w:rPr>
          <w:rFonts w:hint="eastAsia" w:asciiTheme="minorEastAsia" w:hAnsiTheme="minorEastAsia" w:eastAsiaTheme="minorEastAsia" w:cstheme="minorEastAsia"/>
          <w:b/>
          <w:bCs/>
          <w:color w:val="000000" w:themeColor="text1"/>
          <w:position w:val="0"/>
          <w:sz w:val="21"/>
          <w:szCs w:val="21"/>
          <w:highlight w:val="none"/>
          <w:lang w:val="en-US" w:eastAsia="zh-CN"/>
          <w14:textFill>
            <w14:solidFill>
              <w14:schemeClr w14:val="tx1"/>
            </w14:solidFill>
          </w14:textFill>
        </w:rPr>
        <w:instrText xml:space="preserve">,√)</w:instrTex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fldChar w:fldCharType="end"/>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的为甲供，□未打√的及不在下列的为乙供。建设单位根据最新的南方电网公司和广州供电局有限公司物资集中采购目录文件提供相应物资，目录外的设备、材料采购由中标人负责，本项目</w:t>
      </w:r>
      <w:r>
        <w:rPr>
          <w:rFonts w:hint="eastAsia" w:asciiTheme="minorEastAsia" w:hAnsiTheme="minorEastAsia" w:cstheme="minorEastAsia"/>
          <w:b/>
          <w:bCs/>
          <w:color w:val="000000" w:themeColor="text1"/>
          <w:sz w:val="21"/>
          <w:szCs w:val="21"/>
          <w:highlight w:val="none"/>
          <w:lang w:val="en-US" w:eastAsia="zh-CN"/>
          <w14:textFill>
            <w14:solidFill>
              <w14:schemeClr w14:val="tx1"/>
            </w14:solidFill>
          </w14:textFill>
        </w:rPr>
        <w:t>正式合同价</w:t>
      </w:r>
      <w:r>
        <w:rPr>
          <w:rFonts w:hint="eastAsia" w:asciiTheme="minorEastAsia" w:hAnsiTheme="minorEastAsia" w:eastAsiaTheme="minorEastAsia" w:cstheme="minorEastAsia"/>
          <w:b/>
          <w:bCs/>
          <w:color w:val="000000" w:themeColor="text1"/>
          <w:sz w:val="21"/>
          <w:szCs w:val="21"/>
          <w:highlight w:val="none"/>
          <w:lang w:val="en-US" w:eastAsia="zh-CN"/>
          <w14:textFill>
            <w14:solidFill>
              <w14:schemeClr w14:val="tx1"/>
            </w14:solidFill>
          </w14:textFill>
        </w:rPr>
        <w:t>实际甲供物资以《甲供设备材料明细表》为准。若在项目建设过程中网省公司或局物资集中采购目录文件有更新，则按新的文件执行，同时由建设单位以书面或签证形式，重新明确调整后的甲乙供范围，作为结算依据。</w:t>
      </w:r>
    </w:p>
    <w:p>
      <w:pPr>
        <w:keepNext w:val="0"/>
        <w:keepLines w:val="0"/>
        <w:pageBreakBefore w:val="0"/>
        <w:kinsoku/>
        <w:wordWrap/>
        <w:overflowPunct/>
        <w:topLinePunct w:val="0"/>
        <w:autoSpaceDE w:val="0"/>
        <w:autoSpaceDN w:val="0"/>
        <w:bidi w:val="0"/>
        <w:adjustRightInd w:val="0"/>
        <w:snapToGrid/>
        <w:spacing w:line="360" w:lineRule="auto"/>
        <w:ind w:firstLine="422" w:firstLineChars="200"/>
        <w:jc w:val="left"/>
        <w:textAlignment w:val="auto"/>
        <w:outlineLvl w:val="9"/>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※电缆隧道部分：建设单位提供部分设备及材料:无。</w:t>
      </w:r>
    </w:p>
    <w:p>
      <w:pPr>
        <w:pStyle w:val="9"/>
        <w:keepNext w:val="0"/>
        <w:keepLines w:val="0"/>
        <w:pageBreakBefore w:val="0"/>
        <w:widowControl w:val="0"/>
        <w:kinsoku/>
        <w:wordWrap/>
        <w:overflowPunct/>
        <w:topLinePunct w:val="0"/>
        <w:bidi w:val="0"/>
        <w:spacing w:line="480" w:lineRule="exact"/>
        <w:textAlignment w:val="auto"/>
        <w:rPr>
          <w:rFonts w:hint="eastAsia" w:eastAsia="宋体"/>
          <w:color w:val="000000" w:themeColor="text1"/>
          <w:sz w:val="21"/>
          <w:szCs w:val="21"/>
          <w:highlight w:val="none"/>
          <w:lang w:val="en-US" w:eastAsia="zh-CN"/>
          <w14:textFill>
            <w14:solidFill>
              <w14:schemeClr w14:val="tx1"/>
            </w14:solidFill>
          </w14:textFill>
        </w:rPr>
      </w:pPr>
      <w:r>
        <w:rPr>
          <w:rFonts w:hint="eastAsia" w:ascii="宋体" w:hAnsi="宋体" w:cs="宋体"/>
          <w:b/>
          <w:bCs/>
          <w:snapToGrid w:val="0"/>
          <w:color w:val="000000" w:themeColor="text1"/>
          <w:kern w:val="0"/>
          <w:sz w:val="21"/>
          <w:szCs w:val="21"/>
          <w:highlight w:val="none"/>
          <w:u w:val="none"/>
          <w:lang w:val="en-US" w:eastAsia="zh-CN"/>
          <w14:textFill>
            <w14:solidFill>
              <w14:schemeClr w14:val="tx1"/>
            </w14:solidFill>
          </w14:textFill>
        </w:rPr>
        <w:t>注：建设单位提供的设备、材料以正式合同价提供的《甲供设备材料明细表》为准</w:t>
      </w:r>
      <w:r>
        <w:rPr>
          <w:rFonts w:hint="eastAsia" w:eastAsia="宋体"/>
          <w:color w:val="000000" w:themeColor="text1"/>
          <w:sz w:val="21"/>
          <w:szCs w:val="21"/>
          <w:highlight w:val="none"/>
          <w:lang w:val="en-US" w:eastAsia="zh-CN"/>
          <w14:textFill>
            <w14:solidFill>
              <w14:schemeClr w14:val="tx1"/>
            </w14:solidFill>
          </w14:textFill>
        </w:rPr>
        <w:t>。</w:t>
      </w:r>
    </w:p>
    <w:p>
      <w:pPr>
        <w:rPr>
          <w:rFonts w:hint="eastAsia" w:asciiTheme="minorEastAsia" w:hAnsiTheme="minorEastAsia" w:eastAsiaTheme="minorEastAsia" w:cstheme="minorEastAsia"/>
          <w:b w:val="0"/>
          <w:bCs w:val="0"/>
          <w:color w:val="000000" w:themeColor="text1"/>
          <w:kern w:val="2"/>
          <w:sz w:val="24"/>
          <w:szCs w:val="24"/>
          <w:highlight w:val="none"/>
          <w:u w:val="single"/>
          <w:lang w:val="en-US" w:eastAsia="zh-CN" w:bidi="ar-SA"/>
          <w14:textFill>
            <w14:solidFill>
              <w14:schemeClr w14:val="tx1"/>
            </w14:solidFill>
          </w14:textFill>
        </w:rPr>
      </w:pP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2813B"/>
    <w:multiLevelType w:val="multilevel"/>
    <w:tmpl w:val="EDA2813B"/>
    <w:lvl w:ilvl="0" w:tentative="0">
      <w:start w:val="1"/>
      <w:numFmt w:val="decimal"/>
      <w:lvlText w:val="%1"/>
      <w:lvlJc w:val="left"/>
      <w:pPr>
        <w:ind w:left="432" w:hanging="432"/>
      </w:pPr>
      <w:rPr>
        <w:rFonts w:hint="eastAsia" w:ascii="Times New Roman" w:hAnsi="Times New Roman" w:cs="Times New Roman"/>
        <w:b w:val="0"/>
        <w:i w:val="0"/>
        <w:iCs w:val="0"/>
        <w:caps w:val="0"/>
        <w:smallCaps w:val="0"/>
        <w:strike w:val="0"/>
        <w:dstrike w:val="0"/>
        <w:vanish w:val="0"/>
        <w:spacing w:val="0"/>
        <w:position w:val="0"/>
        <w:u w:val="none"/>
        <w:vertAlign w:val="baseline"/>
      </w:rPr>
    </w:lvl>
    <w:lvl w:ilvl="1" w:tentative="0">
      <w:start w:val="1"/>
      <w:numFmt w:val="decimal"/>
      <w:lvlText w:val="%1.%2 "/>
      <w:lvlJc w:val="left"/>
      <w:pPr>
        <w:ind w:left="576" w:hanging="576"/>
      </w:pPr>
      <w:rPr>
        <w:rFonts w:hint="eastAsia" w:ascii="Times New Roman" w:hAnsi="Times New Roman" w:cs="Times New Roman"/>
        <w:b/>
        <w:i w:val="0"/>
        <w:iCs w:val="0"/>
        <w:caps w:val="0"/>
        <w:smallCaps w:val="0"/>
        <w:strike w:val="0"/>
        <w:dstrike w:val="0"/>
        <w:vanish w:val="0"/>
        <w:spacing w:val="0"/>
        <w:kern w:val="0"/>
        <w:position w:val="0"/>
        <w:u w:val="none"/>
        <w:vertAlign w:val="baseline"/>
      </w:rPr>
    </w:lvl>
    <w:lvl w:ilvl="2" w:tentative="0">
      <w:start w:val="1"/>
      <w:numFmt w:val="decimal"/>
      <w:lvlText w:val="%1.%2.%3 "/>
      <w:lvlJc w:val="left"/>
      <w:pPr>
        <w:ind w:left="1440" w:hanging="1440"/>
      </w:pPr>
      <w:rPr>
        <w:rFonts w:hint="default" w:ascii="Times New Roman" w:hAnsi="Times New Roman" w:cs="Times New Roman"/>
        <w:sz w:val="24"/>
        <w:szCs w:val="24"/>
      </w:rPr>
    </w:lvl>
    <w:lvl w:ilvl="3" w:tentative="0">
      <w:start w:val="1"/>
      <w:numFmt w:val="decimal"/>
      <w:pStyle w:val="6"/>
      <w:lvlText w:val="%1.%2.%3.%4 "/>
      <w:lvlJc w:val="left"/>
      <w:pPr>
        <w:ind w:left="1715" w:hanging="864"/>
      </w:pPr>
      <w:rPr>
        <w:rFonts w:hint="default" w:ascii="Times New Roman" w:hAnsi="Times New Roman" w:cs="Times New Roman"/>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b/>
        <w:bCs/>
        <w:color w:val="auto"/>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MDY5ZGVlYjdhMTRlZGI2M2RhZDEwNzJjMmZkZTIifQ=="/>
  </w:docVars>
  <w:rsids>
    <w:rsidRoot w:val="740D71D5"/>
    <w:rsid w:val="0109277B"/>
    <w:rsid w:val="036208AE"/>
    <w:rsid w:val="039424ED"/>
    <w:rsid w:val="054A2620"/>
    <w:rsid w:val="062C0A5B"/>
    <w:rsid w:val="071B3875"/>
    <w:rsid w:val="077057CE"/>
    <w:rsid w:val="08001F60"/>
    <w:rsid w:val="09676CF8"/>
    <w:rsid w:val="09790D9C"/>
    <w:rsid w:val="09D43B87"/>
    <w:rsid w:val="0B2F6C65"/>
    <w:rsid w:val="0C670CE7"/>
    <w:rsid w:val="0C9B7B0B"/>
    <w:rsid w:val="0D153780"/>
    <w:rsid w:val="0DAB15E2"/>
    <w:rsid w:val="0DB75190"/>
    <w:rsid w:val="0FB13319"/>
    <w:rsid w:val="10826080"/>
    <w:rsid w:val="110034DB"/>
    <w:rsid w:val="113A0F19"/>
    <w:rsid w:val="120A46B1"/>
    <w:rsid w:val="12331667"/>
    <w:rsid w:val="13166EC3"/>
    <w:rsid w:val="13186C6C"/>
    <w:rsid w:val="137F0EAC"/>
    <w:rsid w:val="13AB57C5"/>
    <w:rsid w:val="14EF7AC7"/>
    <w:rsid w:val="1576177E"/>
    <w:rsid w:val="15CE07BC"/>
    <w:rsid w:val="15D62BE2"/>
    <w:rsid w:val="163C61B2"/>
    <w:rsid w:val="167D7355"/>
    <w:rsid w:val="16C005E1"/>
    <w:rsid w:val="16E60230"/>
    <w:rsid w:val="18104D20"/>
    <w:rsid w:val="1D7D0B48"/>
    <w:rsid w:val="1D8F4B51"/>
    <w:rsid w:val="1E1B62F5"/>
    <w:rsid w:val="1FE37E5F"/>
    <w:rsid w:val="21592EC3"/>
    <w:rsid w:val="21B60804"/>
    <w:rsid w:val="22234D1E"/>
    <w:rsid w:val="225F335D"/>
    <w:rsid w:val="226C006B"/>
    <w:rsid w:val="22906A51"/>
    <w:rsid w:val="23333912"/>
    <w:rsid w:val="24DD0910"/>
    <w:rsid w:val="24F81F57"/>
    <w:rsid w:val="255F233B"/>
    <w:rsid w:val="25B05051"/>
    <w:rsid w:val="27337CE7"/>
    <w:rsid w:val="28757DED"/>
    <w:rsid w:val="29576DD3"/>
    <w:rsid w:val="2AF6240B"/>
    <w:rsid w:val="2B3C44D5"/>
    <w:rsid w:val="2BC145A9"/>
    <w:rsid w:val="2BC87E6A"/>
    <w:rsid w:val="2BD829FE"/>
    <w:rsid w:val="2D2B2AA3"/>
    <w:rsid w:val="2D9C7339"/>
    <w:rsid w:val="2E326D00"/>
    <w:rsid w:val="2E3C6EAB"/>
    <w:rsid w:val="2E932876"/>
    <w:rsid w:val="2E9642AB"/>
    <w:rsid w:val="30D320BD"/>
    <w:rsid w:val="31432160"/>
    <w:rsid w:val="318F66BE"/>
    <w:rsid w:val="323A1F14"/>
    <w:rsid w:val="344A3184"/>
    <w:rsid w:val="34644A0D"/>
    <w:rsid w:val="35613C72"/>
    <w:rsid w:val="35A85D44"/>
    <w:rsid w:val="37635404"/>
    <w:rsid w:val="389D3EE3"/>
    <w:rsid w:val="38A21B1B"/>
    <w:rsid w:val="38C03BB6"/>
    <w:rsid w:val="39684EB4"/>
    <w:rsid w:val="39F710DF"/>
    <w:rsid w:val="3A5E5795"/>
    <w:rsid w:val="3A865B12"/>
    <w:rsid w:val="3B730350"/>
    <w:rsid w:val="3BBA1A54"/>
    <w:rsid w:val="3BD038FF"/>
    <w:rsid w:val="3BE40D20"/>
    <w:rsid w:val="3C5C0DD3"/>
    <w:rsid w:val="3C6E4EB1"/>
    <w:rsid w:val="3D706AF4"/>
    <w:rsid w:val="3DA07FC8"/>
    <w:rsid w:val="3DE911DF"/>
    <w:rsid w:val="3F0F6EA6"/>
    <w:rsid w:val="407713A8"/>
    <w:rsid w:val="419D318D"/>
    <w:rsid w:val="42C179DE"/>
    <w:rsid w:val="436B795D"/>
    <w:rsid w:val="43A773DD"/>
    <w:rsid w:val="44BB11B1"/>
    <w:rsid w:val="468C7F0B"/>
    <w:rsid w:val="46CD773D"/>
    <w:rsid w:val="472945F5"/>
    <w:rsid w:val="4739604D"/>
    <w:rsid w:val="47875238"/>
    <w:rsid w:val="478D7E58"/>
    <w:rsid w:val="486B4D70"/>
    <w:rsid w:val="49B05850"/>
    <w:rsid w:val="4C4C5224"/>
    <w:rsid w:val="4C600C9E"/>
    <w:rsid w:val="4CE27CFA"/>
    <w:rsid w:val="4D063CD2"/>
    <w:rsid w:val="4D61270F"/>
    <w:rsid w:val="4DB746E4"/>
    <w:rsid w:val="4E9F73BA"/>
    <w:rsid w:val="4F0427EA"/>
    <w:rsid w:val="4F300272"/>
    <w:rsid w:val="515320B5"/>
    <w:rsid w:val="52E14633"/>
    <w:rsid w:val="53250778"/>
    <w:rsid w:val="53517035"/>
    <w:rsid w:val="53A92998"/>
    <w:rsid w:val="55D45164"/>
    <w:rsid w:val="58216330"/>
    <w:rsid w:val="58E13C08"/>
    <w:rsid w:val="59275A99"/>
    <w:rsid w:val="59DF5FFE"/>
    <w:rsid w:val="5A33357F"/>
    <w:rsid w:val="5D9F4915"/>
    <w:rsid w:val="5E483371"/>
    <w:rsid w:val="5E970568"/>
    <w:rsid w:val="5EC90F8E"/>
    <w:rsid w:val="5EF17D2A"/>
    <w:rsid w:val="5F59471B"/>
    <w:rsid w:val="60A2317A"/>
    <w:rsid w:val="60C31A1F"/>
    <w:rsid w:val="61687E97"/>
    <w:rsid w:val="616D55C9"/>
    <w:rsid w:val="62BB7999"/>
    <w:rsid w:val="644E4B1D"/>
    <w:rsid w:val="646F08D5"/>
    <w:rsid w:val="647B3DBC"/>
    <w:rsid w:val="650E0E71"/>
    <w:rsid w:val="65494613"/>
    <w:rsid w:val="65904792"/>
    <w:rsid w:val="65ED0D46"/>
    <w:rsid w:val="668A60C3"/>
    <w:rsid w:val="67137BFF"/>
    <w:rsid w:val="673A67EA"/>
    <w:rsid w:val="674D7D2D"/>
    <w:rsid w:val="6845160B"/>
    <w:rsid w:val="68560D10"/>
    <w:rsid w:val="6A0B1E23"/>
    <w:rsid w:val="6A516D7C"/>
    <w:rsid w:val="6AEA5840"/>
    <w:rsid w:val="6B0C2A72"/>
    <w:rsid w:val="6C9D4F37"/>
    <w:rsid w:val="6D1A47AE"/>
    <w:rsid w:val="6D8309B3"/>
    <w:rsid w:val="700D6D99"/>
    <w:rsid w:val="725F58BA"/>
    <w:rsid w:val="7262149F"/>
    <w:rsid w:val="727F0905"/>
    <w:rsid w:val="740B5A50"/>
    <w:rsid w:val="740D71D5"/>
    <w:rsid w:val="74F72280"/>
    <w:rsid w:val="751D7874"/>
    <w:rsid w:val="75337C73"/>
    <w:rsid w:val="764D2EB1"/>
    <w:rsid w:val="768E4E05"/>
    <w:rsid w:val="77CD748B"/>
    <w:rsid w:val="785F1F2C"/>
    <w:rsid w:val="7A782F9B"/>
    <w:rsid w:val="7ADB1BD4"/>
    <w:rsid w:val="7B1F6DB5"/>
    <w:rsid w:val="7B436AD8"/>
    <w:rsid w:val="7B7F6110"/>
    <w:rsid w:val="7C4B1F1E"/>
    <w:rsid w:val="7D5B3637"/>
    <w:rsid w:val="7D683A3A"/>
    <w:rsid w:val="7D990F1D"/>
    <w:rsid w:val="7E337317"/>
    <w:rsid w:val="7F7A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qFormat/>
    <w:uiPriority w:val="0"/>
    <w:pPr>
      <w:widowControl w:val="0"/>
      <w:numPr>
        <w:ilvl w:val="3"/>
        <w:numId w:val="1"/>
      </w:numPr>
      <w:adjustRightInd w:val="0"/>
      <w:snapToGrid w:val="0"/>
      <w:outlineLvl w:val="3"/>
    </w:pPr>
    <w:rPr>
      <w:rFonts w:ascii="宋体" w:hAnsi="宋体"/>
      <w:bCs/>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qFormat/>
    <w:uiPriority w:val="0"/>
    <w:pPr>
      <w:widowControl w:val="0"/>
      <w:adjustRightInd w:val="0"/>
      <w:spacing w:line="560" w:lineRule="exact"/>
      <w:ind w:firstLine="624"/>
      <w:textAlignment w:val="baseline"/>
    </w:pPr>
    <w:rPr>
      <w:rFonts w:eastAsia="仿宋_GB2312"/>
      <w:sz w:val="30"/>
    </w:rPr>
  </w:style>
  <w:style w:type="paragraph" w:styleId="8">
    <w:name w:val="annotation text"/>
    <w:basedOn w:val="1"/>
    <w:qFormat/>
    <w:uiPriority w:val="0"/>
    <w:pPr>
      <w:jc w:val="left"/>
    </w:pPr>
  </w:style>
  <w:style w:type="paragraph" w:styleId="9">
    <w:name w:val="Plain Text"/>
    <w:basedOn w:val="1"/>
    <w:next w:val="1"/>
    <w:link w:val="15"/>
    <w:qFormat/>
    <w:uiPriority w:val="0"/>
    <w:rPr>
      <w:rFonts w:ascii="宋体" w:hAnsi="Courier New"/>
      <w:kern w:val="0"/>
      <w:sz w:val="20"/>
      <w:szCs w:val="20"/>
    </w:rPr>
  </w:style>
  <w:style w:type="paragraph" w:styleId="10">
    <w:name w:val="Normal (Web)"/>
    <w:basedOn w:val="1"/>
    <w:qFormat/>
    <w:uiPriority w:val="0"/>
    <w:rPr>
      <w:rFonts w:ascii="宋体" w:hAnsi="宋体" w:cs="宋体"/>
      <w:sz w:val="24"/>
      <w:szCs w:val="24"/>
    </w:rPr>
  </w:style>
  <w:style w:type="paragraph" w:styleId="11">
    <w:name w:val="Body Text First Indent"/>
    <w:basedOn w:val="2"/>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纯文本 Char"/>
    <w:link w:val="9"/>
    <w:qFormat/>
    <w:uiPriority w:val="0"/>
    <w:rPr>
      <w:rFonts w:ascii="宋体" w:hAnsi="Courier New"/>
      <w:kern w:val="0"/>
      <w:sz w:val="20"/>
      <w:szCs w:val="20"/>
    </w:rPr>
  </w:style>
  <w:style w:type="character" w:customStyle="1" w:styleId="16">
    <w:name w:val="font11"/>
    <w:basedOn w:val="14"/>
    <w:qFormat/>
    <w:uiPriority w:val="0"/>
    <w:rPr>
      <w:rFonts w:hint="eastAsia" w:ascii="宋体" w:hAnsi="宋体" w:eastAsia="宋体" w:cs="宋体"/>
      <w:color w:val="000000"/>
      <w:sz w:val="21"/>
      <w:szCs w:val="21"/>
      <w:u w:val="none"/>
    </w:rPr>
  </w:style>
  <w:style w:type="character" w:customStyle="1" w:styleId="17">
    <w:name w:val="font12"/>
    <w:basedOn w:val="14"/>
    <w:qFormat/>
    <w:uiPriority w:val="0"/>
    <w:rPr>
      <w:rFonts w:hint="eastAsia" w:ascii="宋体" w:hAnsi="宋体" w:eastAsia="宋体" w:cs="宋体"/>
      <w:color w:val="000000"/>
      <w:sz w:val="21"/>
      <w:szCs w:val="21"/>
      <w:u w:val="none"/>
    </w:rPr>
  </w:style>
  <w:style w:type="character" w:customStyle="1" w:styleId="18">
    <w:name w:val="font61"/>
    <w:basedOn w:val="14"/>
    <w:qFormat/>
    <w:uiPriority w:val="0"/>
    <w:rPr>
      <w:rFonts w:hint="eastAsia" w:ascii="宋体" w:hAnsi="宋体" w:eastAsia="宋体" w:cs="宋体"/>
      <w:color w:val="000000"/>
      <w:sz w:val="21"/>
      <w:szCs w:val="21"/>
      <w:u w:val="none"/>
    </w:rPr>
  </w:style>
  <w:style w:type="character" w:customStyle="1" w:styleId="19">
    <w:name w:val="font51"/>
    <w:basedOn w:val="14"/>
    <w:qFormat/>
    <w:uiPriority w:val="0"/>
    <w:rPr>
      <w:rFonts w:ascii="Calibri" w:hAnsi="Calibri" w:cs="Calibri"/>
      <w:color w:val="000000"/>
      <w:sz w:val="21"/>
      <w:szCs w:val="21"/>
      <w:u w:val="none"/>
    </w:rPr>
  </w:style>
  <w:style w:type="character" w:customStyle="1" w:styleId="20">
    <w:name w:val="font122"/>
    <w:basedOn w:val="14"/>
    <w:qFormat/>
    <w:uiPriority w:val="0"/>
    <w:rPr>
      <w:rFonts w:hint="eastAsia" w:ascii="宋体" w:hAnsi="宋体" w:eastAsia="宋体" w:cs="宋体"/>
      <w:color w:val="000000"/>
      <w:sz w:val="24"/>
      <w:szCs w:val="24"/>
      <w:u w:val="none"/>
      <w:vertAlign w:val="subscript"/>
    </w:rPr>
  </w:style>
  <w:style w:type="character" w:customStyle="1" w:styleId="21">
    <w:name w:val="font31"/>
    <w:basedOn w:val="14"/>
    <w:qFormat/>
    <w:uiPriority w:val="0"/>
    <w:rPr>
      <w:rFonts w:hint="eastAsia" w:ascii="宋体" w:hAnsi="宋体" w:eastAsia="宋体" w:cs="宋体"/>
      <w:color w:val="000000"/>
      <w:sz w:val="24"/>
      <w:szCs w:val="24"/>
      <w:u w:val="none"/>
    </w:rPr>
  </w:style>
  <w:style w:type="character" w:customStyle="1" w:styleId="22">
    <w:name w:val="font71"/>
    <w:basedOn w:val="14"/>
    <w:qFormat/>
    <w:uiPriority w:val="0"/>
    <w:rPr>
      <w:rFonts w:hint="eastAsia" w:ascii="宋体" w:hAnsi="宋体" w:eastAsia="宋体" w:cs="宋体"/>
      <w:color w:val="000000"/>
      <w:sz w:val="21"/>
      <w:szCs w:val="21"/>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1086</Words>
  <Characters>1161</Characters>
  <Lines>0</Lines>
  <Paragraphs>0</Paragraphs>
  <TotalTime>1</TotalTime>
  <ScaleCrop>false</ScaleCrop>
  <LinksUpToDate>false</LinksUpToDate>
  <CharactersWithSpaces>1166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gzry8</cp:lastModifiedBy>
  <dcterms:modified xsi:type="dcterms:W3CDTF">2025-10-29T11:07:22Z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47D00C9CB7DE452A958C98C64CCA774E</vt:lpwstr>
  </property>
  <property fmtid="{D5CDD505-2E9C-101B-9397-08002B2CF9AE}" pid="4" name="KSOTemplateDocerSaveRecord">
    <vt:lpwstr>eyJoZGlkIjoiOGJmMDA2NGQyMzZlNjM5MzA0YmFjNTc5NjdkZmMxODQiLCJ1c2VySWQiOiI2NDgxMTQ0NzQifQ==</vt:lpwstr>
  </property>
</Properties>
</file>