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outlineLvl w:val="0"/>
        <w:rPr>
          <w:rFonts w:asciiTheme="minorEastAsia" w:hAnsiTheme="minorEastAsia" w:eastAsiaTheme="minorEastAsia" w:cstheme="minorEastAsia"/>
          <w:b/>
          <w:bCs/>
          <w:snapToGrid w:val="0"/>
          <w:sz w:val="28"/>
          <w:szCs w:val="28"/>
        </w:rPr>
      </w:pPr>
      <w:bookmarkStart w:id="4" w:name="_GoBack"/>
      <w:bookmarkEnd w:id="4"/>
      <w:bookmarkStart w:id="0" w:name="_Toc8445"/>
      <w:r>
        <w:rPr>
          <w:rFonts w:hint="eastAsia" w:asciiTheme="minorEastAsia" w:hAnsiTheme="minorEastAsia" w:eastAsiaTheme="minorEastAsia" w:cstheme="minorEastAsia"/>
          <w:b/>
          <w:bCs/>
          <w:snapToGrid w:val="0"/>
          <w:sz w:val="28"/>
          <w:szCs w:val="28"/>
        </w:rPr>
        <w:t>标的名称：</w:t>
      </w:r>
      <w:r>
        <w:rPr>
          <w:rFonts w:hint="eastAsia" w:asciiTheme="minorEastAsia" w:hAnsiTheme="minorEastAsia" w:eastAsiaTheme="minorEastAsia" w:cstheme="minorEastAsia"/>
          <w:b/>
          <w:bCs/>
          <w:snapToGrid w:val="0"/>
          <w:sz w:val="28"/>
          <w:szCs w:val="28"/>
          <w:u w:val="single"/>
        </w:rPr>
        <w:t>220千伏同胜输变电工程（变电电气部分）</w:t>
      </w:r>
    </w:p>
    <w:tbl>
      <w:tblPr>
        <w:tblStyle w:val="16"/>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序号</w:t>
            </w:r>
          </w:p>
        </w:tc>
        <w:tc>
          <w:tcPr>
            <w:tcW w:w="2263" w:type="dxa"/>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文件名称</w:t>
            </w:r>
          </w:p>
        </w:tc>
        <w:tc>
          <w:tcPr>
            <w:tcW w:w="3574" w:type="dxa"/>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1</w:t>
            </w:r>
          </w:p>
        </w:tc>
        <w:tc>
          <w:tcPr>
            <w:tcW w:w="2263" w:type="dxa"/>
          </w:tcPr>
          <w:p>
            <w:pPr>
              <w:pStyle w:val="9"/>
              <w:spacing w:line="360" w:lineRule="auto"/>
              <w:jc w:val="center"/>
              <w:rPr>
                <w:rFonts w:hAnsi="宋体" w:cs="宋体"/>
                <w:b/>
                <w:bCs/>
                <w:snapToGrid w:val="0"/>
                <w:sz w:val="24"/>
                <w:szCs w:val="24"/>
              </w:rPr>
            </w:pPr>
            <w:r>
              <w:rPr>
                <w:rFonts w:hint="eastAsia" w:hAnsi="宋体" w:cs="宋体"/>
                <w:b/>
                <w:bCs/>
                <w:sz w:val="21"/>
                <w:szCs w:val="21"/>
              </w:rPr>
              <w:t>可研批复文号</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深供电工程〔202</w:t>
            </w:r>
            <w:r>
              <w:rPr>
                <w:rFonts w:hint="eastAsia" w:hAnsi="宋体" w:cs="宋体"/>
                <w:sz w:val="21"/>
                <w:szCs w:val="21"/>
                <w:lang w:val="en-US" w:eastAsia="zh-CN"/>
              </w:rPr>
              <w:t>2</w:t>
            </w:r>
            <w:r>
              <w:rPr>
                <w:rFonts w:hint="eastAsia" w:hAnsi="宋体" w:cs="宋体"/>
                <w:sz w:val="21"/>
                <w:szCs w:val="21"/>
              </w:rPr>
              <w:t>〕7</w:t>
            </w:r>
            <w:r>
              <w:rPr>
                <w:rFonts w:hint="eastAsia" w:hAnsi="宋体" w:cs="宋体"/>
                <w:sz w:val="21"/>
                <w:szCs w:val="21"/>
                <w:lang w:val="en-US" w:eastAsia="zh-CN"/>
              </w:rPr>
              <w:t>1</w:t>
            </w:r>
            <w:r>
              <w:rPr>
                <w:rFonts w:hint="eastAsia" w:hAnsi="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2</w:t>
            </w:r>
          </w:p>
        </w:tc>
        <w:tc>
          <w:tcPr>
            <w:tcW w:w="2263" w:type="dxa"/>
          </w:tcPr>
          <w:p>
            <w:pPr>
              <w:pStyle w:val="9"/>
              <w:spacing w:line="360" w:lineRule="auto"/>
              <w:jc w:val="center"/>
              <w:rPr>
                <w:rFonts w:hAnsi="宋体" w:cs="宋体"/>
                <w:b/>
                <w:bCs/>
                <w:snapToGrid w:val="0"/>
                <w:sz w:val="24"/>
                <w:szCs w:val="24"/>
              </w:rPr>
            </w:pPr>
            <w:r>
              <w:rPr>
                <w:rFonts w:hint="eastAsia" w:hAnsi="宋体" w:cs="宋体"/>
                <w:b/>
                <w:bCs/>
                <w:sz w:val="21"/>
                <w:szCs w:val="21"/>
              </w:rPr>
              <w:t>项目核准文号</w:t>
            </w:r>
          </w:p>
        </w:tc>
        <w:tc>
          <w:tcPr>
            <w:tcW w:w="3574" w:type="dxa"/>
            <w:vAlign w:val="center"/>
          </w:tcPr>
          <w:p>
            <w:pPr>
              <w:pStyle w:val="9"/>
              <w:spacing w:line="360" w:lineRule="auto"/>
              <w:jc w:val="center"/>
              <w:rPr>
                <w:rFonts w:hint="eastAsia" w:hAnsi="宋体" w:cs="宋体"/>
                <w:sz w:val="21"/>
                <w:szCs w:val="21"/>
              </w:rPr>
            </w:pPr>
            <w:r>
              <w:rPr>
                <w:rFonts w:hint="eastAsia" w:hAnsi="宋体" w:cs="宋体"/>
                <w:sz w:val="21"/>
                <w:szCs w:val="21"/>
              </w:rPr>
              <w:t>深龙华发改核准﹝2022﹞0006号、</w:t>
            </w:r>
          </w:p>
          <w:p>
            <w:pPr>
              <w:pStyle w:val="9"/>
              <w:spacing w:line="360" w:lineRule="auto"/>
              <w:jc w:val="center"/>
              <w:rPr>
                <w:rFonts w:hAnsi="宋体" w:cs="宋体"/>
                <w:sz w:val="21"/>
                <w:szCs w:val="21"/>
              </w:rPr>
            </w:pPr>
            <w:r>
              <w:rPr>
                <w:rFonts w:hint="eastAsia" w:hAnsi="宋体" w:cs="宋体"/>
                <w:sz w:val="21"/>
                <w:szCs w:val="21"/>
              </w:rPr>
              <w:t>深龙华发改核准﹝2024﹞19号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3</w:t>
            </w:r>
          </w:p>
        </w:tc>
        <w:tc>
          <w:tcPr>
            <w:tcW w:w="2263" w:type="dxa"/>
          </w:tcPr>
          <w:p>
            <w:pPr>
              <w:pStyle w:val="9"/>
              <w:spacing w:line="360" w:lineRule="auto"/>
              <w:jc w:val="center"/>
              <w:rPr>
                <w:rFonts w:hAnsi="宋体" w:cs="宋体"/>
                <w:b/>
                <w:bCs/>
                <w:snapToGrid w:val="0"/>
                <w:sz w:val="24"/>
                <w:szCs w:val="24"/>
              </w:rPr>
            </w:pPr>
            <w:r>
              <w:rPr>
                <w:rFonts w:hint="eastAsia" w:hAnsi="宋体" w:cs="宋体"/>
                <w:b/>
                <w:bCs/>
                <w:sz w:val="21"/>
                <w:szCs w:val="21"/>
              </w:rPr>
              <w:t>初设批复文号</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深供电工程〔202</w:t>
            </w:r>
            <w:r>
              <w:rPr>
                <w:rFonts w:hint="eastAsia" w:hAnsi="宋体" w:cs="宋体"/>
                <w:sz w:val="21"/>
                <w:szCs w:val="21"/>
                <w:lang w:val="en-US" w:eastAsia="zh-CN"/>
              </w:rPr>
              <w:t>4</w:t>
            </w:r>
            <w:r>
              <w:rPr>
                <w:rFonts w:hint="eastAsia" w:hAnsi="宋体" w:cs="宋体"/>
                <w:sz w:val="21"/>
                <w:szCs w:val="21"/>
              </w:rPr>
              <w:t>〕2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4</w:t>
            </w:r>
          </w:p>
        </w:tc>
        <w:tc>
          <w:tcPr>
            <w:tcW w:w="2263" w:type="dxa"/>
          </w:tcPr>
          <w:p>
            <w:pPr>
              <w:pStyle w:val="9"/>
              <w:spacing w:line="360" w:lineRule="auto"/>
              <w:jc w:val="center"/>
              <w:rPr>
                <w:rFonts w:hAnsi="宋体" w:cs="宋体"/>
                <w:b/>
                <w:bCs/>
                <w:sz w:val="21"/>
                <w:szCs w:val="21"/>
              </w:rPr>
            </w:pPr>
            <w:r>
              <w:rPr>
                <w:rFonts w:hint="eastAsia" w:hAnsi="宋体" w:cs="宋体"/>
                <w:b/>
                <w:bCs/>
                <w:sz w:val="21"/>
                <w:szCs w:val="21"/>
              </w:rPr>
              <w:t>资金落实情况</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资金已落实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5</w:t>
            </w:r>
          </w:p>
        </w:tc>
        <w:tc>
          <w:tcPr>
            <w:tcW w:w="2263" w:type="dxa"/>
          </w:tcPr>
          <w:p>
            <w:pPr>
              <w:pStyle w:val="9"/>
              <w:spacing w:line="360" w:lineRule="auto"/>
              <w:jc w:val="center"/>
              <w:rPr>
                <w:rFonts w:hAnsi="宋体" w:cs="宋体"/>
                <w:b/>
                <w:bCs/>
                <w:sz w:val="21"/>
                <w:szCs w:val="21"/>
              </w:rPr>
            </w:pPr>
            <w:r>
              <w:rPr>
                <w:rFonts w:hint="eastAsia" w:hAnsi="宋体" w:cs="宋体"/>
                <w:b/>
                <w:bCs/>
                <w:sz w:val="21"/>
                <w:szCs w:val="21"/>
              </w:rPr>
              <w:t>施工图预算批复文号</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深供电工程〔202</w:t>
            </w:r>
            <w:r>
              <w:rPr>
                <w:rFonts w:hint="eastAsia" w:hAnsi="宋体" w:cs="宋体"/>
                <w:sz w:val="21"/>
                <w:szCs w:val="21"/>
                <w:lang w:val="en-US" w:eastAsia="zh-CN"/>
              </w:rPr>
              <w:t>4</w:t>
            </w:r>
            <w:r>
              <w:rPr>
                <w:rFonts w:hint="eastAsia" w:hAnsi="宋体" w:cs="宋体"/>
                <w:sz w:val="21"/>
                <w:szCs w:val="21"/>
              </w:rPr>
              <w:t>〕</w:t>
            </w:r>
            <w:r>
              <w:rPr>
                <w:rFonts w:hint="eastAsia" w:hAnsi="宋体" w:cs="宋体"/>
                <w:sz w:val="21"/>
                <w:szCs w:val="21"/>
                <w:lang w:val="en-US" w:eastAsia="zh-CN"/>
              </w:rPr>
              <w:t>146</w:t>
            </w:r>
            <w:r>
              <w:rPr>
                <w:rFonts w:hint="eastAsia" w:hAnsi="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6</w:t>
            </w:r>
          </w:p>
        </w:tc>
        <w:tc>
          <w:tcPr>
            <w:tcW w:w="2263" w:type="dxa"/>
          </w:tcPr>
          <w:p>
            <w:pPr>
              <w:pStyle w:val="9"/>
              <w:spacing w:line="360" w:lineRule="auto"/>
              <w:jc w:val="center"/>
              <w:rPr>
                <w:rFonts w:hAnsi="宋体" w:cs="宋体"/>
                <w:b/>
                <w:bCs/>
                <w:sz w:val="21"/>
                <w:szCs w:val="21"/>
              </w:rPr>
            </w:pPr>
            <w:r>
              <w:rPr>
                <w:rFonts w:hint="eastAsia" w:hAnsi="宋体" w:cs="宋体"/>
                <w:b/>
                <w:bCs/>
                <w:sz w:val="21"/>
                <w:szCs w:val="21"/>
              </w:rPr>
              <w:t>项目建设单位</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深圳供电局有限公司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7</w:t>
            </w:r>
          </w:p>
        </w:tc>
        <w:tc>
          <w:tcPr>
            <w:tcW w:w="2263" w:type="dxa"/>
          </w:tcPr>
          <w:p>
            <w:pPr>
              <w:pStyle w:val="9"/>
              <w:spacing w:line="360" w:lineRule="auto"/>
              <w:jc w:val="center"/>
              <w:rPr>
                <w:rFonts w:hAnsi="宋体" w:cs="宋体"/>
                <w:b/>
                <w:bCs/>
                <w:sz w:val="21"/>
                <w:szCs w:val="21"/>
              </w:rPr>
            </w:pPr>
            <w:r>
              <w:rPr>
                <w:rFonts w:hint="eastAsia" w:hAnsi="宋体" w:cs="宋体"/>
                <w:b/>
                <w:bCs/>
                <w:sz w:val="21"/>
                <w:szCs w:val="21"/>
              </w:rPr>
              <w:t>项目建设地点</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8</w:t>
            </w:r>
          </w:p>
        </w:tc>
        <w:tc>
          <w:tcPr>
            <w:tcW w:w="2263" w:type="dxa"/>
          </w:tcPr>
          <w:p>
            <w:pPr>
              <w:pStyle w:val="9"/>
              <w:spacing w:line="360" w:lineRule="auto"/>
              <w:jc w:val="center"/>
              <w:rPr>
                <w:rFonts w:hAnsi="宋体" w:cs="宋体"/>
                <w:b/>
                <w:bCs/>
                <w:sz w:val="21"/>
                <w:szCs w:val="21"/>
              </w:rPr>
            </w:pPr>
            <w:r>
              <w:rPr>
                <w:rFonts w:hint="eastAsia" w:hAnsi="宋体" w:cs="宋体"/>
                <w:b/>
                <w:bCs/>
                <w:sz w:val="21"/>
                <w:szCs w:val="21"/>
              </w:rPr>
              <w:t>前期的设计或咨询服务单位名称</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深圳供电规划设计院有限公司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360" w:lineRule="auto"/>
              <w:jc w:val="center"/>
              <w:rPr>
                <w:rFonts w:hAnsi="宋体" w:cs="宋体"/>
                <w:b/>
                <w:bCs/>
                <w:snapToGrid w:val="0"/>
                <w:sz w:val="24"/>
                <w:szCs w:val="24"/>
              </w:rPr>
            </w:pPr>
            <w:r>
              <w:rPr>
                <w:rFonts w:hint="eastAsia" w:hAnsi="宋体" w:cs="宋体"/>
                <w:b/>
                <w:bCs/>
                <w:snapToGrid w:val="0"/>
                <w:sz w:val="24"/>
                <w:szCs w:val="24"/>
              </w:rPr>
              <w:t>9</w:t>
            </w:r>
          </w:p>
        </w:tc>
        <w:tc>
          <w:tcPr>
            <w:tcW w:w="2263" w:type="dxa"/>
          </w:tcPr>
          <w:p>
            <w:pPr>
              <w:pStyle w:val="9"/>
              <w:spacing w:line="360" w:lineRule="auto"/>
              <w:jc w:val="center"/>
              <w:rPr>
                <w:rFonts w:hAnsi="宋体" w:cs="宋体"/>
                <w:b/>
                <w:bCs/>
                <w:sz w:val="21"/>
                <w:szCs w:val="21"/>
              </w:rPr>
            </w:pPr>
            <w:r>
              <w:rPr>
                <w:rFonts w:hint="eastAsia" w:hAnsi="宋体" w:cs="宋体"/>
                <w:b/>
                <w:bCs/>
                <w:sz w:val="21"/>
                <w:szCs w:val="21"/>
              </w:rPr>
              <w:t>项目监理单位</w:t>
            </w:r>
          </w:p>
        </w:tc>
        <w:tc>
          <w:tcPr>
            <w:tcW w:w="3574" w:type="dxa"/>
            <w:vAlign w:val="center"/>
          </w:tcPr>
          <w:p>
            <w:pPr>
              <w:pStyle w:val="9"/>
              <w:spacing w:line="360" w:lineRule="auto"/>
              <w:jc w:val="center"/>
              <w:rPr>
                <w:rFonts w:hAnsi="宋体" w:cs="宋体"/>
                <w:sz w:val="21"/>
                <w:szCs w:val="21"/>
              </w:rPr>
            </w:pPr>
            <w:r>
              <w:rPr>
                <w:rFonts w:hint="eastAsia" w:hAnsi="宋体" w:cs="宋体"/>
                <w:sz w:val="21"/>
                <w:szCs w:val="21"/>
              </w:rPr>
              <w:t>深圳市威彦达工程监理有限公司</w:t>
            </w:r>
          </w:p>
        </w:tc>
      </w:tr>
    </w:tbl>
    <w:p/>
    <w:p>
      <w:pPr>
        <w:pStyle w:val="9"/>
        <w:spacing w:line="360" w:lineRule="auto"/>
        <w:outlineLvl w:val="0"/>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（一）建设规模：</w:t>
      </w:r>
      <w:bookmarkEnd w:id="0"/>
      <w:bookmarkStart w:id="1" w:name="_Toc4755"/>
      <w:bookmarkStart w:id="2" w:name="_Toc28718"/>
      <w:bookmarkStart w:id="3" w:name="_Toc13498"/>
      <w:r>
        <w:rPr>
          <w:rFonts w:hint="eastAsia" w:asciiTheme="minorEastAsia" w:hAnsiTheme="minorEastAsia" w:eastAsiaTheme="minorEastAsia" w:cstheme="minorEastAsia"/>
          <w:b/>
          <w:bCs/>
          <w:sz w:val="24"/>
          <w:szCs w:val="24"/>
        </w:rPr>
        <w:t>【具体规模以项目施工图批复内容为准】</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220 千伏同胜变电站工程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远期建设 240 兆伏安主变压器 4 台，220 千伏出线 8 回，110千伏出线 14 回，10 千伏出线 30 回；每台主变 10 千伏侧安装 5 组8 兆乏并联电容器及 2 组 10 兆乏电抗器。本期建设 240 兆伏安主变压器 3 台，220 千伏出线 4 回，110 千伏出线 8 回，10 千伏出线30 回；每台主变 10 千伏侧安装 5 组 8 兆乏并联电容器及 2 组 10 兆乏电抗器。</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220 千伏本期及远期采用双母线双分段接线。110 千伏本期及远期采用双母线双分段接线。10 千伏本期采用单母线双分段三段母线接线，10 千伏远期采用单母线三分段四段母线接线，其中 2 号主变双臂进线，II 段分为IIA 和IIB 两个半段。</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220 千伏主变压器采用三相双卷铜芯自冷有载调压低损耗中阻抗变压器。220 千伏设备采用户内GIS 组合电器。110 千伏设备采用户内GIS 组合电器。10 千伏采用户内金属铠装移开式开关柜， 配真空断路器。</w:t>
      </w:r>
    </w:p>
    <w:p>
      <w:pPr>
        <w:adjustRightInd w:val="0"/>
        <w:snapToGrid w:val="0"/>
        <w:spacing w:line="360" w:lineRule="auto"/>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220 千伏同胜站对侧 500 千伏鹏城站保护改造工程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本期新建鹏城至同胜 2 回 220 千伏线路，鹏城站侧原线路保护更换，220 千伏每回线路配置 2 套光纤分相电流差动保护，保护型号与对侧一致，1 套保护通道采用 1 路专用光纤芯，1 路复用接口； 1 套保护通道采用 2 路复用接口。</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220 千伏同胜站对侧 220 千伏龙塘站保护改造工程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本期新建龙塘至同胜 2 回 220 千伏线路，龙塘站侧原线路保护更换。220 千伏每回线路保护配置 2 套光纤分相电流差动保护（其中主二保护集成接点方式纵联距离保护功能），保护型号与对侧一 致，1 套保护通道采用 1 路专用光纤芯，1 路复用接口；1 套保护通道采用 3 路复用接口。</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220 千伏同胜站对侧 110 千伏长山坳站保护改造工程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本期新建长山坳至同胜 2 回 110 千伏线路，长山坳站侧原线路保护更换。每回线路配置 1 套光纤电流差动保护，保护型号与对侧一致，保护通道采用 1 路专用光纤芯。原有 110 千伏母线保护、故障录波装置等满足本期扩建接入。</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220 千伏同胜站对侧 110 千伏龙华站保护改造工程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本期新建龙华至同胜 2 回 110 千伏线路，龙华站侧原线路保护更换。每回线路配置 1 套光纤电流差动保护，保护型号与对侧一致，保护通道采用 1 路专用光纤芯。原有 110 千伏母线保护、故障录波装置等满足本期扩建接入。</w:t>
      </w:r>
    </w:p>
    <w:p>
      <w:pPr>
        <w:pStyle w:val="9"/>
        <w:adjustRightInd w:val="0"/>
        <w:snapToGrid w:val="0"/>
        <w:spacing w:line="40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具体建设规模以施工图纸为准。</w:t>
      </w:r>
    </w:p>
    <w:bookmarkEnd w:id="1"/>
    <w:bookmarkEnd w:id="2"/>
    <w:bookmarkEnd w:id="3"/>
    <w:p>
      <w:pPr>
        <w:pStyle w:val="9"/>
        <w:adjustRightInd w:val="0"/>
        <w:snapToGrid w:val="0"/>
        <w:spacing w:line="400" w:lineRule="exact"/>
        <w:ind w:firstLine="420" w:firstLineChars="200"/>
        <w:rPr>
          <w:color w:val="auto"/>
          <w:highlight w:val="none"/>
        </w:rPr>
      </w:pPr>
      <w:r>
        <w:rPr>
          <w:rFonts w:hint="eastAsia" w:asciiTheme="minorEastAsia" w:hAnsiTheme="minorEastAsia" w:eastAsiaTheme="minorEastAsia" w:cstheme="minorEastAsia"/>
          <w:bCs/>
          <w:color w:val="auto"/>
          <w:sz w:val="21"/>
          <w:szCs w:val="21"/>
          <w:highlight w:val="none"/>
        </w:rPr>
        <w:t xml:space="preserve">计划工期 </w:t>
      </w:r>
      <w:r>
        <w:rPr>
          <w:rFonts w:hint="eastAsia" w:asciiTheme="minorEastAsia" w:hAnsiTheme="minorEastAsia" w:eastAsiaTheme="minorEastAsia" w:cstheme="minorEastAsia"/>
          <w:bCs/>
          <w:color w:val="auto"/>
          <w:sz w:val="21"/>
          <w:szCs w:val="21"/>
          <w:highlight w:val="none"/>
          <w:lang w:val="en-US" w:eastAsia="zh-CN"/>
        </w:rPr>
        <w:t>182</w:t>
      </w:r>
      <w:r>
        <w:rPr>
          <w:rFonts w:hint="eastAsia" w:asciiTheme="minorEastAsia" w:hAnsiTheme="minorEastAsia" w:eastAsiaTheme="minorEastAsia" w:cstheme="minorEastAsia"/>
          <w:bCs/>
          <w:color w:val="auto"/>
          <w:sz w:val="21"/>
          <w:szCs w:val="21"/>
          <w:highlight w:val="none"/>
        </w:rPr>
        <w:t xml:space="preserve">  日历天；计划开工日期：20</w:t>
      </w:r>
      <w:r>
        <w:rPr>
          <w:rFonts w:hint="eastAsia" w:asciiTheme="minorEastAsia" w:hAnsiTheme="minorEastAsia" w:eastAsiaTheme="minorEastAsia" w:cstheme="minorEastAsia"/>
          <w:bCs/>
          <w:color w:val="auto"/>
          <w:sz w:val="21"/>
          <w:szCs w:val="21"/>
          <w:highlight w:val="none"/>
          <w:lang w:val="en-US" w:eastAsia="zh-CN"/>
        </w:rPr>
        <w:t>26</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val="en-US" w:eastAsia="zh-CN"/>
        </w:rPr>
        <w:t>4</w:t>
      </w:r>
      <w:r>
        <w:rPr>
          <w:rFonts w:hint="eastAsia" w:asciiTheme="minorEastAsia" w:hAnsiTheme="minorEastAsia" w:eastAsiaTheme="minorEastAsia" w:cstheme="minorEastAsia"/>
          <w:bCs/>
          <w:color w:val="auto"/>
          <w:sz w:val="21"/>
          <w:szCs w:val="21"/>
          <w:highlight w:val="none"/>
        </w:rPr>
        <w:t>月</w:t>
      </w:r>
      <w:r>
        <w:rPr>
          <w:rFonts w:hint="eastAsia" w:asciiTheme="minorEastAsia" w:hAnsiTheme="minorEastAsia" w:eastAsiaTheme="minorEastAsia" w:cstheme="minorEastAsia"/>
          <w:bCs/>
          <w:color w:val="auto"/>
          <w:sz w:val="21"/>
          <w:szCs w:val="21"/>
          <w:highlight w:val="none"/>
          <w:lang w:val="en-US" w:eastAsia="zh-CN"/>
        </w:rPr>
        <w:t>1</w:t>
      </w:r>
      <w:r>
        <w:rPr>
          <w:rFonts w:hint="eastAsia" w:asciiTheme="minorEastAsia" w:hAnsiTheme="minorEastAsia" w:eastAsiaTheme="minorEastAsia" w:cstheme="minorEastAsia"/>
          <w:bCs/>
          <w:color w:val="auto"/>
          <w:sz w:val="21"/>
          <w:szCs w:val="21"/>
          <w:highlight w:val="none"/>
        </w:rPr>
        <w:t>日；计划竣工日期：202</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 xml:space="preserve"> 年</w:t>
      </w:r>
      <w:r>
        <w:rPr>
          <w:rFonts w:hint="eastAsia" w:asciiTheme="minorEastAsia" w:hAnsiTheme="minorEastAsia" w:eastAsiaTheme="minorEastAsia" w:cstheme="minorEastAsia"/>
          <w:bCs/>
          <w:color w:val="auto"/>
          <w:sz w:val="21"/>
          <w:szCs w:val="21"/>
          <w:highlight w:val="none"/>
          <w:lang w:val="en-US" w:eastAsia="zh-CN"/>
        </w:rPr>
        <w:t>9</w:t>
      </w:r>
      <w:r>
        <w:rPr>
          <w:rFonts w:hint="eastAsia" w:asciiTheme="minorEastAsia" w:hAnsiTheme="minorEastAsia" w:eastAsiaTheme="minorEastAsia" w:cstheme="minorEastAsia"/>
          <w:bCs/>
          <w:color w:val="auto"/>
          <w:sz w:val="21"/>
          <w:szCs w:val="21"/>
          <w:highlight w:val="none"/>
        </w:rPr>
        <w:t xml:space="preserve"> 月30日，具体以开工报告、竣工报告为准。</w:t>
      </w:r>
    </w:p>
    <w:p>
      <w:pPr>
        <w:pStyle w:val="12"/>
        <w:widowControl/>
        <w:numPr>
          <w:ilvl w:val="0"/>
          <w:numId w:val="1"/>
        </w:numPr>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采购范围：</w:t>
      </w:r>
    </w:p>
    <w:p>
      <w:pPr>
        <w:pStyle w:val="12"/>
        <w:keepNext w:val="0"/>
        <w:keepLines w:val="0"/>
        <w:pageBreakBefore w:val="0"/>
        <w:widowControl/>
        <w:numPr>
          <w:ilvl w:val="0"/>
          <w:numId w:val="0"/>
        </w:numPr>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220千伏同胜输变电工程（变电电气部分），按</w:t>
      </w:r>
      <w:r>
        <w:rPr>
          <w:rFonts w:hint="eastAsia" w:asciiTheme="minorEastAsia" w:hAnsiTheme="minorEastAsia" w:eastAsiaTheme="minorEastAsia" w:cstheme="minorEastAsia"/>
          <w:b/>
          <w:bCs/>
          <w:sz w:val="21"/>
          <w:szCs w:val="21"/>
          <w:lang w:val="en-US" w:eastAsia="zh-CN"/>
        </w:rPr>
        <w:t>施工图</w:t>
      </w:r>
      <w:r>
        <w:rPr>
          <w:rFonts w:hint="eastAsia" w:asciiTheme="minorEastAsia" w:hAnsiTheme="minorEastAsia" w:eastAsiaTheme="minorEastAsia" w:cstheme="minorEastAsia"/>
          <w:b/>
          <w:bCs/>
          <w:sz w:val="21"/>
          <w:szCs w:val="21"/>
        </w:rPr>
        <w:t>招标。</w:t>
      </w:r>
    </w:p>
    <w:p>
      <w:pPr>
        <w:ind w:firstLine="480" w:firstLineChars="200"/>
        <w:rPr>
          <w:rFonts w:ascii="宋体" w:hAnsi="宋体" w:cs="宋体"/>
          <w:b/>
          <w:bCs/>
          <w:szCs w:val="21"/>
        </w:rPr>
      </w:pPr>
      <w:r>
        <w:rPr>
          <w:rFonts w:hint="eastAsia" w:ascii="宋体" w:hAnsi="宋体" w:cs="宋体"/>
          <w:sz w:val="24"/>
          <w:szCs w:val="24"/>
        </w:rPr>
        <w:t>1.</w:t>
      </w:r>
      <w:r>
        <w:rPr>
          <w:rFonts w:hint="eastAsia" w:ascii="宋体" w:hAnsi="宋体" w:cs="宋体"/>
          <w:b/>
          <w:bCs/>
          <w:szCs w:val="21"/>
        </w:rPr>
        <w:t>变电</w:t>
      </w:r>
      <w:r>
        <w:rPr>
          <w:rFonts w:hint="eastAsia" w:asciiTheme="minorEastAsia" w:hAnsiTheme="minorEastAsia" w:eastAsiaTheme="minorEastAsia" w:cstheme="minorEastAsia"/>
          <w:b/>
          <w:bCs/>
          <w:sz w:val="21"/>
          <w:szCs w:val="21"/>
        </w:rPr>
        <w:t>电气</w:t>
      </w:r>
      <w:r>
        <w:rPr>
          <w:rFonts w:hint="eastAsia" w:ascii="宋体" w:hAnsi="宋体" w:cs="宋体"/>
          <w:b/>
          <w:bCs/>
          <w:szCs w:val="21"/>
        </w:rPr>
        <w:t>部分:</w:t>
      </w:r>
    </w:p>
    <w:p>
      <w:pPr>
        <w:ind w:firstLine="420" w:firstLineChars="200"/>
        <w:rPr>
          <w:rFonts w:ascii="宋体" w:hAnsi="宋体" w:cs="宋体"/>
          <w:szCs w:val="21"/>
        </w:rPr>
      </w:pPr>
      <w:r>
        <w:rPr>
          <w:rFonts w:hint="eastAsia" w:ascii="宋体" w:hAnsi="宋体" w:cs="宋体"/>
          <w:szCs w:val="21"/>
        </w:rPr>
        <w:t>审定版施工图纸</w:t>
      </w:r>
      <w:r>
        <w:rPr>
          <w:rFonts w:hint="eastAsia" w:ascii="宋体" w:hAnsi="宋体" w:cs="宋体"/>
          <w:szCs w:val="21"/>
          <w:lang w:eastAsia="zh-CN"/>
        </w:rPr>
        <w:t>（</w:t>
      </w:r>
      <w:r>
        <w:rPr>
          <w:rFonts w:hint="eastAsia" w:ascii="宋体" w:hAnsi="宋体" w:cs="宋体"/>
          <w:szCs w:val="21"/>
          <w:lang w:val="en-US" w:eastAsia="zh-CN"/>
        </w:rPr>
        <w:t>变电电气部分</w:t>
      </w:r>
      <w:r>
        <w:rPr>
          <w:rFonts w:hint="eastAsia" w:ascii="宋体" w:hAnsi="宋体" w:cs="宋体"/>
          <w:szCs w:val="21"/>
          <w:lang w:eastAsia="zh-CN"/>
        </w:rPr>
        <w:t>）</w:t>
      </w:r>
      <w:r>
        <w:rPr>
          <w:rFonts w:hint="eastAsia" w:ascii="宋体" w:hAnsi="宋体" w:cs="宋体"/>
          <w:szCs w:val="21"/>
        </w:rPr>
        <w:t>范围内的变电安装、调试工程、两侧站内改扩建部分，包括但不限于样板点建设、母线包绝缘、规程规范内的特殊试验、远动系统线路两侧投产前所需完成一二次设备相关调试：涉及的运行站内公共保护设备的调试，名称更新等工作，两侧站内交流耐压等试验及相关厂家服务，配合电子化移交提资（含本侧及对侧）、参数上报、启动方案编写、档案移交及配合办理施工许可手续、施工围挡、所有设备的二次接地等。但其中安装工程不包括：通信及管道光缆敷设（已年度框架招标）、防盗报警及视频监控安装（已年度框架招标），电子化移交服务（已年度框架招标）、基建项目检测监测服务（已年度框架招标）、配套市政水工程（已年度框架招标）、电网基建工程GIS（HGIS）设备交流耐压击穿定位测试服务（已年度框架招标）、X射线无损检测（已年度框架招标）。</w:t>
      </w:r>
    </w:p>
    <w:p>
      <w:pPr>
        <w:ind w:firstLine="420" w:firstLineChars="200"/>
        <w:rPr>
          <w:rFonts w:ascii="宋体" w:hAnsi="宋体" w:cs="宋体"/>
          <w:szCs w:val="21"/>
        </w:rPr>
      </w:pPr>
      <w:r>
        <w:rPr>
          <w:rFonts w:hint="eastAsia" w:ascii="宋体" w:hAnsi="宋体" w:cs="宋体"/>
          <w:szCs w:val="21"/>
        </w:rPr>
        <w:t>以下招标范围内的内容若有发生按实结算：</w:t>
      </w:r>
    </w:p>
    <w:p>
      <w:pPr>
        <w:ind w:firstLine="420" w:firstLineChars="200"/>
        <w:rPr>
          <w:rFonts w:ascii="宋体" w:hAnsi="宋体" w:cs="宋体"/>
          <w:szCs w:val="21"/>
        </w:rPr>
      </w:pPr>
      <w:r>
        <w:rPr>
          <w:rFonts w:hint="eastAsia" w:ascii="宋体" w:hAnsi="宋体" w:cs="宋体"/>
          <w:szCs w:val="21"/>
        </w:rPr>
        <w:t>（1）余土外运及收纳费用，在投标时按照审定施工图计算工程量及标明的运距计算以暂估价元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ind w:firstLine="420" w:firstLineChars="200"/>
        <w:rPr>
          <w:rFonts w:ascii="宋体" w:hAnsi="宋体" w:cs="宋体"/>
          <w:szCs w:val="21"/>
        </w:rPr>
      </w:pPr>
      <w:r>
        <w:rPr>
          <w:rFonts w:hint="eastAsia" w:ascii="宋体" w:hAnsi="宋体" w:cs="宋体"/>
          <w:szCs w:val="21"/>
        </w:rPr>
        <w:t>（2）厂家服务费不计入报价，结算时按实际发生的金额结算（凭合同发票）。</w:t>
      </w:r>
    </w:p>
    <w:p>
      <w:pPr>
        <w:ind w:firstLine="420" w:firstLineChars="200"/>
        <w:rPr>
          <w:rFonts w:ascii="宋体" w:hAnsi="宋体" w:cs="宋体"/>
          <w:szCs w:val="21"/>
        </w:rPr>
      </w:pPr>
      <w:r>
        <w:rPr>
          <w:rFonts w:hint="eastAsia" w:ascii="宋体" w:hAnsi="宋体" w:cs="宋体"/>
          <w:szCs w:val="21"/>
        </w:rPr>
        <w:t>（3）电力监控系统等级保护测评及安全防护评估（若有）、</w:t>
      </w:r>
      <w:r>
        <w:rPr>
          <w:rFonts w:hint="eastAsia" w:ascii="宋体" w:hAnsi="宋体" w:cs="宋体"/>
          <w:szCs w:val="21"/>
          <w:lang w:val="en-US" w:eastAsia="zh-CN"/>
        </w:rPr>
        <w:t>备自投接入可视化主站、</w:t>
      </w:r>
      <w:r>
        <w:rPr>
          <w:rFonts w:hint="eastAsia" w:ascii="宋体" w:hAnsi="宋体" w:cs="宋体"/>
          <w:szCs w:val="21"/>
        </w:rPr>
        <w:t>保护及综自系统例如后台、五防、远动、保信等配套服务涉及费用根据公司批复的审核意见据实支付（若有），不计入报价。</w:t>
      </w:r>
    </w:p>
    <w:p>
      <w:pPr>
        <w:ind w:firstLine="420" w:firstLineChars="200"/>
        <w:rPr>
          <w:rFonts w:ascii="宋体" w:hAnsi="宋体" w:cs="宋体"/>
          <w:szCs w:val="21"/>
        </w:rPr>
      </w:pPr>
      <w:r>
        <w:rPr>
          <w:rFonts w:hint="eastAsia" w:ascii="宋体" w:hAnsi="宋体" w:cs="宋体"/>
          <w:szCs w:val="21"/>
        </w:rPr>
        <w:t>（4）施工围挡升级（若有），结算时按经签证的实际工程量和《关于电力定额计价的电网项目执行深圳市围挡升级要求的相关费用计列事宜研讨会议纪要》（规划中心纪要〔2021〕31号）要求结算。</w:t>
      </w:r>
    </w:p>
    <w:p>
      <w:pPr>
        <w:ind w:firstLine="420" w:firstLineChars="200"/>
        <w:rPr>
          <w:rFonts w:ascii="宋体" w:hAnsi="宋体" w:cs="宋体"/>
          <w:b w:val="0"/>
          <w:bCs w:val="0"/>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5</w:t>
      </w:r>
      <w:r>
        <w:rPr>
          <w:rFonts w:hint="eastAsia" w:ascii="宋体" w:hAnsi="宋体" w:cs="宋体"/>
          <w:szCs w:val="21"/>
          <w:highlight w:val="none"/>
        </w:rPr>
        <w:t>）</w:t>
      </w:r>
      <w:r>
        <w:rPr>
          <w:rFonts w:hint="eastAsia" w:ascii="宋体" w:hAnsi="宋体" w:cs="宋体"/>
          <w:b w:val="0"/>
          <w:bCs w:val="0"/>
          <w:szCs w:val="21"/>
          <w:highlight w:val="none"/>
        </w:rPr>
        <w:t>施工专项补助费执行《关于明确35kV及以上变电改扩建项目施工专项补助费列支有关工作的通知》（办输配电〔2023〕28号），投标人报价时将施工专项补助费作为“竞争性费用”列入投标报价中（投标报价的专项补助费不得高于招标文件公布的专项补助费），并按费用标准计算的施工专项补助费汇总计入建设预算“特殊项目”。项目完工后根据《关于进一步明确开展35kV及以上变电改扩建项目施工专项评价的通知》（建分公司〔2025〕55号）开展施工专项评价，按考评结果结算。考评结果若为优秀，则按合同价中的专项补助费全额支付；考评结果若为合格，扣除部分施工专项补助费，扣除费用为最高投标限价中的专项补助费×20%；考评结果若为不合格，扣除最高投标限价中的全部施工专项补助费。</w:t>
      </w:r>
    </w:p>
    <w:p>
      <w:pPr>
        <w:ind w:firstLine="420" w:firstLineChars="200"/>
        <w:rPr>
          <w:rFonts w:ascii="宋体" w:hAnsi="宋体" w:cs="宋体"/>
          <w:szCs w:val="21"/>
        </w:rPr>
      </w:pPr>
    </w:p>
    <w:p>
      <w:pPr>
        <w:pStyle w:val="7"/>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（三）承包方式：</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承包方式：包工、部分包料。</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变电站：建设单位提供材料如下：电气一、二次设备、全站电缆(不含照明电缆</w:t>
      </w:r>
      <w:r>
        <w:rPr>
          <w:rFonts w:hint="eastAsia" w:ascii="宋体" w:hAnsi="宋体" w:cs="宋体"/>
          <w:color w:val="auto"/>
          <w:szCs w:val="21"/>
          <w:highlight w:val="none"/>
          <w:lang w:eastAsia="zh-CN"/>
        </w:rPr>
        <w:t>、</w:t>
      </w:r>
      <w:r>
        <w:rPr>
          <w:rFonts w:hint="eastAsia" w:ascii="宋体" w:hAnsi="宋体" w:cs="宋体"/>
          <w:color w:val="auto"/>
          <w:szCs w:val="21"/>
          <w:highlight w:val="none"/>
        </w:rPr>
        <w:t>消防电缆)，10千伏及以上电缆附件、支柱绝缘子、穿墙套管、铜母线、接地铜排、绝缘子串(不含连接金具)</w:t>
      </w:r>
      <w:r>
        <w:rPr>
          <w:rFonts w:hint="eastAsia" w:ascii="宋体" w:hAnsi="宋体" w:cs="宋体"/>
          <w:color w:val="00B0F0"/>
          <w:szCs w:val="21"/>
          <w:highlight w:val="none"/>
        </w:rPr>
        <w:t>、</w:t>
      </w:r>
      <w:r>
        <w:rPr>
          <w:rFonts w:hint="eastAsia" w:ascii="宋体" w:hAnsi="宋体" w:cs="宋体"/>
          <w:color w:val="auto"/>
          <w:szCs w:val="21"/>
          <w:highlight w:val="none"/>
        </w:rPr>
        <w:t>电缆支架、电缆桥架、导地线、金具、站内电缆防火带</w:t>
      </w:r>
      <w:r>
        <w:rPr>
          <w:rFonts w:hint="eastAsia" w:ascii="宋体" w:hAnsi="宋体" w:cs="宋体"/>
          <w:color w:val="auto"/>
          <w:szCs w:val="21"/>
          <w:highlight w:val="none"/>
          <w:lang w:eastAsia="zh-CN"/>
        </w:rPr>
        <w:t>、</w:t>
      </w:r>
      <w:r>
        <w:rPr>
          <w:rFonts w:hint="eastAsia" w:ascii="宋体" w:hAnsi="宋体" w:cs="宋体"/>
          <w:color w:val="auto"/>
          <w:szCs w:val="21"/>
          <w:highlight w:val="none"/>
        </w:rPr>
        <w:t>防火槽盒</w:t>
      </w:r>
      <w:r>
        <w:rPr>
          <w:rFonts w:hint="eastAsia" w:ascii="宋体" w:hAnsi="宋体" w:cs="宋体"/>
          <w:color w:val="auto"/>
          <w:szCs w:val="21"/>
          <w:highlight w:val="none"/>
          <w:lang w:eastAsia="zh-CN"/>
        </w:rPr>
        <w:t>、</w:t>
      </w:r>
      <w:r>
        <w:rPr>
          <w:rFonts w:hint="eastAsia" w:ascii="宋体" w:hAnsi="宋体" w:cs="宋体"/>
          <w:color w:val="auto"/>
          <w:szCs w:val="21"/>
          <w:highlight w:val="none"/>
        </w:rPr>
        <w:t>镀锌钢管构支架、型钢构架。</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非标准件如金具等未在同期公司物资采购目录内（未有物资供应单位）及其余材料由施工单位提供。</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建设单位提供的设备、材料以合同附件（甲供设备材料明细表）为准。</w:t>
      </w:r>
    </w:p>
    <w:p>
      <w:pPr>
        <w:widowControl/>
        <w:jc w:val="left"/>
        <w:rPr>
          <w:rFonts w:hint="eastAsia" w:ascii="宋体" w:hAnsi="宋体" w:cs="宋体"/>
          <w:b/>
          <w:bCs/>
          <w:color w:val="auto"/>
          <w:kern w:val="0"/>
          <w:szCs w:val="21"/>
          <w:highlight w:val="none"/>
        </w:rPr>
      </w:pPr>
    </w:p>
    <w:p>
      <w:pPr>
        <w:pStyle w:val="9"/>
        <w:spacing w:line="480" w:lineRule="atLeast"/>
        <w:rPr>
          <w:rFonts w:asciiTheme="minorEastAsia" w:hAnsiTheme="minorEastAsia" w:eastAsiaTheme="minorEastAsia" w:cstheme="minorEastAsia"/>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55B8C0"/>
    <w:multiLevelType w:val="singleLevel"/>
    <w:tmpl w:val="2455B8C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3YmIyYWVkZTA3NmViYzlmNmJmZThkOTUxY2EwOGQifQ=="/>
  </w:docVars>
  <w:rsids>
    <w:rsidRoot w:val="24F737D8"/>
    <w:rsid w:val="00045E72"/>
    <w:rsid w:val="000D1489"/>
    <w:rsid w:val="00111F0C"/>
    <w:rsid w:val="00156A5B"/>
    <w:rsid w:val="00180F21"/>
    <w:rsid w:val="00193797"/>
    <w:rsid w:val="001A5E31"/>
    <w:rsid w:val="001C1542"/>
    <w:rsid w:val="002027C7"/>
    <w:rsid w:val="002107BE"/>
    <w:rsid w:val="002C29DC"/>
    <w:rsid w:val="002F309F"/>
    <w:rsid w:val="00351BA4"/>
    <w:rsid w:val="0038647D"/>
    <w:rsid w:val="00393ACE"/>
    <w:rsid w:val="003B6754"/>
    <w:rsid w:val="00420E6F"/>
    <w:rsid w:val="004C403D"/>
    <w:rsid w:val="004C5D8A"/>
    <w:rsid w:val="004C6A1B"/>
    <w:rsid w:val="00501342"/>
    <w:rsid w:val="00511217"/>
    <w:rsid w:val="005302BA"/>
    <w:rsid w:val="00592991"/>
    <w:rsid w:val="005D05D0"/>
    <w:rsid w:val="005F7C8B"/>
    <w:rsid w:val="006144A7"/>
    <w:rsid w:val="00642AE0"/>
    <w:rsid w:val="00643D44"/>
    <w:rsid w:val="00675492"/>
    <w:rsid w:val="00693295"/>
    <w:rsid w:val="00697E02"/>
    <w:rsid w:val="007410AE"/>
    <w:rsid w:val="00785D97"/>
    <w:rsid w:val="007B16EC"/>
    <w:rsid w:val="007C6464"/>
    <w:rsid w:val="0085711F"/>
    <w:rsid w:val="008B2F97"/>
    <w:rsid w:val="009239A9"/>
    <w:rsid w:val="00973999"/>
    <w:rsid w:val="009739DE"/>
    <w:rsid w:val="009C682C"/>
    <w:rsid w:val="009D4D82"/>
    <w:rsid w:val="00A1142F"/>
    <w:rsid w:val="00A51650"/>
    <w:rsid w:val="00A6224F"/>
    <w:rsid w:val="00AD509E"/>
    <w:rsid w:val="00AF5884"/>
    <w:rsid w:val="00BD3602"/>
    <w:rsid w:val="00C073B0"/>
    <w:rsid w:val="00D2040D"/>
    <w:rsid w:val="00EB2A58"/>
    <w:rsid w:val="00EB5172"/>
    <w:rsid w:val="00EF41F4"/>
    <w:rsid w:val="00F167AC"/>
    <w:rsid w:val="00FD4B4E"/>
    <w:rsid w:val="01000F1F"/>
    <w:rsid w:val="012C2627"/>
    <w:rsid w:val="01D03EF0"/>
    <w:rsid w:val="01DB519B"/>
    <w:rsid w:val="01E84FF7"/>
    <w:rsid w:val="021257FA"/>
    <w:rsid w:val="0270337E"/>
    <w:rsid w:val="03045209"/>
    <w:rsid w:val="03170999"/>
    <w:rsid w:val="032C4CCB"/>
    <w:rsid w:val="0334394B"/>
    <w:rsid w:val="03696E51"/>
    <w:rsid w:val="036A712A"/>
    <w:rsid w:val="043275F4"/>
    <w:rsid w:val="04AD51B8"/>
    <w:rsid w:val="04B94B55"/>
    <w:rsid w:val="04E97167"/>
    <w:rsid w:val="050E07AE"/>
    <w:rsid w:val="05104CF2"/>
    <w:rsid w:val="054E69FF"/>
    <w:rsid w:val="056C75CF"/>
    <w:rsid w:val="05B87515"/>
    <w:rsid w:val="05CD0BE8"/>
    <w:rsid w:val="060D6EE4"/>
    <w:rsid w:val="06195F4A"/>
    <w:rsid w:val="06796A2D"/>
    <w:rsid w:val="068D71D9"/>
    <w:rsid w:val="06AE5BB8"/>
    <w:rsid w:val="06B60614"/>
    <w:rsid w:val="0792502B"/>
    <w:rsid w:val="07AF1DA3"/>
    <w:rsid w:val="07BE007D"/>
    <w:rsid w:val="08CE69EC"/>
    <w:rsid w:val="08E42305"/>
    <w:rsid w:val="08F52A1A"/>
    <w:rsid w:val="0925770E"/>
    <w:rsid w:val="094360BA"/>
    <w:rsid w:val="0A781F45"/>
    <w:rsid w:val="0A882069"/>
    <w:rsid w:val="0A9B674C"/>
    <w:rsid w:val="0B826EA7"/>
    <w:rsid w:val="0B8776F8"/>
    <w:rsid w:val="0BC07002"/>
    <w:rsid w:val="0BE1258C"/>
    <w:rsid w:val="0BE42713"/>
    <w:rsid w:val="0BF05825"/>
    <w:rsid w:val="0BFD53EB"/>
    <w:rsid w:val="0C137A51"/>
    <w:rsid w:val="0C332B42"/>
    <w:rsid w:val="0C4867BA"/>
    <w:rsid w:val="0C6F07EA"/>
    <w:rsid w:val="0CBE1A3C"/>
    <w:rsid w:val="0CFF59E2"/>
    <w:rsid w:val="0D5C5D7C"/>
    <w:rsid w:val="0D824825"/>
    <w:rsid w:val="0DBE2E98"/>
    <w:rsid w:val="0E0119E1"/>
    <w:rsid w:val="0E2B3199"/>
    <w:rsid w:val="0E8134AB"/>
    <w:rsid w:val="0EA1730C"/>
    <w:rsid w:val="0EE81243"/>
    <w:rsid w:val="0EE83733"/>
    <w:rsid w:val="0F531ED6"/>
    <w:rsid w:val="101B02F8"/>
    <w:rsid w:val="101C7E7E"/>
    <w:rsid w:val="105C6685"/>
    <w:rsid w:val="10923340"/>
    <w:rsid w:val="10D57EB4"/>
    <w:rsid w:val="11217058"/>
    <w:rsid w:val="116419AD"/>
    <w:rsid w:val="11DC5CCF"/>
    <w:rsid w:val="11DF6CFE"/>
    <w:rsid w:val="11FC1228"/>
    <w:rsid w:val="12175897"/>
    <w:rsid w:val="1221206F"/>
    <w:rsid w:val="122449D0"/>
    <w:rsid w:val="12617BA5"/>
    <w:rsid w:val="12963024"/>
    <w:rsid w:val="12FC7CAB"/>
    <w:rsid w:val="13453BAE"/>
    <w:rsid w:val="13651D15"/>
    <w:rsid w:val="136E163F"/>
    <w:rsid w:val="13742A79"/>
    <w:rsid w:val="13B0545B"/>
    <w:rsid w:val="13BD743A"/>
    <w:rsid w:val="13C71878"/>
    <w:rsid w:val="13D306BF"/>
    <w:rsid w:val="1439793E"/>
    <w:rsid w:val="14440D4B"/>
    <w:rsid w:val="146E024B"/>
    <w:rsid w:val="147F2942"/>
    <w:rsid w:val="148241EF"/>
    <w:rsid w:val="14830E3B"/>
    <w:rsid w:val="15056A61"/>
    <w:rsid w:val="152F6276"/>
    <w:rsid w:val="15866746"/>
    <w:rsid w:val="159F6110"/>
    <w:rsid w:val="15DB706C"/>
    <w:rsid w:val="15EC11F5"/>
    <w:rsid w:val="15F42192"/>
    <w:rsid w:val="163409FD"/>
    <w:rsid w:val="164E4AE3"/>
    <w:rsid w:val="1651030E"/>
    <w:rsid w:val="16924EC1"/>
    <w:rsid w:val="17311749"/>
    <w:rsid w:val="17710405"/>
    <w:rsid w:val="17AC47D8"/>
    <w:rsid w:val="17AC6BE2"/>
    <w:rsid w:val="17DE79B5"/>
    <w:rsid w:val="17F55EC3"/>
    <w:rsid w:val="186767F4"/>
    <w:rsid w:val="18CA0D53"/>
    <w:rsid w:val="18E57496"/>
    <w:rsid w:val="193066EB"/>
    <w:rsid w:val="194A687A"/>
    <w:rsid w:val="19550C4E"/>
    <w:rsid w:val="19874D06"/>
    <w:rsid w:val="1A1D12E8"/>
    <w:rsid w:val="1A2F2F81"/>
    <w:rsid w:val="1A524C3A"/>
    <w:rsid w:val="1A56667A"/>
    <w:rsid w:val="1A582FCC"/>
    <w:rsid w:val="1A643C5B"/>
    <w:rsid w:val="1A7E10CE"/>
    <w:rsid w:val="1AA35B43"/>
    <w:rsid w:val="1AC44B48"/>
    <w:rsid w:val="1B1435D1"/>
    <w:rsid w:val="1B1A6514"/>
    <w:rsid w:val="1B2E44AE"/>
    <w:rsid w:val="1B3C333B"/>
    <w:rsid w:val="1B663F82"/>
    <w:rsid w:val="1BA9108A"/>
    <w:rsid w:val="1C4972F3"/>
    <w:rsid w:val="1CBB1210"/>
    <w:rsid w:val="1CFA07C1"/>
    <w:rsid w:val="1D3764AF"/>
    <w:rsid w:val="1D5074FA"/>
    <w:rsid w:val="1D515196"/>
    <w:rsid w:val="1D546D33"/>
    <w:rsid w:val="1D9028BC"/>
    <w:rsid w:val="1DB35787"/>
    <w:rsid w:val="1DD67A76"/>
    <w:rsid w:val="1E297809"/>
    <w:rsid w:val="1E42634B"/>
    <w:rsid w:val="1E4A7D3D"/>
    <w:rsid w:val="1EA379B5"/>
    <w:rsid w:val="1EA9759F"/>
    <w:rsid w:val="1F1243E1"/>
    <w:rsid w:val="1F14195F"/>
    <w:rsid w:val="1FFF637B"/>
    <w:rsid w:val="20694E72"/>
    <w:rsid w:val="206E68C1"/>
    <w:rsid w:val="20916CFE"/>
    <w:rsid w:val="20AF64A6"/>
    <w:rsid w:val="20D57188"/>
    <w:rsid w:val="213A6DE5"/>
    <w:rsid w:val="216F4D5B"/>
    <w:rsid w:val="219D6261"/>
    <w:rsid w:val="21FB08ED"/>
    <w:rsid w:val="21FB1D17"/>
    <w:rsid w:val="220833E1"/>
    <w:rsid w:val="22172817"/>
    <w:rsid w:val="22D01CE9"/>
    <w:rsid w:val="232B50A5"/>
    <w:rsid w:val="23456FA5"/>
    <w:rsid w:val="236572A4"/>
    <w:rsid w:val="24426571"/>
    <w:rsid w:val="2445130D"/>
    <w:rsid w:val="24573FB0"/>
    <w:rsid w:val="24E46BF4"/>
    <w:rsid w:val="24F737D8"/>
    <w:rsid w:val="2517429F"/>
    <w:rsid w:val="252836FB"/>
    <w:rsid w:val="254002AB"/>
    <w:rsid w:val="25B74C68"/>
    <w:rsid w:val="263126A3"/>
    <w:rsid w:val="26A06F6E"/>
    <w:rsid w:val="26B46A16"/>
    <w:rsid w:val="26B54132"/>
    <w:rsid w:val="2740501C"/>
    <w:rsid w:val="27417060"/>
    <w:rsid w:val="274170EE"/>
    <w:rsid w:val="2777374E"/>
    <w:rsid w:val="2785030E"/>
    <w:rsid w:val="278F57AD"/>
    <w:rsid w:val="27AA3BBB"/>
    <w:rsid w:val="27DD1C12"/>
    <w:rsid w:val="27E47C4B"/>
    <w:rsid w:val="289D725F"/>
    <w:rsid w:val="28B950D1"/>
    <w:rsid w:val="28C1082B"/>
    <w:rsid w:val="28F0531E"/>
    <w:rsid w:val="28F46A2A"/>
    <w:rsid w:val="29011EB2"/>
    <w:rsid w:val="29432FBF"/>
    <w:rsid w:val="296555D1"/>
    <w:rsid w:val="29AB0CF4"/>
    <w:rsid w:val="29CC3A93"/>
    <w:rsid w:val="29FE7C75"/>
    <w:rsid w:val="2A35590D"/>
    <w:rsid w:val="2A9A35F6"/>
    <w:rsid w:val="2AB2780B"/>
    <w:rsid w:val="2AD07A8F"/>
    <w:rsid w:val="2B3E5CF3"/>
    <w:rsid w:val="2B5B0674"/>
    <w:rsid w:val="2B645C1C"/>
    <w:rsid w:val="2B67084B"/>
    <w:rsid w:val="2BED7EC0"/>
    <w:rsid w:val="2BF63B13"/>
    <w:rsid w:val="2C76027C"/>
    <w:rsid w:val="2C7E4092"/>
    <w:rsid w:val="2CDE7279"/>
    <w:rsid w:val="2CE9283B"/>
    <w:rsid w:val="2CF0667B"/>
    <w:rsid w:val="2D471F06"/>
    <w:rsid w:val="2D5427C8"/>
    <w:rsid w:val="2D8E3667"/>
    <w:rsid w:val="2D953FD8"/>
    <w:rsid w:val="2DB4133C"/>
    <w:rsid w:val="2E517576"/>
    <w:rsid w:val="2E903B0A"/>
    <w:rsid w:val="2E9A5E18"/>
    <w:rsid w:val="2F2E6FE6"/>
    <w:rsid w:val="2F3A598B"/>
    <w:rsid w:val="2FF65FF8"/>
    <w:rsid w:val="300D195C"/>
    <w:rsid w:val="3044134F"/>
    <w:rsid w:val="305644CB"/>
    <w:rsid w:val="30BF37B5"/>
    <w:rsid w:val="30C938F6"/>
    <w:rsid w:val="30E33B4E"/>
    <w:rsid w:val="31063627"/>
    <w:rsid w:val="315E307E"/>
    <w:rsid w:val="317A406A"/>
    <w:rsid w:val="31812486"/>
    <w:rsid w:val="3225462F"/>
    <w:rsid w:val="326C15CD"/>
    <w:rsid w:val="328440F2"/>
    <w:rsid w:val="32C37159"/>
    <w:rsid w:val="32F7333A"/>
    <w:rsid w:val="33813B89"/>
    <w:rsid w:val="33D4063A"/>
    <w:rsid w:val="33E205E5"/>
    <w:rsid w:val="33EB0FE6"/>
    <w:rsid w:val="340547BA"/>
    <w:rsid w:val="340A5746"/>
    <w:rsid w:val="34242F97"/>
    <w:rsid w:val="343772E3"/>
    <w:rsid w:val="34C05A7F"/>
    <w:rsid w:val="34D20F1D"/>
    <w:rsid w:val="34D66156"/>
    <w:rsid w:val="34E01123"/>
    <w:rsid w:val="35126944"/>
    <w:rsid w:val="352C084C"/>
    <w:rsid w:val="355700EF"/>
    <w:rsid w:val="35E3505E"/>
    <w:rsid w:val="36045DEC"/>
    <w:rsid w:val="361736AD"/>
    <w:rsid w:val="361A4AD3"/>
    <w:rsid w:val="36291567"/>
    <w:rsid w:val="36905D28"/>
    <w:rsid w:val="36B97921"/>
    <w:rsid w:val="36D200CF"/>
    <w:rsid w:val="36E625D8"/>
    <w:rsid w:val="37290AF1"/>
    <w:rsid w:val="37364124"/>
    <w:rsid w:val="374073AD"/>
    <w:rsid w:val="3776777C"/>
    <w:rsid w:val="378F2234"/>
    <w:rsid w:val="37A87B4B"/>
    <w:rsid w:val="37DF0271"/>
    <w:rsid w:val="38036406"/>
    <w:rsid w:val="38090083"/>
    <w:rsid w:val="38152E68"/>
    <w:rsid w:val="38382DC3"/>
    <w:rsid w:val="38794785"/>
    <w:rsid w:val="389F2C3C"/>
    <w:rsid w:val="38D62EB4"/>
    <w:rsid w:val="390B1F57"/>
    <w:rsid w:val="392207C3"/>
    <w:rsid w:val="39721332"/>
    <w:rsid w:val="39B2192F"/>
    <w:rsid w:val="39EF7CAF"/>
    <w:rsid w:val="39FB785C"/>
    <w:rsid w:val="3A5F45D1"/>
    <w:rsid w:val="3A6F4CFB"/>
    <w:rsid w:val="3ABE1A8A"/>
    <w:rsid w:val="3AEF2ABA"/>
    <w:rsid w:val="3AF62716"/>
    <w:rsid w:val="3B07350D"/>
    <w:rsid w:val="3B220006"/>
    <w:rsid w:val="3B2A0F67"/>
    <w:rsid w:val="3B5E66F2"/>
    <w:rsid w:val="3BCA27B8"/>
    <w:rsid w:val="3C4A35F1"/>
    <w:rsid w:val="3C540BD2"/>
    <w:rsid w:val="3C5433D0"/>
    <w:rsid w:val="3CCD1144"/>
    <w:rsid w:val="3CD662DF"/>
    <w:rsid w:val="3CF35CE4"/>
    <w:rsid w:val="3D6637FD"/>
    <w:rsid w:val="3D743ED4"/>
    <w:rsid w:val="3D8E220A"/>
    <w:rsid w:val="3D8E3295"/>
    <w:rsid w:val="3EB60287"/>
    <w:rsid w:val="3ED3114D"/>
    <w:rsid w:val="3EDA70CB"/>
    <w:rsid w:val="3F0E7A53"/>
    <w:rsid w:val="3F27317E"/>
    <w:rsid w:val="3F277CDA"/>
    <w:rsid w:val="3F5440F4"/>
    <w:rsid w:val="3F9B7EF1"/>
    <w:rsid w:val="3FAC4783"/>
    <w:rsid w:val="3FAD2B29"/>
    <w:rsid w:val="3FC840B3"/>
    <w:rsid w:val="400F6A26"/>
    <w:rsid w:val="40865225"/>
    <w:rsid w:val="415E16A0"/>
    <w:rsid w:val="41A76CDF"/>
    <w:rsid w:val="41D24DB5"/>
    <w:rsid w:val="42D15FB8"/>
    <w:rsid w:val="434D5B46"/>
    <w:rsid w:val="43E00D1A"/>
    <w:rsid w:val="43FC254B"/>
    <w:rsid w:val="44427EB7"/>
    <w:rsid w:val="448316D6"/>
    <w:rsid w:val="449D080A"/>
    <w:rsid w:val="44D414C9"/>
    <w:rsid w:val="44D61592"/>
    <w:rsid w:val="44DE3202"/>
    <w:rsid w:val="45AA13D6"/>
    <w:rsid w:val="46003460"/>
    <w:rsid w:val="46472D5E"/>
    <w:rsid w:val="469B4709"/>
    <w:rsid w:val="46A85B41"/>
    <w:rsid w:val="46AB5AE5"/>
    <w:rsid w:val="46B7604A"/>
    <w:rsid w:val="47A839D0"/>
    <w:rsid w:val="484215BA"/>
    <w:rsid w:val="48BA2291"/>
    <w:rsid w:val="49332FB5"/>
    <w:rsid w:val="49F153DD"/>
    <w:rsid w:val="4A0C6515"/>
    <w:rsid w:val="4A291101"/>
    <w:rsid w:val="4A33669D"/>
    <w:rsid w:val="4AD50ED2"/>
    <w:rsid w:val="4AD737DB"/>
    <w:rsid w:val="4B013AA6"/>
    <w:rsid w:val="4B051E65"/>
    <w:rsid w:val="4B3A1BDA"/>
    <w:rsid w:val="4B3C43EF"/>
    <w:rsid w:val="4B517670"/>
    <w:rsid w:val="4B7D3C6A"/>
    <w:rsid w:val="4C2D2079"/>
    <w:rsid w:val="4C9C677F"/>
    <w:rsid w:val="4D392B7F"/>
    <w:rsid w:val="4D5A45BC"/>
    <w:rsid w:val="4D8F15D8"/>
    <w:rsid w:val="4DA0266A"/>
    <w:rsid w:val="4DB971B3"/>
    <w:rsid w:val="4DC759F3"/>
    <w:rsid w:val="4DED7214"/>
    <w:rsid w:val="4E040B17"/>
    <w:rsid w:val="4E374A5A"/>
    <w:rsid w:val="4E6D27A0"/>
    <w:rsid w:val="4E9575B8"/>
    <w:rsid w:val="4E9F43E4"/>
    <w:rsid w:val="4EA560D6"/>
    <w:rsid w:val="4EBA2AE4"/>
    <w:rsid w:val="4ED345E0"/>
    <w:rsid w:val="4F924FB7"/>
    <w:rsid w:val="4FEA2B4E"/>
    <w:rsid w:val="503662A7"/>
    <w:rsid w:val="5151771B"/>
    <w:rsid w:val="51DD22DD"/>
    <w:rsid w:val="51EC1975"/>
    <w:rsid w:val="51EC5327"/>
    <w:rsid w:val="51FF4AE6"/>
    <w:rsid w:val="52AE1A33"/>
    <w:rsid w:val="52B458D1"/>
    <w:rsid w:val="52CC6D89"/>
    <w:rsid w:val="52D90F0C"/>
    <w:rsid w:val="52F86189"/>
    <w:rsid w:val="53201AD9"/>
    <w:rsid w:val="53A87857"/>
    <w:rsid w:val="53B57089"/>
    <w:rsid w:val="53BA7E93"/>
    <w:rsid w:val="53E143AE"/>
    <w:rsid w:val="54471105"/>
    <w:rsid w:val="545E02B1"/>
    <w:rsid w:val="546011AE"/>
    <w:rsid w:val="54A775EF"/>
    <w:rsid w:val="54B54467"/>
    <w:rsid w:val="55435CE9"/>
    <w:rsid w:val="555B0A3F"/>
    <w:rsid w:val="55734D49"/>
    <w:rsid w:val="55987808"/>
    <w:rsid w:val="55C3156A"/>
    <w:rsid w:val="55C74027"/>
    <w:rsid w:val="55EC7C86"/>
    <w:rsid w:val="56A214AE"/>
    <w:rsid w:val="56F84D9F"/>
    <w:rsid w:val="573210B0"/>
    <w:rsid w:val="573B21BA"/>
    <w:rsid w:val="587E693B"/>
    <w:rsid w:val="58FD7D40"/>
    <w:rsid w:val="59155CE1"/>
    <w:rsid w:val="5923074E"/>
    <w:rsid w:val="594F433C"/>
    <w:rsid w:val="59AA10F9"/>
    <w:rsid w:val="59D45B85"/>
    <w:rsid w:val="5A5C59AE"/>
    <w:rsid w:val="5A6F296E"/>
    <w:rsid w:val="5B1530FC"/>
    <w:rsid w:val="5B245FB5"/>
    <w:rsid w:val="5B7D1EEC"/>
    <w:rsid w:val="5B8604E4"/>
    <w:rsid w:val="5BA8677C"/>
    <w:rsid w:val="5CBE490A"/>
    <w:rsid w:val="5CE81E44"/>
    <w:rsid w:val="5D066D29"/>
    <w:rsid w:val="5D3D0B65"/>
    <w:rsid w:val="5D554985"/>
    <w:rsid w:val="5D571BF1"/>
    <w:rsid w:val="5D753385"/>
    <w:rsid w:val="5E601A40"/>
    <w:rsid w:val="5EA54972"/>
    <w:rsid w:val="5F053010"/>
    <w:rsid w:val="5F6664B4"/>
    <w:rsid w:val="5F8A549C"/>
    <w:rsid w:val="5F8E0C51"/>
    <w:rsid w:val="5FA810D3"/>
    <w:rsid w:val="5FA83BA6"/>
    <w:rsid w:val="5FC47F2C"/>
    <w:rsid w:val="5FE724D4"/>
    <w:rsid w:val="60067A8B"/>
    <w:rsid w:val="600E1625"/>
    <w:rsid w:val="60605BAC"/>
    <w:rsid w:val="608606DE"/>
    <w:rsid w:val="60ED73F7"/>
    <w:rsid w:val="61533EBB"/>
    <w:rsid w:val="616A4F19"/>
    <w:rsid w:val="61736237"/>
    <w:rsid w:val="61B61E18"/>
    <w:rsid w:val="626847C8"/>
    <w:rsid w:val="62A26C17"/>
    <w:rsid w:val="63014E7B"/>
    <w:rsid w:val="636B1FDC"/>
    <w:rsid w:val="637E1A55"/>
    <w:rsid w:val="638843AD"/>
    <w:rsid w:val="63C73148"/>
    <w:rsid w:val="63D67A7D"/>
    <w:rsid w:val="64875264"/>
    <w:rsid w:val="64C37A21"/>
    <w:rsid w:val="65366619"/>
    <w:rsid w:val="65E814A1"/>
    <w:rsid w:val="668F1B3D"/>
    <w:rsid w:val="66AE6D3A"/>
    <w:rsid w:val="66C35559"/>
    <w:rsid w:val="66D91A76"/>
    <w:rsid w:val="66E32855"/>
    <w:rsid w:val="674C66DB"/>
    <w:rsid w:val="67531912"/>
    <w:rsid w:val="6759214B"/>
    <w:rsid w:val="67735961"/>
    <w:rsid w:val="67BF611B"/>
    <w:rsid w:val="682D31E4"/>
    <w:rsid w:val="6868145A"/>
    <w:rsid w:val="689A55A6"/>
    <w:rsid w:val="68B337CC"/>
    <w:rsid w:val="68BC13E5"/>
    <w:rsid w:val="69075AE0"/>
    <w:rsid w:val="69143380"/>
    <w:rsid w:val="696403F8"/>
    <w:rsid w:val="6A0C71DE"/>
    <w:rsid w:val="6A1C1F6D"/>
    <w:rsid w:val="6A287B5E"/>
    <w:rsid w:val="6A3142C9"/>
    <w:rsid w:val="6A405B73"/>
    <w:rsid w:val="6A6B37FA"/>
    <w:rsid w:val="6B295D61"/>
    <w:rsid w:val="6B303A1A"/>
    <w:rsid w:val="6B3D78C6"/>
    <w:rsid w:val="6B6368C1"/>
    <w:rsid w:val="6B9A0CE8"/>
    <w:rsid w:val="6BBC5FCE"/>
    <w:rsid w:val="6C0D6B0B"/>
    <w:rsid w:val="6C5C5B41"/>
    <w:rsid w:val="6C8E73F6"/>
    <w:rsid w:val="6CCF1940"/>
    <w:rsid w:val="6D473557"/>
    <w:rsid w:val="6D897695"/>
    <w:rsid w:val="6DAA2FDF"/>
    <w:rsid w:val="6E0132AC"/>
    <w:rsid w:val="6E121228"/>
    <w:rsid w:val="6E2E3854"/>
    <w:rsid w:val="6E6C4611"/>
    <w:rsid w:val="6ECE2A12"/>
    <w:rsid w:val="6F2B6BEF"/>
    <w:rsid w:val="6F8F2B34"/>
    <w:rsid w:val="6FDD4DE6"/>
    <w:rsid w:val="70873960"/>
    <w:rsid w:val="70B81233"/>
    <w:rsid w:val="70C30991"/>
    <w:rsid w:val="70D1495F"/>
    <w:rsid w:val="71174358"/>
    <w:rsid w:val="7163535E"/>
    <w:rsid w:val="716D3C1D"/>
    <w:rsid w:val="71783F98"/>
    <w:rsid w:val="72286DC4"/>
    <w:rsid w:val="722965B5"/>
    <w:rsid w:val="722D2A5F"/>
    <w:rsid w:val="72331016"/>
    <w:rsid w:val="72410EC4"/>
    <w:rsid w:val="730C32F8"/>
    <w:rsid w:val="734B7C16"/>
    <w:rsid w:val="73545F51"/>
    <w:rsid w:val="73641402"/>
    <w:rsid w:val="737B48BB"/>
    <w:rsid w:val="73AD42CB"/>
    <w:rsid w:val="7415064C"/>
    <w:rsid w:val="74260818"/>
    <w:rsid w:val="743C057A"/>
    <w:rsid w:val="74431F5E"/>
    <w:rsid w:val="74E73186"/>
    <w:rsid w:val="74F60CF4"/>
    <w:rsid w:val="75201B39"/>
    <w:rsid w:val="75EF292A"/>
    <w:rsid w:val="760F6550"/>
    <w:rsid w:val="763936F3"/>
    <w:rsid w:val="763B2CF0"/>
    <w:rsid w:val="764E470D"/>
    <w:rsid w:val="76850D49"/>
    <w:rsid w:val="76B35443"/>
    <w:rsid w:val="76CD51C8"/>
    <w:rsid w:val="76F6623C"/>
    <w:rsid w:val="773B0089"/>
    <w:rsid w:val="776F6C86"/>
    <w:rsid w:val="77974740"/>
    <w:rsid w:val="78391D4B"/>
    <w:rsid w:val="78417157"/>
    <w:rsid w:val="7842124A"/>
    <w:rsid w:val="784E1CF0"/>
    <w:rsid w:val="78A54556"/>
    <w:rsid w:val="792549A7"/>
    <w:rsid w:val="79435213"/>
    <w:rsid w:val="79E81839"/>
    <w:rsid w:val="79F61922"/>
    <w:rsid w:val="7A6A3937"/>
    <w:rsid w:val="7AF379C5"/>
    <w:rsid w:val="7B0320A0"/>
    <w:rsid w:val="7B8613C3"/>
    <w:rsid w:val="7C492050"/>
    <w:rsid w:val="7C505703"/>
    <w:rsid w:val="7C766170"/>
    <w:rsid w:val="7C8B2065"/>
    <w:rsid w:val="7CA976D1"/>
    <w:rsid w:val="7D1374F3"/>
    <w:rsid w:val="7D26550D"/>
    <w:rsid w:val="7D2D6A7C"/>
    <w:rsid w:val="7E2B4E0E"/>
    <w:rsid w:val="7E3420E0"/>
    <w:rsid w:val="7E9B1F1B"/>
    <w:rsid w:val="7ED35A54"/>
    <w:rsid w:val="7F1E0D91"/>
    <w:rsid w:val="7F35093E"/>
    <w:rsid w:val="7F4D5156"/>
    <w:rsid w:val="7F642F28"/>
    <w:rsid w:val="7FAD5747"/>
    <w:rsid w:val="7FAF1A05"/>
    <w:rsid w:val="7FD0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3"/>
    <w:unhideWhenUsed/>
    <w:qFormat/>
    <w:uiPriority w:val="99"/>
    <w:pPr>
      <w:autoSpaceDE w:val="0"/>
      <w:autoSpaceDN w:val="0"/>
      <w:adjustRightInd w:val="0"/>
      <w:outlineLvl w:val="1"/>
    </w:pPr>
    <w:rPr>
      <w:rFonts w:ascii="Arial" w:hAnsi="Arial"/>
      <w:b/>
      <w:i/>
      <w:color w:val="000000"/>
      <w:sz w:val="28"/>
    </w:rPr>
  </w:style>
  <w:style w:type="paragraph" w:styleId="5">
    <w:name w:val="heading 3"/>
    <w:basedOn w:val="1"/>
    <w:next w:val="1"/>
    <w:qFormat/>
    <w:uiPriority w:val="0"/>
    <w:pPr>
      <w:keepNext/>
      <w:keepLines/>
      <w:spacing w:before="140" w:after="140" w:line="413" w:lineRule="auto"/>
      <w:outlineLvl w:val="2"/>
    </w:pPr>
    <w:rPr>
      <w:rFonts w:ascii="Times New Roman" w:hAnsi="Times New Roman"/>
      <w:b/>
      <w:sz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kern w:val="0"/>
      <w:sz w:val="20"/>
      <w:szCs w:val="20"/>
    </w:rPr>
  </w:style>
  <w:style w:type="paragraph" w:styleId="6">
    <w:name w:val="annotation text"/>
    <w:basedOn w:val="1"/>
    <w:qFormat/>
    <w:uiPriority w:val="0"/>
    <w:pPr>
      <w:jc w:val="left"/>
    </w:pPr>
  </w:style>
  <w:style w:type="paragraph" w:styleId="7">
    <w:name w:val="Body Text"/>
    <w:basedOn w:val="1"/>
    <w:next w:val="1"/>
    <w:semiHidden/>
    <w:qFormat/>
    <w:uiPriority w:val="99"/>
    <w:pPr>
      <w:widowControl/>
      <w:jc w:val="left"/>
    </w:pPr>
    <w:rPr>
      <w:kern w:val="0"/>
      <w:sz w:val="28"/>
      <w:szCs w:val="20"/>
    </w:rPr>
  </w:style>
  <w:style w:type="paragraph" w:styleId="8">
    <w:name w:val="Body Text Indent"/>
    <w:basedOn w:val="1"/>
    <w:qFormat/>
    <w:uiPriority w:val="0"/>
    <w:pPr>
      <w:spacing w:after="120"/>
      <w:ind w:left="420" w:leftChars="200"/>
    </w:pPr>
  </w:style>
  <w:style w:type="paragraph" w:styleId="9">
    <w:name w:val="Plain Text"/>
    <w:basedOn w:val="1"/>
    <w:link w:val="22"/>
    <w:qFormat/>
    <w:uiPriority w:val="0"/>
    <w:rPr>
      <w:rFonts w:ascii="宋体" w:hAnsi="Courier New"/>
      <w:kern w:val="0"/>
      <w:sz w:val="20"/>
      <w:szCs w:val="20"/>
    </w:rPr>
  </w:style>
  <w:style w:type="paragraph" w:styleId="10">
    <w:name w:val="footer"/>
    <w:basedOn w:val="1"/>
    <w:link w:val="21"/>
    <w:qFormat/>
    <w:uiPriority w:val="0"/>
    <w:pPr>
      <w:tabs>
        <w:tab w:val="center" w:pos="4153"/>
        <w:tab w:val="right" w:pos="8306"/>
      </w:tabs>
      <w:snapToGrid w:val="0"/>
      <w:jc w:val="left"/>
    </w:pPr>
    <w:rPr>
      <w:sz w:val="18"/>
      <w:szCs w:val="18"/>
    </w:rPr>
  </w:style>
  <w:style w:type="paragraph" w:styleId="11">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kern w:val="0"/>
      <w:sz w:val="24"/>
    </w:rPr>
  </w:style>
  <w:style w:type="paragraph" w:styleId="13">
    <w:name w:val="Title"/>
    <w:basedOn w:val="1"/>
    <w:next w:val="1"/>
    <w:qFormat/>
    <w:uiPriority w:val="0"/>
    <w:pPr>
      <w:spacing w:before="240" w:after="60"/>
      <w:jc w:val="center"/>
      <w:outlineLvl w:val="0"/>
    </w:pPr>
    <w:rPr>
      <w:rFonts w:ascii="Arial" w:hAnsi="Arial" w:cs="Arial"/>
      <w:b/>
      <w:bCs/>
      <w:sz w:val="32"/>
      <w:szCs w:val="32"/>
    </w:rPr>
  </w:style>
  <w:style w:type="paragraph" w:styleId="14">
    <w:name w:val="Body Text First Indent"/>
    <w:basedOn w:val="7"/>
    <w:next w:val="1"/>
    <w:unhideWhenUsed/>
    <w:qFormat/>
    <w:uiPriority w:val="0"/>
    <w:pPr>
      <w:ind w:firstLine="420" w:firstLineChars="1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_Style 5"/>
    <w:basedOn w:val="1"/>
    <w:qFormat/>
    <w:uiPriority w:val="0"/>
    <w:pPr>
      <w:ind w:firstLine="420" w:firstLineChars="200"/>
    </w:pPr>
  </w:style>
  <w:style w:type="character" w:customStyle="1" w:styleId="20">
    <w:name w:val="页眉 字符"/>
    <w:basedOn w:val="17"/>
    <w:link w:val="11"/>
    <w:qFormat/>
    <w:uiPriority w:val="0"/>
    <w:rPr>
      <w:rFonts w:ascii="Calibri" w:hAnsi="Calibri"/>
      <w:kern w:val="2"/>
      <w:sz w:val="18"/>
      <w:szCs w:val="18"/>
    </w:rPr>
  </w:style>
  <w:style w:type="character" w:customStyle="1" w:styleId="21">
    <w:name w:val="页脚 字符"/>
    <w:basedOn w:val="17"/>
    <w:link w:val="10"/>
    <w:qFormat/>
    <w:uiPriority w:val="0"/>
    <w:rPr>
      <w:rFonts w:ascii="Calibri" w:hAnsi="Calibri"/>
      <w:kern w:val="2"/>
      <w:sz w:val="18"/>
      <w:szCs w:val="18"/>
    </w:rPr>
  </w:style>
  <w:style w:type="character" w:customStyle="1" w:styleId="22">
    <w:name w:val="纯文本 字符"/>
    <w:link w:val="9"/>
    <w:qFormat/>
    <w:uiPriority w:val="0"/>
    <w:rPr>
      <w:rFonts w:ascii="宋体" w:hAnsi="Courier New"/>
    </w:rPr>
  </w:style>
  <w:style w:type="character" w:customStyle="1" w:styleId="23">
    <w:name w:val="font11"/>
    <w:basedOn w:val="17"/>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GEDI</Company>
  <Pages>3</Pages>
  <Words>2795</Words>
  <Characters>3017</Characters>
  <Lines>52</Lines>
  <Paragraphs>14</Paragraphs>
  <TotalTime>8</TotalTime>
  <ScaleCrop>false</ScaleCrop>
  <LinksUpToDate>false</LinksUpToDate>
  <CharactersWithSpaces>3166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2025-07-14T12:00:00Z</dcterms:created>
  <dc:creator>maja</dc:creator>
  <cp:lastModifiedBy>gzry8</cp:lastModifiedBy>
  <dcterms:modified xsi:type="dcterms:W3CDTF">2025-10-29T11:10:32Z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3B4028ACB26A42CEA3E442090A0F02C8</vt:lpwstr>
  </property>
  <property fmtid="{D5CDD505-2E9C-101B-9397-08002B2CF9AE}" pid="4" name="KSOTemplateDocerSaveRecord">
    <vt:lpwstr>eyJoZGlkIjoiMTVhZjMxYWFmNzAxZDljYTljYWUwOGU2MzQ4MjA2YzAiLCJ1c2VySWQiOiI0NDg5MTU5OTYifQ==</vt:lpwstr>
  </property>
</Properties>
</file>