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60" w:lineRule="auto"/>
        <w:jc w:val="center"/>
        <w:outlineLvl w:val="0"/>
        <w:rPr>
          <w:rFonts w:hAnsi="宋体" w:cs="宋体"/>
          <w:b/>
          <w:bCs/>
          <w:snapToGrid w:val="0"/>
          <w:sz w:val="24"/>
          <w:szCs w:val="24"/>
          <w:u w:val="single"/>
        </w:rPr>
      </w:pPr>
      <w:bookmarkStart w:id="4" w:name="_GoBack"/>
      <w:bookmarkEnd w:id="4"/>
      <w:bookmarkStart w:id="0" w:name="_Toc8445"/>
      <w:r>
        <w:rPr>
          <w:rFonts w:hint="eastAsia" w:asciiTheme="minorEastAsia" w:hAnsiTheme="minorEastAsia" w:eastAsiaTheme="minorEastAsia" w:cstheme="minorEastAsia"/>
          <w:b/>
          <w:bCs/>
          <w:snapToGrid w:val="0"/>
          <w:sz w:val="28"/>
          <w:szCs w:val="28"/>
        </w:rPr>
        <w:t>标的名称：</w:t>
      </w:r>
      <w:r>
        <w:rPr>
          <w:rFonts w:hint="eastAsia" w:asciiTheme="minorEastAsia" w:hAnsiTheme="minorEastAsia" w:eastAsiaTheme="minorEastAsia" w:cstheme="minorEastAsia"/>
          <w:b/>
          <w:bCs/>
          <w:snapToGrid w:val="0"/>
          <w:sz w:val="28"/>
          <w:szCs w:val="28"/>
          <w:u w:val="single"/>
        </w:rPr>
        <w:t>220千伏穗莞深城际前海牵引所外电配套工程</w:t>
      </w:r>
    </w:p>
    <w:tbl>
      <w:tblPr>
        <w:tblStyle w:val="16"/>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序号</w:t>
            </w:r>
          </w:p>
        </w:tc>
        <w:tc>
          <w:tcPr>
            <w:tcW w:w="2263" w:type="dxa"/>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文件名称</w:t>
            </w:r>
          </w:p>
        </w:tc>
        <w:tc>
          <w:tcPr>
            <w:tcW w:w="3574" w:type="dxa"/>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1</w:t>
            </w:r>
          </w:p>
        </w:tc>
        <w:tc>
          <w:tcPr>
            <w:tcW w:w="2263" w:type="dxa"/>
          </w:tcPr>
          <w:p>
            <w:pPr>
              <w:pStyle w:val="10"/>
              <w:spacing w:line="360" w:lineRule="auto"/>
              <w:jc w:val="center"/>
              <w:rPr>
                <w:rFonts w:hAnsi="宋体" w:cs="宋体"/>
                <w:b/>
                <w:bCs/>
                <w:snapToGrid w:val="0"/>
                <w:sz w:val="24"/>
                <w:szCs w:val="24"/>
              </w:rPr>
            </w:pPr>
            <w:r>
              <w:rPr>
                <w:rFonts w:hint="eastAsia" w:hAnsi="宋体" w:cs="宋体"/>
                <w:b/>
                <w:bCs/>
                <w:sz w:val="21"/>
                <w:szCs w:val="21"/>
              </w:rPr>
              <w:t>可研批复文号</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深供电工程〔2023〕147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2</w:t>
            </w:r>
          </w:p>
        </w:tc>
        <w:tc>
          <w:tcPr>
            <w:tcW w:w="2263" w:type="dxa"/>
          </w:tcPr>
          <w:p>
            <w:pPr>
              <w:pStyle w:val="10"/>
              <w:spacing w:line="360" w:lineRule="auto"/>
              <w:jc w:val="center"/>
              <w:rPr>
                <w:rFonts w:hAnsi="宋体" w:cs="宋体"/>
                <w:b/>
                <w:bCs/>
                <w:snapToGrid w:val="0"/>
                <w:sz w:val="24"/>
                <w:szCs w:val="24"/>
              </w:rPr>
            </w:pPr>
            <w:r>
              <w:rPr>
                <w:rFonts w:hint="eastAsia" w:hAnsi="宋体" w:cs="宋体"/>
                <w:b/>
                <w:bCs/>
                <w:sz w:val="21"/>
                <w:szCs w:val="21"/>
              </w:rPr>
              <w:t>项目核准文号</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深前海核准【2024】0003号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3</w:t>
            </w:r>
          </w:p>
        </w:tc>
        <w:tc>
          <w:tcPr>
            <w:tcW w:w="2263" w:type="dxa"/>
          </w:tcPr>
          <w:p>
            <w:pPr>
              <w:pStyle w:val="10"/>
              <w:spacing w:line="360" w:lineRule="auto"/>
              <w:jc w:val="center"/>
              <w:rPr>
                <w:rFonts w:hAnsi="宋体" w:cs="宋体"/>
                <w:b/>
                <w:bCs/>
                <w:snapToGrid w:val="0"/>
                <w:sz w:val="24"/>
                <w:szCs w:val="24"/>
              </w:rPr>
            </w:pPr>
            <w:r>
              <w:rPr>
                <w:rFonts w:hint="eastAsia" w:hAnsi="宋体" w:cs="宋体"/>
                <w:b/>
                <w:bCs/>
                <w:sz w:val="21"/>
                <w:szCs w:val="21"/>
              </w:rPr>
              <w:t>初设批复文号</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深供电工程〔2025〕2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4</w:t>
            </w:r>
          </w:p>
        </w:tc>
        <w:tc>
          <w:tcPr>
            <w:tcW w:w="2263" w:type="dxa"/>
          </w:tcPr>
          <w:p>
            <w:pPr>
              <w:pStyle w:val="10"/>
              <w:spacing w:line="360" w:lineRule="auto"/>
              <w:jc w:val="center"/>
              <w:rPr>
                <w:rFonts w:hAnsi="宋体" w:cs="宋体"/>
                <w:b/>
                <w:bCs/>
                <w:sz w:val="21"/>
                <w:szCs w:val="21"/>
              </w:rPr>
            </w:pPr>
            <w:r>
              <w:rPr>
                <w:rFonts w:hint="eastAsia" w:hAnsi="宋体" w:cs="宋体"/>
                <w:b/>
                <w:bCs/>
                <w:sz w:val="21"/>
                <w:szCs w:val="21"/>
              </w:rPr>
              <w:t>资金落实情况</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资金已落实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5</w:t>
            </w:r>
          </w:p>
        </w:tc>
        <w:tc>
          <w:tcPr>
            <w:tcW w:w="2263" w:type="dxa"/>
          </w:tcPr>
          <w:p>
            <w:pPr>
              <w:pStyle w:val="10"/>
              <w:spacing w:line="360" w:lineRule="auto"/>
              <w:jc w:val="center"/>
              <w:rPr>
                <w:rFonts w:hAnsi="宋体" w:cs="宋体"/>
                <w:b/>
                <w:bCs/>
                <w:sz w:val="21"/>
                <w:szCs w:val="21"/>
              </w:rPr>
            </w:pPr>
            <w:r>
              <w:rPr>
                <w:rFonts w:hint="eastAsia" w:hAnsi="宋体" w:cs="宋体"/>
                <w:b/>
                <w:bCs/>
                <w:sz w:val="21"/>
                <w:szCs w:val="21"/>
              </w:rPr>
              <w:t>施工图预算批复文号</w:t>
            </w:r>
          </w:p>
        </w:tc>
        <w:tc>
          <w:tcPr>
            <w:tcW w:w="3574" w:type="dxa"/>
            <w:vAlign w:val="center"/>
          </w:tcPr>
          <w:p>
            <w:pPr>
              <w:pStyle w:val="10"/>
              <w:spacing w:line="360" w:lineRule="auto"/>
              <w:jc w:val="center"/>
              <w:rPr>
                <w:rFonts w:hAnsi="宋体" w:cs="宋体"/>
                <w:sz w:val="21"/>
                <w:szCs w:val="21"/>
              </w:rPr>
            </w:pPr>
            <w:r>
              <w:rPr>
                <w:rFonts w:hint="eastAsia" w:hAnsi="宋体" w:cs="宋体"/>
                <w:color w:val="auto"/>
                <w:sz w:val="21"/>
                <w:szCs w:val="21"/>
                <w:highlight w:val="none"/>
              </w:rPr>
              <w:t>深供电</w:t>
            </w:r>
            <w:r>
              <w:rPr>
                <w:rFonts w:hint="eastAsia" w:hAnsi="宋体" w:cs="宋体"/>
                <w:color w:val="auto"/>
                <w:sz w:val="21"/>
                <w:szCs w:val="21"/>
                <w:highlight w:val="none"/>
                <w:lang w:val="en-US" w:eastAsia="zh-CN"/>
              </w:rPr>
              <w:t>基建</w:t>
            </w:r>
            <w:r>
              <w:rPr>
                <w:rFonts w:hint="eastAsia" w:hAnsi="宋体" w:cs="宋体"/>
                <w:color w:val="auto"/>
                <w:sz w:val="21"/>
                <w:szCs w:val="21"/>
                <w:highlight w:val="none"/>
              </w:rPr>
              <w:t>[20</w:t>
            </w:r>
            <w:r>
              <w:rPr>
                <w:rFonts w:hint="eastAsia" w:hAnsi="宋体" w:cs="宋体"/>
                <w:color w:val="auto"/>
                <w:sz w:val="21"/>
                <w:szCs w:val="21"/>
                <w:highlight w:val="none"/>
                <w:lang w:val="en-US" w:eastAsia="zh-CN"/>
              </w:rPr>
              <w:t>25</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68</w:t>
            </w:r>
            <w:r>
              <w:rPr>
                <w:rFonts w:hint="eastAsia" w:hAnsi="宋体" w:cs="宋体"/>
                <w:color w:val="auto"/>
                <w:sz w:val="21"/>
                <w:szCs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6</w:t>
            </w:r>
          </w:p>
        </w:tc>
        <w:tc>
          <w:tcPr>
            <w:tcW w:w="2263" w:type="dxa"/>
          </w:tcPr>
          <w:p>
            <w:pPr>
              <w:pStyle w:val="10"/>
              <w:spacing w:line="360" w:lineRule="auto"/>
              <w:jc w:val="center"/>
              <w:rPr>
                <w:rFonts w:hAnsi="宋体" w:cs="宋体"/>
                <w:b/>
                <w:bCs/>
                <w:sz w:val="21"/>
                <w:szCs w:val="21"/>
              </w:rPr>
            </w:pPr>
            <w:r>
              <w:rPr>
                <w:rFonts w:hint="eastAsia" w:hAnsi="宋体" w:cs="宋体"/>
                <w:b/>
                <w:bCs/>
                <w:sz w:val="21"/>
                <w:szCs w:val="21"/>
              </w:rPr>
              <w:t>项目建设单位</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深圳供电局有限公司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7</w:t>
            </w:r>
          </w:p>
        </w:tc>
        <w:tc>
          <w:tcPr>
            <w:tcW w:w="2263" w:type="dxa"/>
          </w:tcPr>
          <w:p>
            <w:pPr>
              <w:pStyle w:val="10"/>
              <w:spacing w:line="360" w:lineRule="auto"/>
              <w:jc w:val="center"/>
              <w:rPr>
                <w:rFonts w:hAnsi="宋体" w:cs="宋体"/>
                <w:b/>
                <w:bCs/>
                <w:sz w:val="21"/>
                <w:szCs w:val="21"/>
              </w:rPr>
            </w:pPr>
            <w:r>
              <w:rPr>
                <w:rFonts w:hint="eastAsia" w:hAnsi="宋体" w:cs="宋体"/>
                <w:b/>
                <w:bCs/>
                <w:sz w:val="21"/>
                <w:szCs w:val="21"/>
              </w:rPr>
              <w:t>项目建设地点</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8</w:t>
            </w:r>
          </w:p>
        </w:tc>
        <w:tc>
          <w:tcPr>
            <w:tcW w:w="2263" w:type="dxa"/>
          </w:tcPr>
          <w:p>
            <w:pPr>
              <w:pStyle w:val="10"/>
              <w:spacing w:line="360" w:lineRule="auto"/>
              <w:jc w:val="center"/>
              <w:rPr>
                <w:rFonts w:hAnsi="宋体" w:cs="宋体"/>
                <w:b/>
                <w:bCs/>
                <w:sz w:val="21"/>
                <w:szCs w:val="21"/>
              </w:rPr>
            </w:pPr>
            <w:r>
              <w:rPr>
                <w:rFonts w:hint="eastAsia" w:hAnsi="宋体" w:cs="宋体"/>
                <w:b/>
                <w:bCs/>
                <w:sz w:val="21"/>
                <w:szCs w:val="21"/>
              </w:rPr>
              <w:t>前期的设计或咨询服务单位名称</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深圳供电规划设计院有限公司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vAlign w:val="center"/>
          </w:tcPr>
          <w:p>
            <w:pPr>
              <w:pStyle w:val="10"/>
              <w:spacing w:line="360" w:lineRule="auto"/>
              <w:jc w:val="center"/>
              <w:rPr>
                <w:rFonts w:hAnsi="宋体" w:cs="宋体"/>
                <w:b/>
                <w:bCs/>
                <w:snapToGrid w:val="0"/>
                <w:sz w:val="24"/>
                <w:szCs w:val="24"/>
              </w:rPr>
            </w:pPr>
            <w:r>
              <w:rPr>
                <w:rFonts w:hint="eastAsia" w:hAnsi="宋体" w:cs="宋体"/>
                <w:b/>
                <w:bCs/>
                <w:snapToGrid w:val="0"/>
                <w:sz w:val="24"/>
                <w:szCs w:val="24"/>
              </w:rPr>
              <w:t>9</w:t>
            </w:r>
          </w:p>
        </w:tc>
        <w:tc>
          <w:tcPr>
            <w:tcW w:w="2263" w:type="dxa"/>
          </w:tcPr>
          <w:p>
            <w:pPr>
              <w:pStyle w:val="10"/>
              <w:spacing w:line="360" w:lineRule="auto"/>
              <w:jc w:val="center"/>
              <w:rPr>
                <w:rFonts w:hAnsi="宋体" w:cs="宋体"/>
                <w:b/>
                <w:bCs/>
                <w:sz w:val="21"/>
                <w:szCs w:val="21"/>
              </w:rPr>
            </w:pPr>
            <w:r>
              <w:rPr>
                <w:rFonts w:hint="eastAsia" w:hAnsi="宋体" w:cs="宋体"/>
                <w:b/>
                <w:bCs/>
                <w:sz w:val="21"/>
                <w:szCs w:val="21"/>
              </w:rPr>
              <w:t>项目监理单位</w:t>
            </w:r>
          </w:p>
        </w:tc>
        <w:tc>
          <w:tcPr>
            <w:tcW w:w="3574" w:type="dxa"/>
            <w:vAlign w:val="center"/>
          </w:tcPr>
          <w:p>
            <w:pPr>
              <w:pStyle w:val="10"/>
              <w:spacing w:line="360" w:lineRule="auto"/>
              <w:jc w:val="center"/>
              <w:rPr>
                <w:rFonts w:hAnsi="宋体" w:cs="宋体"/>
                <w:sz w:val="21"/>
                <w:szCs w:val="21"/>
              </w:rPr>
            </w:pPr>
            <w:r>
              <w:rPr>
                <w:rFonts w:hint="eastAsia" w:hAnsi="宋体" w:cs="宋体"/>
                <w:sz w:val="21"/>
                <w:szCs w:val="21"/>
              </w:rPr>
              <w:t>深圳市威彦达工程监理有限公司</w:t>
            </w:r>
          </w:p>
        </w:tc>
      </w:tr>
    </w:tbl>
    <w:p/>
    <w:p>
      <w:pPr>
        <w:pStyle w:val="10"/>
        <w:spacing w:line="360" w:lineRule="auto"/>
        <w:outlineLvl w:val="0"/>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（一）建设规模：</w:t>
      </w:r>
      <w:bookmarkEnd w:id="0"/>
      <w:bookmarkStart w:id="1" w:name="_Toc4755"/>
      <w:bookmarkStart w:id="2" w:name="_Toc28718"/>
      <w:bookmarkStart w:id="3" w:name="_Toc13498"/>
      <w:r>
        <w:rPr>
          <w:rFonts w:hint="eastAsia" w:asciiTheme="minorEastAsia" w:hAnsiTheme="minorEastAsia" w:eastAsiaTheme="minorEastAsia" w:cstheme="minorEastAsia"/>
          <w:b/>
          <w:bCs/>
          <w:sz w:val="24"/>
          <w:szCs w:val="24"/>
        </w:rPr>
        <w:t>【具体规模以项目施工图批复内容为准】</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w:t>
      </w:r>
      <w:r>
        <w:rPr>
          <w:rFonts w:hint="eastAsia" w:ascii="宋体" w:hAnsi="宋体" w:cs="宋体"/>
          <w:color w:val="auto"/>
          <w:sz w:val="24"/>
          <w:szCs w:val="24"/>
          <w:highlight w:val="none"/>
        </w:rPr>
        <w:t>对侧220kV兴怀站间隔扩建工程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本工程扩建3个220kV电缆出线间隔，其中航海甲、乙线利用原预留间隔位置进行扩建，至前海牵引所间隔为超规模扩建。</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ascii="宋体" w:hAnsi="宋体" w:cs="宋体"/>
          <w:color w:val="auto"/>
          <w:sz w:val="24"/>
          <w:szCs w:val="24"/>
          <w:highlight w:val="none"/>
        </w:rPr>
        <w:t>.</w:t>
      </w:r>
      <w:r>
        <w:rPr>
          <w:rFonts w:hint="eastAsia" w:ascii="宋体" w:hAnsi="宋体" w:cs="宋体"/>
          <w:color w:val="auto"/>
          <w:sz w:val="24"/>
          <w:szCs w:val="24"/>
          <w:highlight w:val="none"/>
        </w:rPr>
        <w:t>对侧220kV航海站间隔扩建工程</w:t>
      </w:r>
    </w:p>
    <w:p>
      <w:pPr>
        <w:adjustRightInd w:val="0"/>
        <w:snapToGrid w:val="0"/>
        <w:spacing w:line="360" w:lineRule="auto"/>
        <w:ind w:left="420" w:leftChars="200"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本期在预留位置扩建1个220kV电缆出线间隔（第22间隔），至220kV前海牵引所，间隔内母线隔离开关及接地开关前期已建成。</w:t>
      </w:r>
    </w:p>
    <w:p>
      <w:pPr>
        <w:adjustRightInd w:val="0"/>
        <w:snapToGrid w:val="0"/>
        <w:spacing w:line="360" w:lineRule="auto"/>
        <w:ind w:left="420" w:leftChars="20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3.220kV兴怀站至前海牵引所单回电缆线路工程</w:t>
      </w:r>
    </w:p>
    <w:p>
      <w:pPr>
        <w:adjustRightInd w:val="0"/>
        <w:snapToGrid w:val="0"/>
        <w:spacing w:line="360" w:lineRule="auto"/>
        <w:ind w:left="420" w:leftChars="20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新建单回电缆线路路径长约1×</w:t>
      </w:r>
      <w:r>
        <w:rPr>
          <w:rFonts w:ascii="宋体" w:hAnsi="宋体" w:cs="宋体"/>
          <w:color w:val="auto"/>
          <w:sz w:val="24"/>
          <w:szCs w:val="24"/>
          <w:highlight w:val="none"/>
        </w:rPr>
        <w:t>1.12</w:t>
      </w:r>
      <w:r>
        <w:rPr>
          <w:rFonts w:hint="eastAsia" w:ascii="宋体" w:hAnsi="宋体" w:cs="宋体"/>
          <w:color w:val="auto"/>
          <w:sz w:val="24"/>
          <w:szCs w:val="24"/>
          <w:highlight w:val="none"/>
        </w:rPr>
        <w:t>千米，电缆采用阻燃</w:t>
      </w:r>
      <w:r>
        <w:rPr>
          <w:rFonts w:ascii="宋体" w:hAnsi="宋体" w:cs="宋体"/>
          <w:color w:val="auto"/>
          <w:sz w:val="24"/>
          <w:szCs w:val="24"/>
          <w:highlight w:val="none"/>
        </w:rPr>
        <w:t>1200</w:t>
      </w:r>
      <w:r>
        <w:rPr>
          <w:rFonts w:hint="eastAsia" w:ascii="宋体" w:hAnsi="宋体" w:cs="宋体"/>
          <w:color w:val="auto"/>
          <w:sz w:val="24"/>
          <w:szCs w:val="24"/>
          <w:highlight w:val="none"/>
        </w:rPr>
        <w:t>mm</w:t>
      </w:r>
      <w:r>
        <w:rPr>
          <w:rFonts w:ascii="宋体" w:hAnsi="宋体" w:cs="宋体"/>
          <w:color w:val="auto"/>
          <w:sz w:val="24"/>
          <w:szCs w:val="24"/>
          <w:highlight w:val="none"/>
          <w:vertAlign w:val="superscript"/>
        </w:rPr>
        <w:t>2</w:t>
      </w:r>
      <w:r>
        <w:rPr>
          <w:rFonts w:hint="eastAsia" w:ascii="宋体" w:hAnsi="宋体" w:cs="宋体"/>
          <w:color w:val="auto"/>
          <w:sz w:val="24"/>
          <w:szCs w:val="24"/>
          <w:highlight w:val="none"/>
        </w:rPr>
        <w:t>截面型交联聚乙烯绝缘铜芯电缆。</w:t>
      </w:r>
    </w:p>
    <w:p>
      <w:pPr>
        <w:adjustRightInd w:val="0"/>
        <w:snapToGrid w:val="0"/>
        <w:spacing w:line="360" w:lineRule="auto"/>
        <w:ind w:left="420" w:leftChars="200" w:firstLine="480" w:firstLineChars="200"/>
        <w:rPr>
          <w:rFonts w:ascii="宋体" w:hAnsi="宋体" w:cs="宋体"/>
          <w:color w:val="auto"/>
          <w:sz w:val="24"/>
          <w:szCs w:val="24"/>
          <w:highlight w:val="none"/>
        </w:rPr>
      </w:pPr>
      <w:r>
        <w:rPr>
          <w:rFonts w:ascii="宋体" w:hAnsi="宋体" w:cs="宋体"/>
          <w:color w:val="auto"/>
          <w:sz w:val="24"/>
          <w:szCs w:val="24"/>
          <w:highlight w:val="none"/>
        </w:rPr>
        <w:t>4</w:t>
      </w:r>
      <w:r>
        <w:rPr>
          <w:rFonts w:hint="eastAsia" w:ascii="宋体" w:hAnsi="宋体" w:cs="宋体"/>
          <w:color w:val="auto"/>
          <w:sz w:val="24"/>
          <w:szCs w:val="24"/>
          <w:highlight w:val="none"/>
        </w:rPr>
        <w:t>.220kV航海站至前海牵引所单回电缆线路工程</w:t>
      </w:r>
    </w:p>
    <w:p>
      <w:pPr>
        <w:adjustRightInd w:val="0"/>
        <w:snapToGrid w:val="0"/>
        <w:spacing w:line="360" w:lineRule="auto"/>
        <w:ind w:left="420" w:leftChars="200"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新建单回电缆线路路径长约1×</w:t>
      </w:r>
      <w:r>
        <w:rPr>
          <w:rFonts w:ascii="宋体" w:hAnsi="宋体" w:cs="宋体"/>
          <w:color w:val="auto"/>
          <w:sz w:val="24"/>
          <w:szCs w:val="24"/>
          <w:highlight w:val="none"/>
        </w:rPr>
        <w:t>1.64</w:t>
      </w:r>
      <w:r>
        <w:rPr>
          <w:rFonts w:hint="eastAsia" w:ascii="宋体" w:hAnsi="宋体" w:cs="宋体"/>
          <w:color w:val="auto"/>
          <w:sz w:val="24"/>
          <w:szCs w:val="24"/>
          <w:highlight w:val="none"/>
        </w:rPr>
        <w:t>千米，电缆采用阻燃</w:t>
      </w:r>
      <w:r>
        <w:rPr>
          <w:rFonts w:ascii="宋体" w:hAnsi="宋体" w:cs="宋体"/>
          <w:color w:val="auto"/>
          <w:sz w:val="24"/>
          <w:szCs w:val="24"/>
          <w:highlight w:val="none"/>
        </w:rPr>
        <w:t>1200</w:t>
      </w:r>
      <w:r>
        <w:rPr>
          <w:rFonts w:hint="eastAsia" w:ascii="宋体" w:hAnsi="宋体" w:cs="宋体"/>
          <w:color w:val="auto"/>
          <w:sz w:val="24"/>
          <w:szCs w:val="24"/>
          <w:highlight w:val="none"/>
        </w:rPr>
        <w:t>mm</w:t>
      </w:r>
      <w:r>
        <w:rPr>
          <w:rFonts w:ascii="宋体" w:hAnsi="宋体" w:cs="宋体"/>
          <w:color w:val="auto"/>
          <w:sz w:val="24"/>
          <w:szCs w:val="24"/>
          <w:highlight w:val="none"/>
          <w:vertAlign w:val="superscript"/>
        </w:rPr>
        <w:t>2</w:t>
      </w:r>
      <w:r>
        <w:rPr>
          <w:rFonts w:hint="eastAsia" w:ascii="宋体" w:hAnsi="宋体" w:cs="宋体"/>
          <w:color w:val="auto"/>
          <w:sz w:val="24"/>
          <w:szCs w:val="24"/>
          <w:highlight w:val="none"/>
        </w:rPr>
        <w:t>截面型交联聚乙烯绝缘铜芯电缆。</w:t>
      </w:r>
    </w:p>
    <w:p>
      <w:pPr>
        <w:pStyle w:val="10"/>
        <w:adjustRightInd w:val="0"/>
        <w:snapToGrid w:val="0"/>
        <w:spacing w:line="400" w:lineRule="exact"/>
        <w:ind w:firstLine="420" w:firstLineChars="200"/>
        <w:rPr>
          <w:rFonts w:hAnsi="宋体"/>
          <w:bCs/>
          <w:color w:val="auto"/>
          <w:sz w:val="21"/>
          <w:szCs w:val="21"/>
          <w:highlight w:val="none"/>
        </w:rPr>
      </w:pPr>
      <w:r>
        <w:rPr>
          <w:rFonts w:hint="eastAsia" w:hAnsi="宋体"/>
          <w:bCs/>
          <w:color w:val="auto"/>
          <w:sz w:val="21"/>
          <w:szCs w:val="21"/>
          <w:highlight w:val="none"/>
        </w:rPr>
        <w:t>具体建设规模以施工图纸为准。</w:t>
      </w:r>
    </w:p>
    <w:bookmarkEnd w:id="1"/>
    <w:bookmarkEnd w:id="2"/>
    <w:bookmarkEnd w:id="3"/>
    <w:p>
      <w:pPr>
        <w:pStyle w:val="10"/>
        <w:adjustRightInd w:val="0"/>
        <w:snapToGrid w:val="0"/>
        <w:spacing w:line="400" w:lineRule="exact"/>
        <w:ind w:firstLine="420" w:firstLineChars="200"/>
        <w:rPr>
          <w:color w:val="auto"/>
          <w:highlight w:val="none"/>
        </w:rPr>
      </w:pPr>
      <w:r>
        <w:rPr>
          <w:rFonts w:hint="eastAsia" w:asciiTheme="minorEastAsia" w:hAnsiTheme="minorEastAsia" w:eastAsiaTheme="minorEastAsia" w:cstheme="minorEastAsia"/>
          <w:bCs/>
          <w:color w:val="auto"/>
          <w:sz w:val="21"/>
          <w:szCs w:val="21"/>
          <w:highlight w:val="none"/>
        </w:rPr>
        <w:t xml:space="preserve">计划工期 </w:t>
      </w:r>
      <w:r>
        <w:rPr>
          <w:rFonts w:hint="eastAsia" w:asciiTheme="minorEastAsia" w:hAnsiTheme="minorEastAsia" w:eastAsiaTheme="minorEastAsia" w:cstheme="minorEastAsia"/>
          <w:bCs/>
          <w:color w:val="auto"/>
          <w:sz w:val="21"/>
          <w:szCs w:val="21"/>
          <w:highlight w:val="none"/>
          <w:lang w:val="en-US" w:eastAsia="zh-CN"/>
        </w:rPr>
        <w:t>182</w:t>
      </w:r>
      <w:r>
        <w:rPr>
          <w:rFonts w:hint="eastAsia" w:asciiTheme="minorEastAsia" w:hAnsiTheme="minorEastAsia" w:eastAsiaTheme="minorEastAsia" w:cstheme="minorEastAsia"/>
          <w:bCs/>
          <w:color w:val="auto"/>
          <w:sz w:val="21"/>
          <w:szCs w:val="21"/>
          <w:highlight w:val="none"/>
        </w:rPr>
        <w:t xml:space="preserve">  日历天；计划开工日期：20</w:t>
      </w:r>
      <w:r>
        <w:rPr>
          <w:rFonts w:hint="eastAsia" w:asciiTheme="minorEastAsia" w:hAnsiTheme="minorEastAsia" w:eastAsiaTheme="minorEastAsia" w:cstheme="minorEastAsia"/>
          <w:bCs/>
          <w:color w:val="auto"/>
          <w:sz w:val="21"/>
          <w:szCs w:val="21"/>
          <w:highlight w:val="none"/>
          <w:lang w:val="en-US" w:eastAsia="zh-CN"/>
        </w:rPr>
        <w:t>25</w:t>
      </w:r>
      <w:r>
        <w:rPr>
          <w:rFonts w:hint="eastAsia" w:asciiTheme="minorEastAsia" w:hAnsiTheme="minorEastAsia" w:eastAsiaTheme="minorEastAsia" w:cstheme="minorEastAsia"/>
          <w:bCs/>
          <w:color w:val="auto"/>
          <w:sz w:val="21"/>
          <w:szCs w:val="21"/>
          <w:highlight w:val="none"/>
        </w:rPr>
        <w:t>年</w:t>
      </w:r>
      <w:r>
        <w:rPr>
          <w:rFonts w:hint="eastAsia" w:asciiTheme="minorEastAsia" w:hAnsiTheme="minorEastAsia" w:eastAsiaTheme="minorEastAsia" w:cstheme="minorEastAsia"/>
          <w:bCs/>
          <w:color w:val="auto"/>
          <w:sz w:val="21"/>
          <w:szCs w:val="21"/>
          <w:highlight w:val="none"/>
          <w:lang w:val="en-US" w:eastAsia="zh-CN"/>
        </w:rPr>
        <w:t>12</w:t>
      </w:r>
      <w:r>
        <w:rPr>
          <w:rFonts w:hint="eastAsia" w:asciiTheme="minorEastAsia" w:hAnsiTheme="minorEastAsia" w:eastAsiaTheme="minorEastAsia" w:cstheme="minorEastAsia"/>
          <w:bCs/>
          <w:color w:val="auto"/>
          <w:sz w:val="21"/>
          <w:szCs w:val="21"/>
          <w:highlight w:val="none"/>
        </w:rPr>
        <w:t>月</w:t>
      </w:r>
      <w:r>
        <w:rPr>
          <w:rFonts w:hint="eastAsia" w:asciiTheme="minorEastAsia" w:hAnsiTheme="minorEastAsia" w:eastAsiaTheme="minorEastAsia" w:cstheme="minorEastAsia"/>
          <w:bCs/>
          <w:color w:val="auto"/>
          <w:sz w:val="21"/>
          <w:szCs w:val="21"/>
          <w:highlight w:val="none"/>
          <w:lang w:val="en-US" w:eastAsia="zh-CN"/>
        </w:rPr>
        <w:t>30</w:t>
      </w:r>
      <w:r>
        <w:rPr>
          <w:rFonts w:hint="eastAsia" w:asciiTheme="minorEastAsia" w:hAnsiTheme="minorEastAsia" w:eastAsiaTheme="minorEastAsia" w:cstheme="minorEastAsia"/>
          <w:bCs/>
          <w:color w:val="auto"/>
          <w:sz w:val="21"/>
          <w:szCs w:val="21"/>
          <w:highlight w:val="none"/>
        </w:rPr>
        <w:t>日；计划竣工日期：202</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 xml:space="preserve"> 年</w:t>
      </w:r>
      <w:r>
        <w:rPr>
          <w:rFonts w:hint="eastAsia" w:asciiTheme="minorEastAsia" w:hAnsiTheme="minorEastAsia" w:eastAsiaTheme="minorEastAsia" w:cstheme="minorEastAsia"/>
          <w:bCs/>
          <w:color w:val="auto"/>
          <w:sz w:val="21"/>
          <w:szCs w:val="21"/>
          <w:highlight w:val="none"/>
          <w:lang w:val="en-US" w:eastAsia="zh-CN"/>
        </w:rPr>
        <w:t>6</w:t>
      </w:r>
      <w:r>
        <w:rPr>
          <w:rFonts w:hint="eastAsia" w:asciiTheme="minorEastAsia" w:hAnsiTheme="minorEastAsia" w:eastAsiaTheme="minorEastAsia" w:cstheme="minorEastAsia"/>
          <w:bCs/>
          <w:color w:val="auto"/>
          <w:sz w:val="21"/>
          <w:szCs w:val="21"/>
          <w:highlight w:val="none"/>
        </w:rPr>
        <w:t xml:space="preserve"> 月30日，具体以开工报告、竣工报告为准，项目开工前必须取得施工图(含预算)评审意见(或预评审意见)。</w:t>
      </w:r>
    </w:p>
    <w:p>
      <w:pPr>
        <w:pStyle w:val="13"/>
        <w:widowControl/>
        <w:ind w:firstLine="422" w:firstLineChars="200"/>
        <w:rPr>
          <w:rFonts w:ascii="宋体" w:hAnsi="宋体" w:cs="宋体"/>
          <w:b/>
          <w:bCs/>
          <w:sz w:val="21"/>
          <w:szCs w:val="21"/>
        </w:rPr>
      </w:pPr>
      <w:r>
        <w:rPr>
          <w:rFonts w:hint="eastAsia" w:asciiTheme="minorEastAsia" w:hAnsiTheme="minorEastAsia" w:eastAsiaTheme="minorEastAsia" w:cstheme="minorEastAsia"/>
          <w:b/>
          <w:bCs/>
          <w:sz w:val="21"/>
          <w:szCs w:val="21"/>
        </w:rPr>
        <w:t>（二）采购范围：</w:t>
      </w:r>
      <w:r>
        <w:rPr>
          <w:rFonts w:hint="eastAsia" w:asciiTheme="minorEastAsia" w:hAnsiTheme="minorEastAsia" w:eastAsiaTheme="minorEastAsia" w:cstheme="minorEastAsia"/>
          <w:b/>
          <w:bCs/>
          <w:szCs w:val="24"/>
        </w:rPr>
        <w:t>【</w:t>
      </w:r>
      <w:r>
        <w:rPr>
          <w:rFonts w:hint="eastAsia" w:asciiTheme="minorEastAsia" w:hAnsiTheme="minorEastAsia" w:eastAsiaTheme="minorEastAsia" w:cstheme="minorEastAsia"/>
          <w:b/>
          <w:bCs/>
          <w:color w:val="0000FF"/>
          <w:szCs w:val="24"/>
        </w:rPr>
        <w:t>仅供参考，具体以项目实施为准</w:t>
      </w:r>
      <w:r>
        <w:rPr>
          <w:rFonts w:hint="eastAsia" w:asciiTheme="minorEastAsia" w:hAnsiTheme="minorEastAsia" w:eastAsiaTheme="minorEastAsia" w:cstheme="minorEastAsia"/>
          <w:b/>
          <w:bCs/>
          <w:szCs w:val="24"/>
        </w:rPr>
        <w:t>】</w:t>
      </w:r>
    </w:p>
    <w:p>
      <w:pPr>
        <w:ind w:firstLine="480" w:firstLineChars="200"/>
        <w:rPr>
          <w:rFonts w:ascii="宋体" w:hAnsi="宋体" w:cs="宋体"/>
          <w:b/>
          <w:bCs/>
          <w:szCs w:val="21"/>
        </w:rPr>
      </w:pPr>
      <w:r>
        <w:rPr>
          <w:rFonts w:hint="eastAsia" w:ascii="宋体" w:hAnsi="宋体" w:cs="宋体"/>
          <w:sz w:val="24"/>
          <w:szCs w:val="24"/>
        </w:rPr>
        <w:t>1.</w:t>
      </w:r>
      <w:r>
        <w:rPr>
          <w:rFonts w:hint="eastAsia" w:ascii="宋体" w:hAnsi="宋体" w:cs="宋体"/>
          <w:b/>
          <w:bCs/>
          <w:szCs w:val="21"/>
        </w:rPr>
        <w:t>变电部分:</w:t>
      </w:r>
    </w:p>
    <w:p>
      <w:pPr>
        <w:ind w:firstLine="420" w:firstLineChars="200"/>
        <w:rPr>
          <w:rFonts w:ascii="宋体" w:hAnsi="宋体" w:cs="宋体"/>
          <w:szCs w:val="21"/>
        </w:rPr>
      </w:pPr>
      <w:r>
        <w:rPr>
          <w:rFonts w:hint="eastAsia" w:ascii="宋体" w:hAnsi="宋体" w:cs="宋体"/>
          <w:szCs w:val="21"/>
        </w:rPr>
        <w:t>审定版施工图纸范围内的变电安装、调试工程、两侧站内改扩建建筑部分，包括但不限于样板点建设、业主项目部板房搭建、母线包绝缘、规程规范内的特殊试验、远动系统线路两侧投产前所需完成一二次设备相关调试（若有）：涉及的运行站内公共保护设备的调试，名称更新等工作，两侧站内交流耐压等试验及相关厂家服务，配合电子化移交提资（含本侧及对侧）、参数上报、启动方案编写及配合办理施工许可手续、施工围挡、所有设备基础的预埋件、所有设备的二次接地等。但其中安装工程不包括：通信及管道光缆敷设（已年度框架招标）、防盗报警及视频监控安装（已年度框架招标），电子化移交服务（已年度框架招标）、基建项目检测监测服务（已年度框架招标）、配套市政水工程（已年度框架招标）、电网基建工程GIS（HGIS）设备交流耐压击穿定位测试服务（已年度框架招标）、X射线无损检测（已年度框架招标）。</w:t>
      </w:r>
    </w:p>
    <w:p>
      <w:pPr>
        <w:ind w:firstLine="420" w:firstLineChars="200"/>
        <w:rPr>
          <w:rFonts w:ascii="宋体" w:hAnsi="宋体" w:cs="宋体"/>
          <w:szCs w:val="21"/>
        </w:rPr>
      </w:pPr>
      <w:r>
        <w:rPr>
          <w:rFonts w:hint="eastAsia" w:ascii="宋体" w:hAnsi="宋体" w:cs="宋体"/>
          <w:szCs w:val="21"/>
        </w:rPr>
        <w:t>以下招标范围内的内容若有发生按实结算：</w:t>
      </w:r>
    </w:p>
    <w:p>
      <w:pPr>
        <w:ind w:firstLine="420" w:firstLineChars="200"/>
        <w:rPr>
          <w:rFonts w:ascii="宋体" w:hAnsi="宋体" w:cs="宋体"/>
          <w:szCs w:val="21"/>
        </w:rPr>
      </w:pPr>
      <w:r>
        <w:rPr>
          <w:rFonts w:hint="eastAsia" w:ascii="宋体" w:hAnsi="宋体" w:cs="宋体"/>
          <w:szCs w:val="21"/>
        </w:rPr>
        <w:t>（1）余土外运及收纳费用，在投标时按照审定施工图计算工程量及标明的运距计算以暂估价元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ind w:firstLine="420" w:firstLineChars="200"/>
        <w:rPr>
          <w:rFonts w:ascii="宋体" w:hAnsi="宋体" w:cs="宋体"/>
          <w:szCs w:val="21"/>
        </w:rPr>
      </w:pPr>
      <w:r>
        <w:rPr>
          <w:rFonts w:hint="eastAsia" w:ascii="宋体" w:hAnsi="宋体" w:cs="宋体"/>
          <w:szCs w:val="21"/>
        </w:rPr>
        <w:t>（2）厂家服务费不计入报价，结算时按实际发生的金额结算（凭合同发票）。</w:t>
      </w:r>
    </w:p>
    <w:p>
      <w:pPr>
        <w:ind w:firstLine="420" w:firstLineChars="200"/>
        <w:rPr>
          <w:rFonts w:ascii="宋体" w:hAnsi="宋体" w:cs="宋体"/>
          <w:szCs w:val="21"/>
        </w:rPr>
      </w:pPr>
      <w:r>
        <w:rPr>
          <w:rFonts w:hint="eastAsia" w:ascii="宋体" w:hAnsi="宋体" w:cs="宋体"/>
          <w:szCs w:val="21"/>
        </w:rPr>
        <w:t>（3）电力监控系统等级保护测评及安全防护评估（若有）、保护及综自系统例如后台、五防、远动、保信等配套服务涉及费用根据公司批复的审核意见据实支付（若有），不计入报价。</w:t>
      </w:r>
    </w:p>
    <w:p>
      <w:pPr>
        <w:ind w:firstLine="420" w:firstLineChars="200"/>
        <w:rPr>
          <w:rFonts w:ascii="宋体" w:hAnsi="宋体" w:cs="宋体"/>
          <w:szCs w:val="21"/>
        </w:rPr>
      </w:pPr>
      <w:r>
        <w:rPr>
          <w:rFonts w:hint="eastAsia" w:ascii="宋体" w:hAnsi="宋体" w:cs="宋体"/>
          <w:szCs w:val="21"/>
        </w:rPr>
        <w:t>（4）施工围挡升级若有，结算时按经签证的实际工程量和《关于电力定额计价的电网项目执行深圳市围挡升级要求的相关费用计列事宜研讨会议纪要》（规划中心纪要〔2021〕31号）要求结算。</w:t>
      </w:r>
    </w:p>
    <w:p>
      <w:pPr>
        <w:ind w:firstLine="420" w:firstLineChars="200"/>
        <w:rPr>
          <w:rFonts w:ascii="宋体" w:hAnsi="宋体" w:cs="宋体"/>
          <w:b w:val="0"/>
          <w:bCs w:val="0"/>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5</w:t>
      </w:r>
      <w:r>
        <w:rPr>
          <w:rFonts w:hint="eastAsia" w:ascii="宋体" w:hAnsi="宋体" w:cs="宋体"/>
          <w:szCs w:val="21"/>
          <w:highlight w:val="none"/>
        </w:rPr>
        <w:t>）</w:t>
      </w:r>
      <w:r>
        <w:rPr>
          <w:rFonts w:hint="eastAsia" w:ascii="宋体" w:hAnsi="宋体" w:cs="宋体"/>
          <w:b w:val="0"/>
          <w:bCs w:val="0"/>
          <w:szCs w:val="21"/>
          <w:highlight w:val="none"/>
        </w:rPr>
        <w:t>施工专项补助费执行《关于明确35kV及以上变电改扩建项目施工专项补助费列支有关工作的通知》（办输配电〔2023〕28号），投标人报价时将施工专项补助费作为“竞争性费用”列入投标报价中（投标报价的专项补助费不得高于招标文件公布的专项补助费），并按费用标准计算的施工专项补助费汇总计入建设预算“特殊项目”。项目完工后根据《关于进一步明确开展35kV及以上变电改扩建项目施工专项评价的通知》（建分公司〔2025〕55号）开展施工专项评价，按考评结果结算。考评结果若为优秀，则按合同价中的专项补助费全额支付；考评结果若为合格，扣除部分施工专项补助费，扣除费用为最高投标限价中的专项补助费×20%；考评结果若为不合格，扣除最高投标限价中的全部施工专项补助费。</w:t>
      </w:r>
    </w:p>
    <w:p>
      <w:pPr>
        <w:ind w:firstLine="422" w:firstLineChars="200"/>
        <w:rPr>
          <w:rFonts w:ascii="宋体" w:hAnsi="宋体" w:cs="宋体"/>
          <w:b/>
          <w:bCs/>
          <w:szCs w:val="21"/>
        </w:rPr>
      </w:pPr>
      <w:r>
        <w:rPr>
          <w:rFonts w:hint="eastAsia" w:ascii="宋体" w:hAnsi="宋体" w:cs="宋体"/>
          <w:b/>
          <w:bCs/>
          <w:szCs w:val="21"/>
        </w:rPr>
        <w:t>2.电缆线路：</w:t>
      </w:r>
    </w:p>
    <w:p>
      <w:pPr>
        <w:ind w:firstLine="420" w:firstLineChars="200"/>
        <w:rPr>
          <w:rFonts w:ascii="宋体" w:hAnsi="宋体" w:cs="宋体"/>
          <w:szCs w:val="21"/>
        </w:rPr>
      </w:pPr>
      <w:r>
        <w:rPr>
          <w:rFonts w:hint="eastAsia" w:ascii="宋体" w:hAnsi="宋体" w:cs="宋体"/>
          <w:szCs w:val="21"/>
        </w:rPr>
        <w:t>审定版施工图纸范围内的电缆线路建筑、安装、调试工程，与施工相关的所有其他费用项目。</w:t>
      </w:r>
    </w:p>
    <w:p>
      <w:pPr>
        <w:ind w:firstLine="420" w:firstLineChars="200"/>
        <w:rPr>
          <w:rFonts w:ascii="宋体" w:hAnsi="宋体" w:cs="宋体"/>
          <w:szCs w:val="21"/>
        </w:rPr>
      </w:pPr>
      <w:r>
        <w:rPr>
          <w:rFonts w:hint="eastAsia" w:ascii="宋体" w:hAnsi="宋体" w:cs="宋体"/>
          <w:szCs w:val="21"/>
        </w:rPr>
        <w:t>①本体工程、辅助设施工程。</w:t>
      </w:r>
    </w:p>
    <w:p>
      <w:pPr>
        <w:ind w:firstLine="420" w:firstLineChars="200"/>
        <w:rPr>
          <w:rFonts w:ascii="宋体" w:hAnsi="宋体" w:cs="宋体"/>
          <w:szCs w:val="21"/>
        </w:rPr>
      </w:pPr>
      <w:r>
        <w:rPr>
          <w:rFonts w:hint="eastAsia" w:ascii="宋体" w:hAnsi="宋体" w:cs="宋体"/>
          <w:szCs w:val="21"/>
        </w:rPr>
        <w:t>②路面（包括人行道）破除、施工期临时占用道路、施工场地租用、旧电缆线路拆除运输、电缆标志牌安装、电缆标志桩、顶管标识器、埋管标识球的制作及安装、电缆井及盖板编码、电缆线路参数测试。</w:t>
      </w:r>
    </w:p>
    <w:p>
      <w:pPr>
        <w:ind w:firstLine="420" w:firstLineChars="200"/>
        <w:rPr>
          <w:rFonts w:ascii="宋体" w:hAnsi="宋体" w:cs="宋体"/>
          <w:szCs w:val="21"/>
        </w:rPr>
      </w:pPr>
      <w:r>
        <w:rPr>
          <w:rFonts w:hint="eastAsia" w:ascii="宋体" w:hAnsi="宋体" w:cs="宋体"/>
          <w:szCs w:val="21"/>
        </w:rPr>
        <w:t>③其他：配合投运工作（包括但不限于配合整套启动调试和参加联合试运行[含在线监测系统]、配合电子化移交提资、档案移交、参数上报、启动方案编写等）、样板点建设、业主项目部板房搭建、白蚁防治、参数上报、启动方案编写、负责办理并取得项目施工许可工作（含占道开挖手续）、交委要求加装的占挖道路安装视频监控、负责办理临时林地、交通疏解方案等工作。确保水保、环评验收通过，若验收不通过，施工单位必须做好整改措施直至通过为止。工程建设过程中，中标单位对外的交涉与纠纷，以及所造成的损失，除招标文件中有明确规定者外，均由中标单位自行解决。如确需建设单位进行协调时，协调解决问题所发生的一切费用仍由中标单位承担。</w:t>
      </w:r>
    </w:p>
    <w:p>
      <w:pPr>
        <w:ind w:firstLine="420" w:firstLineChars="200"/>
        <w:rPr>
          <w:rFonts w:ascii="宋体" w:hAnsi="宋体" w:cs="宋体"/>
          <w:szCs w:val="21"/>
        </w:rPr>
      </w:pPr>
      <w:r>
        <w:rPr>
          <w:rFonts w:hint="eastAsia" w:ascii="宋体" w:hAnsi="宋体" w:cs="宋体"/>
          <w:szCs w:val="21"/>
        </w:rPr>
        <w:t>④以下招标范围内的内容若有发生按实结算：</w:t>
      </w:r>
    </w:p>
    <w:p>
      <w:pPr>
        <w:numPr>
          <w:ilvl w:val="0"/>
          <w:numId w:val="1"/>
        </w:numPr>
        <w:ind w:firstLine="420" w:firstLineChars="200"/>
        <w:rPr>
          <w:rFonts w:ascii="宋体" w:hAnsi="宋体" w:cs="宋体"/>
          <w:szCs w:val="21"/>
          <w:highlight w:val="none"/>
        </w:rPr>
      </w:pPr>
      <w:r>
        <w:rPr>
          <w:rFonts w:hint="eastAsia" w:ascii="宋体" w:hAnsi="宋体" w:cs="宋体"/>
          <w:szCs w:val="21"/>
        </w:rPr>
        <w:t>地下原有管线迁移（包含油气管线、通信管线、</w:t>
      </w:r>
      <w:r>
        <w:rPr>
          <w:rFonts w:hint="eastAsia" w:ascii="宋体" w:hAnsi="宋体" w:cs="宋体"/>
          <w:szCs w:val="21"/>
          <w:highlight w:val="none"/>
        </w:rPr>
        <w:t>雨水排污等市政迁移）、电力设施迁改（图纸以外）及绿化树木迁移（破复绿化带）赔偿、建构筑物拆迁不计入报价，结算时按经签证的实际工程量结算。</w:t>
      </w:r>
    </w:p>
    <w:p>
      <w:pPr>
        <w:numPr>
          <w:ilvl w:val="0"/>
          <w:numId w:val="1"/>
        </w:numPr>
        <w:ind w:firstLine="420" w:firstLineChars="200"/>
        <w:rPr>
          <w:rFonts w:ascii="宋体" w:hAnsi="宋体" w:cs="宋体"/>
          <w:szCs w:val="21"/>
          <w:highlight w:val="none"/>
        </w:rPr>
      </w:pPr>
      <w:r>
        <w:rPr>
          <w:rFonts w:hint="eastAsia" w:ascii="宋体" w:hAnsi="宋体" w:cs="宋体"/>
          <w:szCs w:val="21"/>
          <w:highlight w:val="none"/>
        </w:rPr>
        <w:t>余土外运及收纳费用，在投标时按照审定施工图计算工程量及标明的运距计算以暂估价计列，结算时按实计算。土石方外运单价执行《深圳市建设工程造价管理站关于发布&lt;新型全密闭式智能泥头车土石方运输子目（试行）&gt;的通知》，一般情况下按新型全密闭式智能泥头车（国Ⅴ柴油发动机）考虑，价格水平以投标截止日期为准，外运费用执行投标下浮率；余土受纳费若有，则按实际发生费用计取，费用依据需由中标单位提供并经发包人审核确认，余土收纳费不下浮。</w:t>
      </w:r>
    </w:p>
    <w:p>
      <w:pPr>
        <w:numPr>
          <w:ilvl w:val="0"/>
          <w:numId w:val="1"/>
        </w:numPr>
        <w:ind w:firstLine="420" w:firstLineChars="200"/>
        <w:rPr>
          <w:rFonts w:ascii="宋体" w:hAnsi="宋体" w:cs="宋体"/>
          <w:szCs w:val="21"/>
          <w:highlight w:val="none"/>
        </w:rPr>
      </w:pPr>
      <w:r>
        <w:rPr>
          <w:rFonts w:hint="eastAsia" w:ascii="宋体" w:hAnsi="宋体" w:cs="宋体"/>
          <w:szCs w:val="21"/>
          <w:highlight w:val="none"/>
        </w:rPr>
        <w:t>施工围挡升级若有，结算时按经签证的实际工程量和《关于电力定额计价的电网项目执行深圳市围挡升级要求的相关费用计列事宜研讨会议纪要》（规划中心纪要〔2021〕31号）要求结算。</w:t>
      </w:r>
    </w:p>
    <w:p>
      <w:pPr>
        <w:ind w:firstLine="420" w:firstLineChars="200"/>
        <w:rPr>
          <w:rFonts w:ascii="宋体" w:hAnsi="宋体" w:cs="宋体"/>
          <w:szCs w:val="21"/>
          <w:highlight w:val="none"/>
        </w:rPr>
      </w:pPr>
      <w:r>
        <w:rPr>
          <w:rFonts w:hint="eastAsia" w:ascii="宋体" w:hAnsi="宋体" w:cs="宋体"/>
          <w:szCs w:val="21"/>
          <w:highlight w:val="none"/>
        </w:rPr>
        <w:t>（4）施工阶段应相关政府或相应权属单位要求开展的安全评估、分析报告及防护措施（须有相关政府及相应权属单位红头文件作为依据），如涉森林、涉河道、涉高速、市政道路、涉水务、水库、水源保护区、燃气、石油、石化管道、地铁、铁路等评估和措施、通信安全评估评价、给排水安全评估评价、道路安全评估评价、交流杂散电流干扰分析和防护措施、办理临时林地产生的相关报告费用、占用城市绿地及迁移树木涉及的专家评估论证及听证工作，需委托具备相应资质的第三方机构进行评估（若有），委托前须取得业主同意后实施，并按项目实际发生费用（经发包人确认）据实结算。</w:t>
      </w:r>
    </w:p>
    <w:p>
      <w:pPr>
        <w:ind w:firstLine="420" w:firstLineChars="200"/>
        <w:rPr>
          <w:rFonts w:ascii="宋体" w:hAnsi="宋体" w:cs="宋体"/>
          <w:szCs w:val="21"/>
          <w:highlight w:val="none"/>
        </w:rPr>
      </w:pPr>
      <w:r>
        <w:rPr>
          <w:rFonts w:hint="eastAsia" w:ascii="宋体" w:hAnsi="宋体" w:cs="宋体"/>
          <w:szCs w:val="21"/>
          <w:highlight w:val="none"/>
        </w:rPr>
        <w:t>（5）与当地城规、市政、园林、交警、城监、公路、河道、高速、水库等部门联系办理施工许可手续，均由中标单位办理，如发生费用由建设单位负责（如行政许可、市政收费等有收费文件规定的费用）。</w:t>
      </w:r>
    </w:p>
    <w:p>
      <w:pPr>
        <w:ind w:firstLine="420" w:firstLineChars="200"/>
        <w:rPr>
          <w:rFonts w:ascii="宋体" w:hAnsi="宋体" w:cs="宋体"/>
          <w:szCs w:val="21"/>
          <w:highlight w:val="none"/>
        </w:rPr>
      </w:pPr>
      <w:r>
        <w:rPr>
          <w:rFonts w:hint="eastAsia" w:ascii="宋体" w:hAnsi="宋体" w:cs="宋体"/>
          <w:szCs w:val="21"/>
          <w:highlight w:val="none"/>
        </w:rPr>
        <w:t>（6）路面（包括人行道）恢复，不计入报价，若由中标单位实施，结算时按经签证实际工程量按实结算，定额套用最新市政定额；若采用行政缴费方式实施，结算时按实际发生的金额结算（凭缴费发票）。</w:t>
      </w:r>
    </w:p>
    <w:p>
      <w:pPr>
        <w:ind w:firstLine="421"/>
        <w:rPr>
          <w:rFonts w:ascii="宋体" w:hAnsi="宋体" w:cs="宋体"/>
          <w:szCs w:val="21"/>
          <w:highlight w:val="none"/>
        </w:rPr>
      </w:pPr>
      <w:r>
        <w:rPr>
          <w:rFonts w:hint="eastAsia" w:ascii="宋体" w:hAnsi="宋体" w:cs="宋体"/>
          <w:szCs w:val="21"/>
          <w:highlight w:val="none"/>
        </w:rPr>
        <w:t>（7）旧电缆迁移（含10kV电缆悬吊保护）不计入报价，结算时按经签订的实际工程量按实结算。单价参考《深圳供电局有限公司部门会议纪要》技经纪要〔2014〕10号规定执行。</w:t>
      </w:r>
    </w:p>
    <w:p>
      <w:pPr>
        <w:spacing w:line="240" w:lineRule="auto"/>
        <w:ind w:firstLine="420" w:firstLineChars="200"/>
        <w:rPr>
          <w:rFonts w:hint="eastAsia" w:ascii="宋体" w:hAnsi="宋体" w:cs="宋体"/>
          <w:szCs w:val="21"/>
          <w:highlight w:val="none"/>
        </w:rPr>
      </w:pPr>
      <w:r>
        <w:rPr>
          <w:rFonts w:hint="eastAsia" w:ascii="宋体" w:hAnsi="宋体" w:cs="宋体"/>
          <w:szCs w:val="21"/>
          <w:highlight w:val="none"/>
        </w:rPr>
        <w:t>⑤服务有相应年度框架招标结果的按框架招标结果执行。招标范围不包括：电缆在线监测、征地及青苗赔偿、沿线建（构）筑物的拆迁</w:t>
      </w:r>
      <w:r>
        <w:rPr>
          <w:rFonts w:hint="eastAsia" w:ascii="宋体" w:hAnsi="宋体" w:cs="宋体"/>
          <w:szCs w:val="21"/>
          <w:highlight w:val="none"/>
          <w:lang w:val="en-US" w:eastAsia="zh-CN"/>
        </w:rPr>
        <w:t>补偿</w:t>
      </w:r>
      <w:r>
        <w:rPr>
          <w:rFonts w:hint="eastAsia" w:ascii="宋体" w:hAnsi="宋体" w:cs="宋体"/>
          <w:szCs w:val="21"/>
          <w:highlight w:val="none"/>
        </w:rPr>
        <w:t>、通信工程管道光缆敷设、接续及测量（已年度框招）、电子化移交服务（已年度框招）、检测监测服务（已年度框招）、基建工程涉燃气管线交互影响安全评价报告（已年度框招）、基建工程涉及轨道交通安全影响评价（已年度框招）、基建工程水土保持监测技术服务框架招标（已年度框招）、基建工程防洪影响评价报告编制（已年度框招）。</w:t>
      </w:r>
    </w:p>
    <w:p>
      <w:pPr>
        <w:spacing w:line="240" w:lineRule="auto"/>
        <w:ind w:firstLine="420" w:firstLineChars="200"/>
        <w:rPr>
          <w:rFonts w:hint="eastAsia" w:ascii="宋体" w:hAnsi="宋体" w:eastAsia="宋体" w:cs="宋体"/>
          <w:i w:val="0"/>
          <w:iCs w:val="0"/>
          <w:color w:val="auto"/>
          <w:sz w:val="21"/>
          <w:szCs w:val="21"/>
          <w:highlight w:val="cyan"/>
        </w:rPr>
      </w:pPr>
      <w:r>
        <w:rPr>
          <w:rFonts w:hint="eastAsia" w:ascii="宋体" w:hAnsi="宋体" w:eastAsia="宋体" w:cs="宋体"/>
          <w:i w:val="0"/>
          <w:iCs w:val="0"/>
          <w:color w:val="auto"/>
          <w:sz w:val="21"/>
          <w:szCs w:val="21"/>
          <w:highlight w:val="none"/>
        </w:rPr>
        <w:t>所有征地、拆迁</w:t>
      </w:r>
      <w:r>
        <w:rPr>
          <w:rFonts w:hint="eastAsia" w:ascii="宋体" w:hAnsi="宋体" w:cs="宋体"/>
          <w:i w:val="0"/>
          <w:iCs w:val="0"/>
          <w:color w:val="auto"/>
          <w:sz w:val="21"/>
          <w:szCs w:val="21"/>
          <w:highlight w:val="none"/>
          <w:lang w:val="en-US" w:eastAsia="zh-CN"/>
        </w:rPr>
        <w:t>补偿</w:t>
      </w:r>
      <w:r>
        <w:rPr>
          <w:rFonts w:hint="eastAsia" w:ascii="宋体" w:hAnsi="宋体" w:eastAsia="宋体" w:cs="宋体"/>
          <w:i w:val="0"/>
          <w:iCs w:val="0"/>
          <w:color w:val="auto"/>
          <w:sz w:val="21"/>
          <w:szCs w:val="21"/>
          <w:highlight w:val="none"/>
        </w:rPr>
        <w:t>及青苗赔偿等工作均由中标施工单位协助完成（以上费用不列入本次报价，根据后续出具的委托函开展工作）。工程建设过程中，中标单位对外的交涉与纠纷，以及所造成的损失，除招标文件中有明确规定者外，均由中标单位自行解决。如确需建设单位进行协调时，协调解决问题所发生的一切费用仍由中标单位承担。</w:t>
      </w:r>
    </w:p>
    <w:p>
      <w:pPr>
        <w:ind w:firstLine="420" w:firstLineChars="200"/>
        <w:rPr>
          <w:rFonts w:ascii="宋体" w:hAnsi="宋体" w:cs="宋体"/>
          <w:szCs w:val="21"/>
        </w:rPr>
      </w:pPr>
    </w:p>
    <w:p>
      <w:pPr>
        <w:pStyle w:val="3"/>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（三）承包方式：</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承包方式：包工、部分包料。</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变电站：建设单位提供材料如下：电气一、二次设备、全站电缆(不含照明电缆)，10千伏及以上电缆附件、支柱绝缘子、穿墙套管、铜母线、接地铜排、绝缘子串(不含连接金具)、电缆支架、电缆桥架、导地线、金具、站内电缆防火带，防火槽盒、镀锌钢管构支架、型钢构架。非标准件如金具等未在同期公司物资采购目录内（未有物资供应单位）及其余材料由施工单位提供。</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电缆线路：建设单位提供110kV及以上电力电缆、电缆GIS终端头、电缆绝缘接头、带保护器接地箱、直接接地箱、接地电缆、接地回流线、电缆固定夹、电缆防火带、SF6气体、接地环流在线监测设备、高压电缆故障精确定位系统。非标准件如金具</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电缆防水封堵模块</w:t>
      </w:r>
      <w:r>
        <w:rPr>
          <w:rFonts w:hint="eastAsia" w:ascii="宋体" w:hAnsi="宋体" w:cs="宋体"/>
          <w:color w:val="auto"/>
          <w:szCs w:val="21"/>
          <w:highlight w:val="none"/>
        </w:rPr>
        <w:t>等未在同期公司物资采购目录内（未有物资供应单位）及其余材料由施工单位提供。</w:t>
      </w:r>
    </w:p>
    <w:p>
      <w:pPr>
        <w:ind w:firstLine="420" w:firstLineChars="200"/>
        <w:rPr>
          <w:rFonts w:ascii="宋体" w:hAnsi="宋体" w:cs="宋体"/>
          <w:color w:val="auto"/>
          <w:szCs w:val="21"/>
          <w:highlight w:val="none"/>
        </w:rPr>
      </w:pPr>
      <w:r>
        <w:rPr>
          <w:rFonts w:hint="eastAsia" w:ascii="宋体" w:hAnsi="宋体" w:cs="宋体"/>
          <w:color w:val="auto"/>
          <w:szCs w:val="21"/>
          <w:highlight w:val="none"/>
        </w:rPr>
        <w:t>建设单位提供的设备、材料以合同附件（甲供设备材料明细表）为准。</w:t>
      </w:r>
    </w:p>
    <w:p>
      <w:pPr>
        <w:widowControl/>
        <w:jc w:val="left"/>
        <w:rPr>
          <w:rFonts w:hint="eastAsia" w:ascii="宋体" w:hAnsi="宋体" w:cs="宋体"/>
          <w:b/>
          <w:bCs/>
          <w:color w:val="auto"/>
          <w:kern w:val="0"/>
          <w:szCs w:val="21"/>
          <w:highlight w:val="none"/>
        </w:rPr>
      </w:pPr>
    </w:p>
    <w:p>
      <w:pPr>
        <w:widowControl/>
        <w:jc w:val="left"/>
        <w:rPr>
          <w:rFonts w:ascii="宋体" w:hAnsi="宋体" w:cs="宋体"/>
          <w:b/>
          <w:bCs/>
          <w:kern w:val="0"/>
          <w:szCs w:val="21"/>
        </w:rPr>
      </w:pPr>
      <w:r>
        <w:rPr>
          <w:rFonts w:hint="eastAsia" w:ascii="宋体" w:hAnsi="宋体" w:cs="宋体"/>
          <w:b/>
          <w:bCs/>
          <w:kern w:val="0"/>
          <w:szCs w:val="21"/>
        </w:rPr>
        <w:t>招标文件备注条款：</w:t>
      </w:r>
    </w:p>
    <w:p>
      <w:pPr>
        <w:widowControl/>
        <w:jc w:val="left"/>
        <w:rPr>
          <w:rFonts w:ascii="宋体" w:hAnsi="宋体" w:cs="宋体"/>
          <w:kern w:val="0"/>
          <w:szCs w:val="21"/>
        </w:rPr>
      </w:pPr>
      <w:r>
        <w:rPr>
          <w:rFonts w:hint="eastAsia" w:ascii="宋体" w:hAnsi="宋体" w:cs="宋体"/>
          <w:kern w:val="0"/>
          <w:szCs w:val="21"/>
        </w:rPr>
        <w:t>1、按照要求提供放点测绘报告（若有）。</w:t>
      </w:r>
    </w:p>
    <w:p>
      <w:pPr>
        <w:widowControl/>
        <w:jc w:val="left"/>
        <w:rPr>
          <w:rFonts w:ascii="宋体" w:hAnsi="宋体" w:cs="宋体"/>
          <w:kern w:val="0"/>
          <w:szCs w:val="21"/>
        </w:rPr>
      </w:pPr>
      <w:r>
        <w:rPr>
          <w:rFonts w:hint="eastAsia" w:ascii="宋体" w:hAnsi="宋体" w:cs="宋体"/>
          <w:kern w:val="0"/>
          <w:szCs w:val="21"/>
        </w:rPr>
        <w:t>2、严格执行《危险性较大的分部分项工程安全管理规定》。</w:t>
      </w:r>
    </w:p>
    <w:p>
      <w:pPr>
        <w:widowControl/>
        <w:jc w:val="left"/>
        <w:rPr>
          <w:rFonts w:ascii="宋体" w:hAnsi="宋体" w:cs="宋体"/>
          <w:kern w:val="0"/>
          <w:szCs w:val="21"/>
        </w:rPr>
      </w:pPr>
      <w:r>
        <w:rPr>
          <w:rFonts w:hint="eastAsia" w:ascii="宋体" w:hAnsi="宋体" w:cs="宋体"/>
          <w:kern w:val="0"/>
          <w:szCs w:val="21"/>
        </w:rPr>
        <w:t>3、公司增值税专用发票开票信息名称：深圳供电局有限公司，纳税人识别号：91440300589179428T，开户银行及账号：建行罗湖支行44201528600059166666，地址:深圳市罗湖区深南东路4020 号电力调度通信大楼，电话:0755-88933333。</w:t>
      </w:r>
    </w:p>
    <w:p>
      <w:pPr>
        <w:widowControl/>
        <w:jc w:val="left"/>
        <w:rPr>
          <w:rFonts w:ascii="宋体" w:hAnsi="宋体" w:cs="宋体"/>
          <w:color w:val="FF0000"/>
          <w:kern w:val="0"/>
          <w:szCs w:val="21"/>
        </w:rPr>
      </w:pPr>
      <w:r>
        <w:rPr>
          <w:rFonts w:hint="eastAsia" w:ascii="宋体" w:hAnsi="宋体" w:cs="宋体"/>
          <w:kern w:val="0"/>
          <w:szCs w:val="21"/>
        </w:rPr>
        <w:t>4、按照水务部门要求和标准设立水土保持措施设置，施工单位应当根据设计要求及水土保持相关规范规程采取有效水土保持措施，防止水土流失。</w:t>
      </w:r>
      <w:r>
        <w:rPr>
          <w:rFonts w:hint="eastAsia" w:ascii="宋体" w:hAnsi="宋体" w:cs="宋体"/>
          <w:color w:val="FF0000"/>
          <w:kern w:val="0"/>
          <w:szCs w:val="21"/>
        </w:rPr>
        <w:t>落实环评批复要求的各项环保措施，做好生态环境保护工作。</w:t>
      </w:r>
    </w:p>
    <w:p>
      <w:pPr>
        <w:widowControl/>
        <w:jc w:val="left"/>
        <w:rPr>
          <w:rFonts w:ascii="宋体" w:hAnsi="宋体" w:cs="宋体"/>
          <w:kern w:val="0"/>
          <w:szCs w:val="21"/>
        </w:rPr>
      </w:pPr>
      <w:r>
        <w:rPr>
          <w:rFonts w:hint="eastAsia" w:ascii="宋体" w:hAnsi="宋体" w:cs="宋体"/>
          <w:kern w:val="0"/>
          <w:szCs w:val="21"/>
        </w:rPr>
        <w:t>5、执行</w:t>
      </w:r>
      <w:r>
        <w:rPr>
          <w:rFonts w:hint="eastAsia" w:ascii="宋体" w:hAnsi="宋体" w:cs="宋体"/>
          <w:color w:val="auto"/>
          <w:kern w:val="0"/>
          <w:szCs w:val="21"/>
          <w:highlight w:val="cyan"/>
        </w:rPr>
        <w:t>《关于印发深圳供电局有限公司电网基建工程外部补偿工作指引（2025版）的通知》办基建〔2025〕32号</w:t>
      </w:r>
      <w:r>
        <w:rPr>
          <w:rFonts w:hint="eastAsia" w:ascii="宋体" w:hAnsi="宋体" w:cs="宋体"/>
          <w:kern w:val="0"/>
          <w:szCs w:val="21"/>
        </w:rPr>
        <w:t>。</w:t>
      </w:r>
    </w:p>
    <w:p>
      <w:pPr>
        <w:widowControl/>
        <w:jc w:val="left"/>
        <w:rPr>
          <w:rFonts w:ascii="宋体" w:hAnsi="宋体" w:cs="宋体"/>
          <w:kern w:val="0"/>
          <w:szCs w:val="21"/>
        </w:rPr>
      </w:pPr>
      <w:r>
        <w:rPr>
          <w:rFonts w:hint="eastAsia" w:ascii="宋体" w:hAnsi="宋体" w:cs="宋体"/>
          <w:kern w:val="0"/>
          <w:szCs w:val="21"/>
        </w:rPr>
        <w:t>6、涉及城市地下管线档案资料需按照深圳市档案局要求报备，若违反归档要求，则进行南网基建承包商处罚扣分。</w:t>
      </w:r>
    </w:p>
    <w:p>
      <w:pPr>
        <w:widowControl/>
        <w:jc w:val="left"/>
        <w:rPr>
          <w:rFonts w:ascii="宋体" w:hAnsi="宋体" w:cs="宋体"/>
          <w:kern w:val="0"/>
          <w:szCs w:val="21"/>
        </w:rPr>
      </w:pPr>
      <w:r>
        <w:rPr>
          <w:rFonts w:hint="eastAsia" w:ascii="宋体" w:hAnsi="宋体" w:cs="宋体"/>
          <w:kern w:val="0"/>
          <w:szCs w:val="21"/>
        </w:rPr>
        <w:t>7、严格执行《保障农民工工资支付条例（国令第724 号）》及《深圳市住房和建设局关于严格落实工程款支付担保制度及保障农民工工资足额支付工作的通知》要求。执行《关于进一步明确公司基建工程农民工工资支付管理工作要求的通知》（办工程〔2023〕23号），开设农民工工资支付专用账户并签订《保障农民工工资协议》，确保及时足额支付农民工工资。若有违反，无条件接受公司相关处罚。</w:t>
      </w:r>
    </w:p>
    <w:p>
      <w:pPr>
        <w:spacing w:line="360" w:lineRule="auto"/>
        <w:textAlignment w:val="baseline"/>
        <w:rPr>
          <w:rFonts w:ascii="宋体" w:hAnsi="宋体" w:cs="宋体"/>
          <w:szCs w:val="21"/>
        </w:rPr>
      </w:pPr>
      <w:r>
        <w:rPr>
          <w:rFonts w:hint="eastAsia" w:ascii="宋体" w:hAnsi="宋体" w:cs="宋体"/>
          <w:szCs w:val="21"/>
        </w:rPr>
        <w:t>8、严格执行《工程建设项目施工招标投标办法》（七部委 30 号令）第六十二条规定“招标人要求中标人提供履约保证金或其他形式履约担保的，招标人应当同时向中标人提供工程款支付担保”的规定。</w:t>
      </w:r>
    </w:p>
    <w:p>
      <w:pPr>
        <w:widowControl/>
        <w:jc w:val="left"/>
        <w:rPr>
          <w:rFonts w:ascii="宋体" w:hAnsi="宋体" w:cs="宋体"/>
          <w:kern w:val="0"/>
          <w:szCs w:val="21"/>
        </w:rPr>
      </w:pPr>
      <w:r>
        <w:rPr>
          <w:rFonts w:hint="eastAsia" w:ascii="宋体" w:hAnsi="宋体" w:cs="宋体"/>
          <w:kern w:val="0"/>
          <w:szCs w:val="21"/>
        </w:rPr>
        <w:t>9、严格执行深圳市余泥渣土运输车辆要求。施工期间占用道路或进出场通道时，承包人应当与工程所在地交警部门、交管部门、城管部门、市政设施产权单位、工务局、道路管理单位等相关单位进行协调，确保通往工地的道路不受交通阻碍，做好交通疏解，并负责垃圾残砾清理相关费用由承包人承担。</w:t>
      </w:r>
    </w:p>
    <w:p>
      <w:pPr>
        <w:widowControl/>
        <w:jc w:val="left"/>
        <w:rPr>
          <w:rFonts w:ascii="宋体" w:hAnsi="宋体" w:cs="宋体"/>
          <w:kern w:val="0"/>
          <w:szCs w:val="21"/>
          <w:highlight w:val="yellow"/>
        </w:rPr>
      </w:pPr>
      <w:r>
        <w:rPr>
          <w:rFonts w:hint="eastAsia" w:ascii="宋体" w:hAnsi="宋体" w:cs="宋体"/>
          <w:kern w:val="0"/>
          <w:szCs w:val="21"/>
          <w:highlight w:val="yellow"/>
        </w:rPr>
        <w:t>10、招标文件合同14.11 申请最终支付证书</w:t>
      </w:r>
    </w:p>
    <w:p>
      <w:pPr>
        <w:widowControl/>
        <w:jc w:val="left"/>
        <w:rPr>
          <w:rFonts w:ascii="宋体" w:hAnsi="宋体" w:cs="宋体"/>
          <w:kern w:val="0"/>
          <w:szCs w:val="21"/>
          <w:highlight w:val="yellow"/>
        </w:rPr>
      </w:pPr>
      <w:r>
        <w:rPr>
          <w:rFonts w:hint="eastAsia" w:ascii="宋体" w:hAnsi="宋体" w:cs="宋体"/>
          <w:kern w:val="0"/>
          <w:szCs w:val="21"/>
          <w:highlight w:val="yellow"/>
        </w:rPr>
        <w:t>增加以下内容到第14.11款：</w:t>
      </w:r>
    </w:p>
    <w:p>
      <w:pPr>
        <w:pStyle w:val="5"/>
        <w:rPr>
          <w:b w:val="0"/>
          <w:bCs/>
        </w:rPr>
      </w:pPr>
      <w:r>
        <w:rPr>
          <w:rFonts w:hint="eastAsia" w:ascii="宋体" w:hAnsi="宋体" w:cs="宋体"/>
          <w:b w:val="0"/>
          <w:bCs/>
          <w:i w:val="0"/>
          <w:color w:val="auto"/>
          <w:kern w:val="0"/>
          <w:sz w:val="21"/>
          <w:szCs w:val="21"/>
          <w:highlight w:val="yellow"/>
        </w:rPr>
        <w:t>工程竣工验收合格后，竣工投产之日起10天内，承包人须提交竣工付款申请单、工程结算书及完整相关结算依据资料报监理公司、发包人审核（按已竣工投产的单项工程分别进行）。收到承包的竣工付款申请，发包人自工程竣工投产后两个半月，完成工程结算，签发竣工付款证书。</w:t>
      </w:r>
    </w:p>
    <w:p>
      <w:pPr>
        <w:widowControl/>
        <w:jc w:val="left"/>
        <w:rPr>
          <w:rFonts w:ascii="宋体" w:hAnsi="宋体" w:cs="宋体"/>
          <w:kern w:val="0"/>
          <w:szCs w:val="21"/>
        </w:rPr>
      </w:pPr>
      <w:r>
        <w:rPr>
          <w:rFonts w:hint="eastAsia" w:ascii="宋体" w:hAnsi="宋体" w:cs="宋体"/>
          <w:kern w:val="0"/>
          <w:szCs w:val="21"/>
        </w:rPr>
        <w:t>11、投标人在投标文件中应明确拟分包内容和分包方式，计划投入的项目经理、总工、安全员、质检员、施工班组负责人等主要人力资源，相关信息在完成招标活动后提供给业主项目部，作为后续施工合同签订和开工报审核对依据，确保投标承诺得以兑现。</w:t>
      </w:r>
    </w:p>
    <w:p>
      <w:pPr>
        <w:widowControl/>
        <w:jc w:val="left"/>
        <w:rPr>
          <w:rFonts w:ascii="宋体" w:hAnsi="宋体" w:cs="宋体"/>
          <w:kern w:val="0"/>
          <w:szCs w:val="21"/>
        </w:rPr>
      </w:pPr>
      <w:r>
        <w:rPr>
          <w:rFonts w:hint="eastAsia" w:ascii="宋体" w:hAnsi="宋体" w:cs="宋体"/>
          <w:kern w:val="0"/>
          <w:szCs w:val="21"/>
        </w:rPr>
        <w:t>12、对于委托中标单位开展的工程赔付工作，需履行公司审批流程，由业主项目部及时组织施工、监理单位完成“三方”签证（包含但不限于：赔付种类、量价、时间、人员身份、签章、联系方式等信息），作为工程资金支付依据。工程结算前，工程部组织对工程赔付的相关签证进行抽查核实。</w:t>
      </w:r>
    </w:p>
    <w:p>
      <w:pPr>
        <w:widowControl/>
        <w:jc w:val="left"/>
        <w:rPr>
          <w:rFonts w:ascii="宋体" w:hAnsi="宋体" w:cs="宋体"/>
          <w:kern w:val="0"/>
          <w:szCs w:val="21"/>
        </w:rPr>
      </w:pPr>
      <w:r>
        <w:rPr>
          <w:rFonts w:hint="eastAsia" w:ascii="宋体" w:hAnsi="宋体" w:cs="宋体"/>
          <w:kern w:val="0"/>
          <w:szCs w:val="21"/>
        </w:rPr>
        <w:t>13、若由于施工外部原因、规模变化过大或路径变化等原因，经双方协商，可终止其中涉及的单项工程施工合同。</w:t>
      </w:r>
    </w:p>
    <w:p>
      <w:pPr>
        <w:widowControl/>
        <w:jc w:val="left"/>
        <w:rPr>
          <w:rFonts w:ascii="宋体" w:hAnsi="宋体" w:cs="宋体"/>
          <w:kern w:val="0"/>
          <w:szCs w:val="21"/>
        </w:rPr>
      </w:pPr>
      <w:r>
        <w:rPr>
          <w:rFonts w:hint="eastAsia" w:ascii="宋体" w:hAnsi="宋体" w:cs="宋体"/>
          <w:kern w:val="0"/>
          <w:szCs w:val="21"/>
        </w:rPr>
        <w:t>14、执行《关于颁布南方电网公司工程建设十项禁令的通知》(南方电网基建〔2022〕16 号)，执行《南方电网公司关于加强大集体企业工程分包管理的通知》(南方电网基建〔2022〕30号)。</w:t>
      </w:r>
    </w:p>
    <w:p>
      <w:pPr>
        <w:widowControl/>
        <w:jc w:val="left"/>
        <w:rPr>
          <w:rFonts w:ascii="宋体" w:hAnsi="宋体" w:cs="宋体"/>
          <w:kern w:val="0"/>
          <w:szCs w:val="21"/>
        </w:rPr>
      </w:pPr>
      <w:r>
        <w:rPr>
          <w:rFonts w:hint="eastAsia" w:ascii="宋体" w:hAnsi="宋体" w:cs="宋体"/>
          <w:kern w:val="0"/>
          <w:szCs w:val="21"/>
        </w:rPr>
        <w:t>15、招标代理费：中标单位根据招标代理机构开具的招标代理费发票金额列入结算费用，向发包人（</w:t>
      </w:r>
      <w:r>
        <w:rPr>
          <w:rFonts w:hint="eastAsia" w:ascii="宋体" w:hAnsi="宋体" w:cs="宋体"/>
          <w:color w:val="FF0000"/>
          <w:kern w:val="0"/>
          <w:szCs w:val="21"/>
          <w:lang w:val="en-US" w:eastAsia="zh-CN"/>
        </w:rPr>
        <w:t>建设分公司</w:t>
      </w:r>
      <w:r>
        <w:rPr>
          <w:rFonts w:hint="eastAsia" w:ascii="宋体" w:hAnsi="宋体" w:cs="宋体"/>
          <w:kern w:val="0"/>
          <w:szCs w:val="21"/>
        </w:rPr>
        <w:t>）提供相关凭证办理结算请款。</w:t>
      </w:r>
    </w:p>
    <w:p>
      <w:pPr>
        <w:widowControl/>
        <w:jc w:val="left"/>
        <w:rPr>
          <w:rFonts w:ascii="宋体" w:hAnsi="宋体" w:cs="宋体"/>
          <w:kern w:val="0"/>
          <w:szCs w:val="21"/>
        </w:rPr>
      </w:pPr>
      <w:r>
        <w:rPr>
          <w:rFonts w:hint="eastAsia" w:ascii="宋体" w:hAnsi="宋体" w:cs="宋体"/>
          <w:kern w:val="0"/>
          <w:szCs w:val="21"/>
        </w:rPr>
        <w:t>16、按照公司要求使用南网电网管理平台、实名制信息系统及南网基建移动应用，若违反使用要求，按照南网基建承包商处罚条款进行扣分。</w:t>
      </w:r>
    </w:p>
    <w:p>
      <w:pPr>
        <w:widowControl/>
        <w:jc w:val="left"/>
        <w:rPr>
          <w:rFonts w:ascii="宋体" w:hAnsi="宋体" w:cs="宋体"/>
          <w:szCs w:val="21"/>
        </w:rPr>
      </w:pPr>
      <w:r>
        <w:rPr>
          <w:rFonts w:hint="eastAsia" w:ascii="宋体" w:hAnsi="宋体" w:cs="宋体"/>
          <w:kern w:val="0"/>
          <w:szCs w:val="21"/>
        </w:rPr>
        <w:t>17、全过程项目质量目标：规范达标、绿色可靠、文档齐全、零缺陷作为质量总体目标。杜绝重大设备一般及以上质量事故，确保工程无永久性缺陷。满足国家、行业、中国南方电网有限责任公司质量标准、控制标准和验收规范，在质量管理过程中达到或超过质量标准，通过各级验收合格并完成启动投产。</w:t>
      </w:r>
    </w:p>
    <w:p>
      <w:pPr>
        <w:widowControl/>
        <w:jc w:val="left"/>
        <w:rPr>
          <w:rFonts w:ascii="宋体" w:hAnsi="宋体" w:cs="宋体"/>
          <w:kern w:val="0"/>
          <w:szCs w:val="21"/>
        </w:rPr>
      </w:pPr>
      <w:r>
        <w:rPr>
          <w:rFonts w:hint="eastAsia" w:ascii="宋体" w:hAnsi="宋体" w:cs="宋体"/>
          <w:kern w:val="0"/>
          <w:szCs w:val="21"/>
        </w:rPr>
        <w:t>安全目标：杜绝人身死亡事故、杜绝人身重伤事故</w:t>
      </w:r>
    </w:p>
    <w:p>
      <w:pPr>
        <w:widowControl/>
        <w:jc w:val="left"/>
        <w:rPr>
          <w:rFonts w:ascii="宋体" w:hAnsi="宋体" w:cs="宋体"/>
          <w:kern w:val="0"/>
          <w:szCs w:val="21"/>
        </w:rPr>
      </w:pPr>
      <w:r>
        <w:rPr>
          <w:rFonts w:hint="eastAsia" w:ascii="宋体" w:hAnsi="宋体" w:cs="宋体"/>
          <w:kern w:val="0"/>
          <w:szCs w:val="21"/>
        </w:rPr>
        <w:t>文明施工目标：按照公司《基建安全管理办法》的要求和标准布置施工现场的文明施工设施，创造良好和规范的安全文明施工环境。按中国南方电网有限责任公司及工程所在地电网公司有关要求和标准。满足南方电网公司标准设计和典型造价、绿色电网建设行动指南要求。</w:t>
      </w:r>
    </w:p>
    <w:p>
      <w:pPr>
        <w:widowControl/>
        <w:jc w:val="left"/>
        <w:rPr>
          <w:rFonts w:ascii="宋体" w:hAnsi="宋体" w:cs="宋体"/>
          <w:kern w:val="0"/>
          <w:szCs w:val="21"/>
        </w:rPr>
      </w:pPr>
      <w:r>
        <w:rPr>
          <w:rFonts w:hint="eastAsia" w:ascii="宋体" w:hAnsi="宋体" w:cs="宋体"/>
          <w:kern w:val="0"/>
          <w:szCs w:val="21"/>
        </w:rPr>
        <w:t>承包商要执行南方电网公司规章制度，全面开展标准建设工作。</w:t>
      </w:r>
    </w:p>
    <w:p>
      <w:pPr>
        <w:widowControl/>
        <w:jc w:val="left"/>
        <w:rPr>
          <w:rFonts w:ascii="宋体" w:hAnsi="宋体" w:cs="宋体"/>
          <w:kern w:val="0"/>
          <w:szCs w:val="21"/>
        </w:rPr>
      </w:pPr>
      <w:r>
        <w:rPr>
          <w:rFonts w:hint="eastAsia" w:ascii="宋体" w:hAnsi="宋体" w:cs="宋体"/>
          <w:kern w:val="0"/>
          <w:szCs w:val="21"/>
        </w:rPr>
        <w:t>18、根据《关于发布中国南方电网公司绿色低碳电网建设标准等成果的通知（2021）》要求，将标准落实到工程各个阶段，同时将相关资料按照要求交付工程项目管理中心备案。未移交项目档案，档案资料不齐全，根据情节严重程度，最多可扣除中标人合同总额的0.5%。</w:t>
      </w:r>
    </w:p>
    <w:tbl>
      <w:tblPr>
        <w:tblStyle w:val="15"/>
        <w:tblpPr w:leftFromText="180" w:rightFromText="180" w:vertAnchor="text" w:horzAnchor="page" w:tblpX="2337" w:tblpY="407"/>
        <w:tblOverlap w:val="never"/>
        <w:tblW w:w="75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3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adjustRightInd w:val="0"/>
              <w:snapToGrid w:val="0"/>
              <w:jc w:val="center"/>
              <w:rPr>
                <w:rFonts w:ascii="宋体" w:hAnsi="宋体" w:cs="宋体"/>
                <w:szCs w:val="21"/>
              </w:rPr>
            </w:pPr>
            <w:r>
              <w:rPr>
                <w:rFonts w:hint="eastAsia" w:ascii="宋体" w:hAnsi="宋体" w:cs="宋体"/>
                <w:szCs w:val="21"/>
              </w:rPr>
              <w:t>施工阶段</w:t>
            </w:r>
          </w:p>
        </w:tc>
        <w:tc>
          <w:tcPr>
            <w:tcW w:w="3328" w:type="dxa"/>
            <w:vAlign w:val="center"/>
          </w:tcPr>
          <w:p>
            <w:pPr>
              <w:adjustRightInd w:val="0"/>
              <w:snapToGrid w:val="0"/>
              <w:jc w:val="center"/>
              <w:rPr>
                <w:rFonts w:ascii="宋体" w:hAnsi="宋体" w:cs="宋体"/>
                <w:szCs w:val="21"/>
              </w:rPr>
            </w:pPr>
            <w:r>
              <w:rPr>
                <w:rFonts w:hint="eastAsia" w:ascii="宋体" w:hAnsi="宋体" w:cs="宋体"/>
                <w:szCs w:val="21"/>
              </w:rPr>
              <w:t>竣工验收后评价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adjustRightInd w:val="0"/>
              <w:snapToGrid w:val="0"/>
              <w:jc w:val="left"/>
              <w:rPr>
                <w:rFonts w:ascii="宋体" w:hAnsi="宋体" w:cs="宋体"/>
                <w:szCs w:val="21"/>
              </w:rPr>
            </w:pPr>
            <w:r>
              <w:rPr>
                <w:rFonts w:hint="eastAsia" w:ascii="宋体" w:hAnsi="宋体" w:cs="宋体"/>
                <w:szCs w:val="21"/>
              </w:rPr>
              <w:t>1、按电网工程绿色等级目标制定体现四节一环保要求的施工方案；</w:t>
            </w:r>
          </w:p>
          <w:p>
            <w:pPr>
              <w:adjustRightInd w:val="0"/>
              <w:snapToGrid w:val="0"/>
              <w:jc w:val="left"/>
              <w:rPr>
                <w:rFonts w:ascii="宋体" w:hAnsi="宋体" w:cs="宋体"/>
                <w:szCs w:val="21"/>
              </w:rPr>
            </w:pPr>
            <w:r>
              <w:rPr>
                <w:rFonts w:hint="eastAsia" w:ascii="宋体" w:hAnsi="宋体" w:cs="宋体"/>
                <w:szCs w:val="21"/>
              </w:rPr>
              <w:t>2、执行施工图设计意图，按照绿色施工原则进行材料采购及施工安装；</w:t>
            </w:r>
          </w:p>
          <w:p>
            <w:pPr>
              <w:adjustRightInd w:val="0"/>
              <w:snapToGrid w:val="0"/>
              <w:jc w:val="left"/>
              <w:rPr>
                <w:rFonts w:ascii="宋体" w:hAnsi="宋体" w:cs="宋体"/>
                <w:szCs w:val="21"/>
              </w:rPr>
            </w:pPr>
            <w:r>
              <w:rPr>
                <w:rFonts w:hint="eastAsia" w:ascii="宋体" w:hAnsi="宋体" w:cs="宋体"/>
                <w:szCs w:val="21"/>
              </w:rPr>
              <w:t>3、对绿色施工的技术资料进行整理、归档。</w:t>
            </w:r>
          </w:p>
        </w:tc>
        <w:tc>
          <w:tcPr>
            <w:tcW w:w="3328" w:type="dxa"/>
            <w:vAlign w:val="center"/>
          </w:tcPr>
          <w:p>
            <w:pPr>
              <w:adjustRightInd w:val="0"/>
              <w:snapToGrid w:val="0"/>
              <w:jc w:val="left"/>
              <w:rPr>
                <w:rFonts w:ascii="宋体" w:hAnsi="宋体" w:cs="宋体"/>
                <w:szCs w:val="21"/>
              </w:rPr>
            </w:pPr>
            <w:r>
              <w:rPr>
                <w:rFonts w:hint="eastAsia" w:ascii="宋体" w:hAnsi="宋体" w:cs="宋体"/>
                <w:szCs w:val="21"/>
              </w:rPr>
              <w:t>提供施工资料，配合专家组检查。</w:t>
            </w:r>
          </w:p>
        </w:tc>
      </w:tr>
    </w:tbl>
    <w:p>
      <w:pPr>
        <w:widowControl/>
        <w:jc w:val="left"/>
        <w:rPr>
          <w:rFonts w:ascii="宋体" w:hAnsi="宋体" w:cs="宋体"/>
          <w:kern w:val="0"/>
          <w:szCs w:val="21"/>
        </w:rPr>
      </w:pPr>
    </w:p>
    <w:p>
      <w:pPr>
        <w:rPr>
          <w:rFonts w:ascii="宋体" w:hAnsi="宋体" w:cs="宋体"/>
          <w:kern w:val="0"/>
          <w:szCs w:val="21"/>
        </w:rPr>
      </w:pPr>
    </w:p>
    <w:p>
      <w:pPr>
        <w:rPr>
          <w:rFonts w:ascii="宋体" w:hAnsi="宋体" w:cs="宋体"/>
          <w:kern w:val="0"/>
          <w:szCs w:val="21"/>
        </w:rPr>
      </w:pPr>
    </w:p>
    <w:p>
      <w:pPr>
        <w:rPr>
          <w:rFonts w:ascii="宋体" w:hAnsi="宋体" w:cs="宋体"/>
          <w:szCs w:val="21"/>
        </w:rPr>
      </w:pPr>
      <w:r>
        <w:rPr>
          <w:rFonts w:hint="eastAsia" w:ascii="宋体" w:hAnsi="宋体" w:cs="宋体"/>
          <w:kern w:val="0"/>
          <w:szCs w:val="21"/>
        </w:rPr>
        <w:t>19、根据</w:t>
      </w:r>
      <w:r>
        <w:rPr>
          <w:rFonts w:hint="eastAsia" w:ascii="宋体" w:hAnsi="宋体" w:cs="宋体"/>
          <w:szCs w:val="21"/>
        </w:rPr>
        <w:t xml:space="preserve">《关于建设工程招标投标改革的若干规定》深府[2015]73号第九条 按照规定应当招标的建设工程有下列情形之一的，可以不进行招标：（五）在建工程追加的与主体工程不可分割的附属工程（工程造价不超过原合同造价的30%，且不超过5000万元）或者主体加层工程，可以由原承包人继续实施的。 </w:t>
      </w:r>
    </w:p>
    <w:p>
      <w:pPr>
        <w:widowControl/>
        <w:jc w:val="left"/>
        <w:rPr>
          <w:rFonts w:ascii="宋体" w:hAnsi="宋体" w:cs="宋体"/>
          <w:kern w:val="0"/>
          <w:szCs w:val="21"/>
        </w:rPr>
      </w:pPr>
      <w:r>
        <w:rPr>
          <w:rFonts w:hint="eastAsia" w:ascii="宋体" w:hAnsi="宋体" w:cs="宋体"/>
          <w:kern w:val="0"/>
          <w:szCs w:val="21"/>
        </w:rPr>
        <w:t>20、投标人不得使用美光公司产品（包括含有美光芯片的产品）投标。</w:t>
      </w:r>
    </w:p>
    <w:p>
      <w:pPr>
        <w:pageBreakBefore w:val="0"/>
        <w:widowControl/>
        <w:kinsoku/>
        <w:wordWrap/>
        <w:overflowPunct/>
        <w:topLinePunct w:val="0"/>
        <w:bidi w:val="0"/>
        <w:spacing w:line="240" w:lineRule="auto"/>
        <w:jc w:val="left"/>
        <w:textAlignment w:val="auto"/>
        <w:rPr>
          <w:rFonts w:hint="eastAsia" w:ascii="宋体" w:hAnsi="宋体" w:cs="宋体"/>
          <w:b w:val="0"/>
          <w:bCs/>
          <w:i w:val="0"/>
          <w:color w:val="auto"/>
          <w:kern w:val="0"/>
          <w:sz w:val="21"/>
          <w:szCs w:val="21"/>
        </w:rPr>
      </w:pPr>
      <w:r>
        <w:rPr>
          <w:rFonts w:hint="eastAsia" w:ascii="宋体" w:hAnsi="宋体" w:cs="宋体"/>
          <w:b w:val="0"/>
          <w:bCs/>
          <w:i w:val="0"/>
          <w:color w:val="auto"/>
          <w:kern w:val="0"/>
          <w:sz w:val="21"/>
          <w:szCs w:val="21"/>
        </w:rPr>
        <w:t>21、</w:t>
      </w:r>
      <w:r>
        <w:rPr>
          <w:rFonts w:hint="eastAsia" w:ascii="宋体" w:hAnsi="宋体" w:eastAsia="宋体" w:cs="宋体"/>
          <w:b w:val="0"/>
          <w:bCs/>
          <w:i w:val="0"/>
          <w:iCs w:val="0"/>
          <w:color w:val="FF0000"/>
          <w:kern w:val="0"/>
          <w:sz w:val="21"/>
          <w:szCs w:val="21"/>
          <w:highlight w:val="none"/>
        </w:rPr>
        <w:t>严格执行《保障中小企业款项支付条例》，不得约定以收到第三方付款作为向中小企业支付款项的条件或者按照第三方付款进度比例支付中小企业款项。</w:t>
      </w:r>
    </w:p>
    <w:p>
      <w:pPr>
        <w:pStyle w:val="5"/>
        <w:spacing w:line="360" w:lineRule="auto"/>
        <w:rPr>
          <w:rFonts w:ascii="宋体" w:hAnsi="宋体" w:cs="宋体"/>
          <w:b w:val="0"/>
          <w:bCs/>
          <w:i w:val="0"/>
          <w:color w:val="auto"/>
          <w:kern w:val="0"/>
          <w:sz w:val="21"/>
          <w:szCs w:val="21"/>
        </w:rPr>
      </w:pPr>
      <w:r>
        <w:rPr>
          <w:rFonts w:hint="eastAsia" w:ascii="宋体" w:hAnsi="宋体" w:cs="宋体"/>
          <w:b w:val="0"/>
          <w:bCs/>
          <w:i w:val="0"/>
          <w:color w:val="auto"/>
          <w:kern w:val="0"/>
          <w:sz w:val="21"/>
          <w:szCs w:val="21"/>
          <w:lang w:val="en-US" w:eastAsia="zh-CN"/>
        </w:rPr>
        <w:t>22、</w:t>
      </w:r>
      <w:r>
        <w:rPr>
          <w:rFonts w:hint="eastAsia" w:ascii="宋体" w:hAnsi="宋体" w:cs="宋体"/>
          <w:b w:val="0"/>
          <w:bCs/>
          <w:i w:val="0"/>
          <w:color w:val="auto"/>
          <w:kern w:val="0"/>
          <w:sz w:val="21"/>
          <w:szCs w:val="21"/>
        </w:rPr>
        <w:t>若有最新规定，则按照国家、地方及公司最新要求执行。</w:t>
      </w:r>
    </w:p>
    <w:p>
      <w:pPr>
        <w:widowControl/>
        <w:jc w:val="left"/>
      </w:pPr>
    </w:p>
    <w:p>
      <w:pPr>
        <w:pStyle w:val="10"/>
        <w:spacing w:line="480" w:lineRule="atLeast"/>
        <w:rPr>
          <w:rFonts w:asciiTheme="minorEastAsia" w:hAnsiTheme="minorEastAsia" w:eastAsiaTheme="minorEastAsia" w:cstheme="minorEastAsia"/>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9007F"/>
    <w:multiLevelType w:val="singleLevel"/>
    <w:tmpl w:val="56E9007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3YmIyYWVkZTA3NmViYzlmNmJmZThkOTUxY2EwOGQifQ=="/>
  </w:docVars>
  <w:rsids>
    <w:rsidRoot w:val="24F737D8"/>
    <w:rsid w:val="00045E72"/>
    <w:rsid w:val="000D1489"/>
    <w:rsid w:val="00111F0C"/>
    <w:rsid w:val="00156A5B"/>
    <w:rsid w:val="00180F21"/>
    <w:rsid w:val="00193797"/>
    <w:rsid w:val="001A5E31"/>
    <w:rsid w:val="001C1542"/>
    <w:rsid w:val="002027C7"/>
    <w:rsid w:val="002107BE"/>
    <w:rsid w:val="002C29DC"/>
    <w:rsid w:val="002F309F"/>
    <w:rsid w:val="00351BA4"/>
    <w:rsid w:val="0038647D"/>
    <w:rsid w:val="00393ACE"/>
    <w:rsid w:val="003B6754"/>
    <w:rsid w:val="00420E6F"/>
    <w:rsid w:val="004C403D"/>
    <w:rsid w:val="004C5D8A"/>
    <w:rsid w:val="004C6A1B"/>
    <w:rsid w:val="00501342"/>
    <w:rsid w:val="00511217"/>
    <w:rsid w:val="005302BA"/>
    <w:rsid w:val="00592991"/>
    <w:rsid w:val="005D05D0"/>
    <w:rsid w:val="005F7C8B"/>
    <w:rsid w:val="006144A7"/>
    <w:rsid w:val="00642AE0"/>
    <w:rsid w:val="00643D44"/>
    <w:rsid w:val="00675492"/>
    <w:rsid w:val="00693295"/>
    <w:rsid w:val="00697E02"/>
    <w:rsid w:val="007410AE"/>
    <w:rsid w:val="00785D97"/>
    <w:rsid w:val="007B16EC"/>
    <w:rsid w:val="007C6464"/>
    <w:rsid w:val="0085711F"/>
    <w:rsid w:val="008B2F97"/>
    <w:rsid w:val="009239A9"/>
    <w:rsid w:val="00973999"/>
    <w:rsid w:val="009739DE"/>
    <w:rsid w:val="009C682C"/>
    <w:rsid w:val="009D4D82"/>
    <w:rsid w:val="00A1142F"/>
    <w:rsid w:val="00A51650"/>
    <w:rsid w:val="00A6224F"/>
    <w:rsid w:val="00AD509E"/>
    <w:rsid w:val="00AF5884"/>
    <w:rsid w:val="00BD3602"/>
    <w:rsid w:val="00C073B0"/>
    <w:rsid w:val="00D2040D"/>
    <w:rsid w:val="00EB2A58"/>
    <w:rsid w:val="00EB5172"/>
    <w:rsid w:val="00EF41F4"/>
    <w:rsid w:val="00F167AC"/>
    <w:rsid w:val="00FD4B4E"/>
    <w:rsid w:val="01000F1F"/>
    <w:rsid w:val="012C2627"/>
    <w:rsid w:val="01D03EF0"/>
    <w:rsid w:val="01DB519B"/>
    <w:rsid w:val="01E84FF7"/>
    <w:rsid w:val="021257FA"/>
    <w:rsid w:val="0270337E"/>
    <w:rsid w:val="03045209"/>
    <w:rsid w:val="03170999"/>
    <w:rsid w:val="032C4CCB"/>
    <w:rsid w:val="0334394B"/>
    <w:rsid w:val="03696E51"/>
    <w:rsid w:val="03D946FD"/>
    <w:rsid w:val="043275F4"/>
    <w:rsid w:val="04AD51B8"/>
    <w:rsid w:val="04B94B55"/>
    <w:rsid w:val="050E07AE"/>
    <w:rsid w:val="05104CF2"/>
    <w:rsid w:val="054E69FF"/>
    <w:rsid w:val="056C75CF"/>
    <w:rsid w:val="05B87515"/>
    <w:rsid w:val="05CD0BE8"/>
    <w:rsid w:val="060D6EE4"/>
    <w:rsid w:val="06195F4A"/>
    <w:rsid w:val="06796A2D"/>
    <w:rsid w:val="068D71D9"/>
    <w:rsid w:val="06AE5BB8"/>
    <w:rsid w:val="06B60614"/>
    <w:rsid w:val="0792502B"/>
    <w:rsid w:val="07AF1DA3"/>
    <w:rsid w:val="07BE007D"/>
    <w:rsid w:val="08CE69EC"/>
    <w:rsid w:val="08E42305"/>
    <w:rsid w:val="08F52A1A"/>
    <w:rsid w:val="0925770E"/>
    <w:rsid w:val="094360BA"/>
    <w:rsid w:val="0A781F45"/>
    <w:rsid w:val="0A882069"/>
    <w:rsid w:val="0B8776F8"/>
    <w:rsid w:val="0BC07002"/>
    <w:rsid w:val="0BE1258C"/>
    <w:rsid w:val="0BE42713"/>
    <w:rsid w:val="0BF05825"/>
    <w:rsid w:val="0BFD53EB"/>
    <w:rsid w:val="0C137A51"/>
    <w:rsid w:val="0C332B42"/>
    <w:rsid w:val="0C4867BA"/>
    <w:rsid w:val="0C6F07EA"/>
    <w:rsid w:val="0CBE1A3C"/>
    <w:rsid w:val="0CFF59E2"/>
    <w:rsid w:val="0D5C5D7C"/>
    <w:rsid w:val="0D824825"/>
    <w:rsid w:val="0DBE2E98"/>
    <w:rsid w:val="0E0119E1"/>
    <w:rsid w:val="0E2B3199"/>
    <w:rsid w:val="0E8134AB"/>
    <w:rsid w:val="0EA1730C"/>
    <w:rsid w:val="0EE81243"/>
    <w:rsid w:val="0EE83733"/>
    <w:rsid w:val="0F531ED6"/>
    <w:rsid w:val="101C7E7E"/>
    <w:rsid w:val="105C6685"/>
    <w:rsid w:val="10D57EB4"/>
    <w:rsid w:val="11217058"/>
    <w:rsid w:val="116419AD"/>
    <w:rsid w:val="11DC5CCF"/>
    <w:rsid w:val="11DF6CFE"/>
    <w:rsid w:val="11FC1228"/>
    <w:rsid w:val="12175897"/>
    <w:rsid w:val="1221206F"/>
    <w:rsid w:val="122449D0"/>
    <w:rsid w:val="12617BA5"/>
    <w:rsid w:val="12963024"/>
    <w:rsid w:val="12FC7CAB"/>
    <w:rsid w:val="13651D15"/>
    <w:rsid w:val="136E163F"/>
    <w:rsid w:val="13742A79"/>
    <w:rsid w:val="13B0545B"/>
    <w:rsid w:val="13BD743A"/>
    <w:rsid w:val="13C71878"/>
    <w:rsid w:val="1439793E"/>
    <w:rsid w:val="14440D4B"/>
    <w:rsid w:val="146E024B"/>
    <w:rsid w:val="147F2942"/>
    <w:rsid w:val="148241EF"/>
    <w:rsid w:val="14830E3B"/>
    <w:rsid w:val="15056A61"/>
    <w:rsid w:val="15866746"/>
    <w:rsid w:val="159F6110"/>
    <w:rsid w:val="15DB706C"/>
    <w:rsid w:val="15EC11F5"/>
    <w:rsid w:val="15F42192"/>
    <w:rsid w:val="163409FD"/>
    <w:rsid w:val="164E4AE3"/>
    <w:rsid w:val="1651030E"/>
    <w:rsid w:val="16924EC1"/>
    <w:rsid w:val="17311749"/>
    <w:rsid w:val="17710405"/>
    <w:rsid w:val="17AC47D8"/>
    <w:rsid w:val="17AC6BE2"/>
    <w:rsid w:val="17DE79B5"/>
    <w:rsid w:val="186767F4"/>
    <w:rsid w:val="18CA0D53"/>
    <w:rsid w:val="18E57496"/>
    <w:rsid w:val="193066EB"/>
    <w:rsid w:val="194A687A"/>
    <w:rsid w:val="19550C4E"/>
    <w:rsid w:val="19874D06"/>
    <w:rsid w:val="1A1D12E8"/>
    <w:rsid w:val="1A2F2F81"/>
    <w:rsid w:val="1A524C3A"/>
    <w:rsid w:val="1A56667A"/>
    <w:rsid w:val="1A643C5B"/>
    <w:rsid w:val="1A7E10CE"/>
    <w:rsid w:val="1AA35B43"/>
    <w:rsid w:val="1AC44B48"/>
    <w:rsid w:val="1B1435D1"/>
    <w:rsid w:val="1B1A6514"/>
    <w:rsid w:val="1B2E44AE"/>
    <w:rsid w:val="1B3C333B"/>
    <w:rsid w:val="1B663F82"/>
    <w:rsid w:val="1BA9108A"/>
    <w:rsid w:val="1C4972F3"/>
    <w:rsid w:val="1CBB1210"/>
    <w:rsid w:val="1CFA07C1"/>
    <w:rsid w:val="1D3764AF"/>
    <w:rsid w:val="1D5074FA"/>
    <w:rsid w:val="1D515196"/>
    <w:rsid w:val="1D546D33"/>
    <w:rsid w:val="1D9028BC"/>
    <w:rsid w:val="1DB35787"/>
    <w:rsid w:val="1DD67A76"/>
    <w:rsid w:val="1E297809"/>
    <w:rsid w:val="1E42634B"/>
    <w:rsid w:val="1E4A7D3D"/>
    <w:rsid w:val="1EA379B5"/>
    <w:rsid w:val="1EA9759F"/>
    <w:rsid w:val="1F1243E1"/>
    <w:rsid w:val="1F14195F"/>
    <w:rsid w:val="1FFF637B"/>
    <w:rsid w:val="20694E72"/>
    <w:rsid w:val="206E68C1"/>
    <w:rsid w:val="20916CFE"/>
    <w:rsid w:val="20AF64A6"/>
    <w:rsid w:val="20D57188"/>
    <w:rsid w:val="213A6DE5"/>
    <w:rsid w:val="216F4D5B"/>
    <w:rsid w:val="219D6261"/>
    <w:rsid w:val="21FB08ED"/>
    <w:rsid w:val="21FB1D17"/>
    <w:rsid w:val="220833E1"/>
    <w:rsid w:val="22172817"/>
    <w:rsid w:val="22D01CE9"/>
    <w:rsid w:val="232B50A5"/>
    <w:rsid w:val="23456FA5"/>
    <w:rsid w:val="236572A4"/>
    <w:rsid w:val="24426571"/>
    <w:rsid w:val="2445130D"/>
    <w:rsid w:val="24573FB0"/>
    <w:rsid w:val="24E46BF4"/>
    <w:rsid w:val="24F737D8"/>
    <w:rsid w:val="252836FB"/>
    <w:rsid w:val="254002AB"/>
    <w:rsid w:val="25B74C68"/>
    <w:rsid w:val="263126A3"/>
    <w:rsid w:val="26A06F6E"/>
    <w:rsid w:val="26B46A16"/>
    <w:rsid w:val="26B54132"/>
    <w:rsid w:val="2740501C"/>
    <w:rsid w:val="27417060"/>
    <w:rsid w:val="274170EE"/>
    <w:rsid w:val="2785030E"/>
    <w:rsid w:val="278F57AD"/>
    <w:rsid w:val="27AA3BBB"/>
    <w:rsid w:val="27DD1C12"/>
    <w:rsid w:val="27E47C4B"/>
    <w:rsid w:val="289D725F"/>
    <w:rsid w:val="28B950D1"/>
    <w:rsid w:val="28C1082B"/>
    <w:rsid w:val="28F46A2A"/>
    <w:rsid w:val="29011EB2"/>
    <w:rsid w:val="29432FBF"/>
    <w:rsid w:val="296555D1"/>
    <w:rsid w:val="29AB0CF4"/>
    <w:rsid w:val="29CC3A93"/>
    <w:rsid w:val="2A35590D"/>
    <w:rsid w:val="2A9A35F6"/>
    <w:rsid w:val="2AB2780B"/>
    <w:rsid w:val="2AD07A8F"/>
    <w:rsid w:val="2B3E5CF3"/>
    <w:rsid w:val="2B5B0674"/>
    <w:rsid w:val="2B645C1C"/>
    <w:rsid w:val="2B67084B"/>
    <w:rsid w:val="2BED7EC0"/>
    <w:rsid w:val="2BF63B13"/>
    <w:rsid w:val="2C76027C"/>
    <w:rsid w:val="2C7E4092"/>
    <w:rsid w:val="2CDE7279"/>
    <w:rsid w:val="2CE9283B"/>
    <w:rsid w:val="2CF0667B"/>
    <w:rsid w:val="2D471F06"/>
    <w:rsid w:val="2D5427C8"/>
    <w:rsid w:val="2D8E3667"/>
    <w:rsid w:val="2DB4133C"/>
    <w:rsid w:val="2E517576"/>
    <w:rsid w:val="2E903B0A"/>
    <w:rsid w:val="2E9A5E18"/>
    <w:rsid w:val="2F2E6FE6"/>
    <w:rsid w:val="2F3A598B"/>
    <w:rsid w:val="2FF65FF8"/>
    <w:rsid w:val="300D195C"/>
    <w:rsid w:val="3044134F"/>
    <w:rsid w:val="305644CB"/>
    <w:rsid w:val="30BF37B5"/>
    <w:rsid w:val="30C938F6"/>
    <w:rsid w:val="30E33B4E"/>
    <w:rsid w:val="31063627"/>
    <w:rsid w:val="315E307E"/>
    <w:rsid w:val="317A406A"/>
    <w:rsid w:val="31812486"/>
    <w:rsid w:val="3225462F"/>
    <w:rsid w:val="326C15CD"/>
    <w:rsid w:val="328440F2"/>
    <w:rsid w:val="32C37159"/>
    <w:rsid w:val="32F7333A"/>
    <w:rsid w:val="33813B89"/>
    <w:rsid w:val="33EB0FE6"/>
    <w:rsid w:val="340547BA"/>
    <w:rsid w:val="340A5746"/>
    <w:rsid w:val="34242F97"/>
    <w:rsid w:val="343772E3"/>
    <w:rsid w:val="34D20F1D"/>
    <w:rsid w:val="34D66156"/>
    <w:rsid w:val="34E01123"/>
    <w:rsid w:val="35126944"/>
    <w:rsid w:val="355700EF"/>
    <w:rsid w:val="35E3505E"/>
    <w:rsid w:val="36045DEC"/>
    <w:rsid w:val="361736AD"/>
    <w:rsid w:val="361A4AD3"/>
    <w:rsid w:val="36291567"/>
    <w:rsid w:val="36905D28"/>
    <w:rsid w:val="36B97921"/>
    <w:rsid w:val="36D200CF"/>
    <w:rsid w:val="36E625D8"/>
    <w:rsid w:val="37290AF1"/>
    <w:rsid w:val="37364124"/>
    <w:rsid w:val="374073AD"/>
    <w:rsid w:val="3776777C"/>
    <w:rsid w:val="37A87B4B"/>
    <w:rsid w:val="37DF0271"/>
    <w:rsid w:val="38036406"/>
    <w:rsid w:val="38090083"/>
    <w:rsid w:val="38152E68"/>
    <w:rsid w:val="38382DC3"/>
    <w:rsid w:val="38794785"/>
    <w:rsid w:val="389F2C3C"/>
    <w:rsid w:val="38D62EB4"/>
    <w:rsid w:val="390B1F57"/>
    <w:rsid w:val="392207C3"/>
    <w:rsid w:val="39721332"/>
    <w:rsid w:val="39B2192F"/>
    <w:rsid w:val="39EF7CAF"/>
    <w:rsid w:val="39FB785C"/>
    <w:rsid w:val="3A5F45D1"/>
    <w:rsid w:val="3A6F4CFB"/>
    <w:rsid w:val="3ABE1A8A"/>
    <w:rsid w:val="3AEF2ABA"/>
    <w:rsid w:val="3AF62716"/>
    <w:rsid w:val="3B07350D"/>
    <w:rsid w:val="3B220006"/>
    <w:rsid w:val="3B2A0F67"/>
    <w:rsid w:val="3B5E66F2"/>
    <w:rsid w:val="3BCA27B8"/>
    <w:rsid w:val="3C4A35F1"/>
    <w:rsid w:val="3C540BD2"/>
    <w:rsid w:val="3C5433D0"/>
    <w:rsid w:val="3CCD1144"/>
    <w:rsid w:val="3CD662DF"/>
    <w:rsid w:val="3CF35CE4"/>
    <w:rsid w:val="3D6637FD"/>
    <w:rsid w:val="3D743ED4"/>
    <w:rsid w:val="3D8E220A"/>
    <w:rsid w:val="3D8E3295"/>
    <w:rsid w:val="3EB60287"/>
    <w:rsid w:val="3ED3114D"/>
    <w:rsid w:val="3EDA70CB"/>
    <w:rsid w:val="3F0E7A53"/>
    <w:rsid w:val="3F27317E"/>
    <w:rsid w:val="3F277CDA"/>
    <w:rsid w:val="3F5440F4"/>
    <w:rsid w:val="3F9B7EF1"/>
    <w:rsid w:val="3FAC4783"/>
    <w:rsid w:val="3FAD2B29"/>
    <w:rsid w:val="3FC840B3"/>
    <w:rsid w:val="400F6A26"/>
    <w:rsid w:val="40865225"/>
    <w:rsid w:val="41A76CDF"/>
    <w:rsid w:val="41D24DB5"/>
    <w:rsid w:val="42D15FB8"/>
    <w:rsid w:val="434D5B46"/>
    <w:rsid w:val="43E00D1A"/>
    <w:rsid w:val="43FC254B"/>
    <w:rsid w:val="44385AEB"/>
    <w:rsid w:val="44427EB7"/>
    <w:rsid w:val="448316D6"/>
    <w:rsid w:val="449D080A"/>
    <w:rsid w:val="44D414C9"/>
    <w:rsid w:val="44DE3202"/>
    <w:rsid w:val="45AA13D6"/>
    <w:rsid w:val="46003460"/>
    <w:rsid w:val="46472D5E"/>
    <w:rsid w:val="469B4709"/>
    <w:rsid w:val="46A85B41"/>
    <w:rsid w:val="46AB5AE5"/>
    <w:rsid w:val="46B7604A"/>
    <w:rsid w:val="47A839D0"/>
    <w:rsid w:val="484215BA"/>
    <w:rsid w:val="48BA2291"/>
    <w:rsid w:val="49332FB5"/>
    <w:rsid w:val="49F153DD"/>
    <w:rsid w:val="4A0C6515"/>
    <w:rsid w:val="4A291101"/>
    <w:rsid w:val="4A33669D"/>
    <w:rsid w:val="4AD50ED2"/>
    <w:rsid w:val="4AD737DB"/>
    <w:rsid w:val="4B013AA6"/>
    <w:rsid w:val="4B051E65"/>
    <w:rsid w:val="4B3A1BDA"/>
    <w:rsid w:val="4B3C43EF"/>
    <w:rsid w:val="4B517670"/>
    <w:rsid w:val="4C2D2079"/>
    <w:rsid w:val="4C9C677F"/>
    <w:rsid w:val="4D392B7F"/>
    <w:rsid w:val="4D5A45BC"/>
    <w:rsid w:val="4D8F15D8"/>
    <w:rsid w:val="4DA0266A"/>
    <w:rsid w:val="4DB971B3"/>
    <w:rsid w:val="4DC759F3"/>
    <w:rsid w:val="4DED7214"/>
    <w:rsid w:val="4E040B17"/>
    <w:rsid w:val="4E374A5A"/>
    <w:rsid w:val="4E6D27A0"/>
    <w:rsid w:val="4E9575B8"/>
    <w:rsid w:val="4E9F43E4"/>
    <w:rsid w:val="4EA560D6"/>
    <w:rsid w:val="4EBA2AE4"/>
    <w:rsid w:val="4ED345E0"/>
    <w:rsid w:val="4F924FB7"/>
    <w:rsid w:val="4FEA2B4E"/>
    <w:rsid w:val="503662A7"/>
    <w:rsid w:val="5151771B"/>
    <w:rsid w:val="51DD22DD"/>
    <w:rsid w:val="51EC1975"/>
    <w:rsid w:val="51EC5327"/>
    <w:rsid w:val="51FF4AE6"/>
    <w:rsid w:val="52B458D1"/>
    <w:rsid w:val="52D90F0C"/>
    <w:rsid w:val="52F86189"/>
    <w:rsid w:val="53201AD9"/>
    <w:rsid w:val="53A87857"/>
    <w:rsid w:val="53B57089"/>
    <w:rsid w:val="53BA7E93"/>
    <w:rsid w:val="53E143AE"/>
    <w:rsid w:val="54471105"/>
    <w:rsid w:val="545E02B1"/>
    <w:rsid w:val="546011AE"/>
    <w:rsid w:val="54A775EF"/>
    <w:rsid w:val="54B54467"/>
    <w:rsid w:val="55435CE9"/>
    <w:rsid w:val="555B0A3F"/>
    <w:rsid w:val="55734D49"/>
    <w:rsid w:val="55987808"/>
    <w:rsid w:val="55C3156A"/>
    <w:rsid w:val="55C74027"/>
    <w:rsid w:val="55EC7C86"/>
    <w:rsid w:val="56A214AE"/>
    <w:rsid w:val="56F84D9F"/>
    <w:rsid w:val="573210B0"/>
    <w:rsid w:val="573B21BA"/>
    <w:rsid w:val="587E693B"/>
    <w:rsid w:val="58FD7D40"/>
    <w:rsid w:val="59155CE1"/>
    <w:rsid w:val="5923074E"/>
    <w:rsid w:val="594F433C"/>
    <w:rsid w:val="59AA10F9"/>
    <w:rsid w:val="59D45B85"/>
    <w:rsid w:val="5A5C59AE"/>
    <w:rsid w:val="5A6F296E"/>
    <w:rsid w:val="5B1530FC"/>
    <w:rsid w:val="5B245FB5"/>
    <w:rsid w:val="5B7D1EEC"/>
    <w:rsid w:val="5B8604E4"/>
    <w:rsid w:val="5B8E531E"/>
    <w:rsid w:val="5BA8677C"/>
    <w:rsid w:val="5CBE490A"/>
    <w:rsid w:val="5CE81E44"/>
    <w:rsid w:val="5D066D29"/>
    <w:rsid w:val="5D3D0B65"/>
    <w:rsid w:val="5D554985"/>
    <w:rsid w:val="5D571BF1"/>
    <w:rsid w:val="5D753385"/>
    <w:rsid w:val="5E601A40"/>
    <w:rsid w:val="5EA54972"/>
    <w:rsid w:val="5F053010"/>
    <w:rsid w:val="5F6664B4"/>
    <w:rsid w:val="5F8A549C"/>
    <w:rsid w:val="5F8E0C51"/>
    <w:rsid w:val="5FA83BA6"/>
    <w:rsid w:val="5FC47F2C"/>
    <w:rsid w:val="5FE724D4"/>
    <w:rsid w:val="60067A8B"/>
    <w:rsid w:val="600E1625"/>
    <w:rsid w:val="60605BAC"/>
    <w:rsid w:val="608606DE"/>
    <w:rsid w:val="60ED73F7"/>
    <w:rsid w:val="61533EBB"/>
    <w:rsid w:val="616A4F19"/>
    <w:rsid w:val="61B61E18"/>
    <w:rsid w:val="626847C8"/>
    <w:rsid w:val="62A26C17"/>
    <w:rsid w:val="63014E7B"/>
    <w:rsid w:val="636B1FDC"/>
    <w:rsid w:val="637E1A55"/>
    <w:rsid w:val="638843AD"/>
    <w:rsid w:val="63C73148"/>
    <w:rsid w:val="63D67A7D"/>
    <w:rsid w:val="64875264"/>
    <w:rsid w:val="65366619"/>
    <w:rsid w:val="65C16837"/>
    <w:rsid w:val="65E814A1"/>
    <w:rsid w:val="668F1B3D"/>
    <w:rsid w:val="66AE6D3A"/>
    <w:rsid w:val="66C35559"/>
    <w:rsid w:val="66D91A76"/>
    <w:rsid w:val="66E32855"/>
    <w:rsid w:val="674C66DB"/>
    <w:rsid w:val="67531912"/>
    <w:rsid w:val="6759214B"/>
    <w:rsid w:val="67735961"/>
    <w:rsid w:val="67BF611B"/>
    <w:rsid w:val="682D31E4"/>
    <w:rsid w:val="6868145A"/>
    <w:rsid w:val="689A55A6"/>
    <w:rsid w:val="68B337CC"/>
    <w:rsid w:val="68BC13E5"/>
    <w:rsid w:val="69075AE0"/>
    <w:rsid w:val="69143380"/>
    <w:rsid w:val="6A0C71DE"/>
    <w:rsid w:val="6A1C1F6D"/>
    <w:rsid w:val="6A287B5E"/>
    <w:rsid w:val="6A405B73"/>
    <w:rsid w:val="6A6B37FA"/>
    <w:rsid w:val="6B295D61"/>
    <w:rsid w:val="6B303A1A"/>
    <w:rsid w:val="6B3D78C6"/>
    <w:rsid w:val="6B9A0CE8"/>
    <w:rsid w:val="6BBC5FCE"/>
    <w:rsid w:val="6C0D6B0B"/>
    <w:rsid w:val="6C5C5B41"/>
    <w:rsid w:val="6C8E73F6"/>
    <w:rsid w:val="6CCF1940"/>
    <w:rsid w:val="6D473557"/>
    <w:rsid w:val="6D897695"/>
    <w:rsid w:val="6DAA2FDF"/>
    <w:rsid w:val="6E0132AC"/>
    <w:rsid w:val="6E121228"/>
    <w:rsid w:val="6E6C4611"/>
    <w:rsid w:val="6ECE2A12"/>
    <w:rsid w:val="6F2B6BEF"/>
    <w:rsid w:val="6F8F2B34"/>
    <w:rsid w:val="6FDD4DE6"/>
    <w:rsid w:val="70873960"/>
    <w:rsid w:val="70B81233"/>
    <w:rsid w:val="70C30991"/>
    <w:rsid w:val="70D1495F"/>
    <w:rsid w:val="71174358"/>
    <w:rsid w:val="7163535E"/>
    <w:rsid w:val="716D3C1D"/>
    <w:rsid w:val="71783F98"/>
    <w:rsid w:val="72286DC4"/>
    <w:rsid w:val="722965B5"/>
    <w:rsid w:val="722D2A5F"/>
    <w:rsid w:val="72331016"/>
    <w:rsid w:val="72410EC4"/>
    <w:rsid w:val="730C32F8"/>
    <w:rsid w:val="734B7C16"/>
    <w:rsid w:val="73545F51"/>
    <w:rsid w:val="73641402"/>
    <w:rsid w:val="737B48BB"/>
    <w:rsid w:val="73AD42CB"/>
    <w:rsid w:val="7415064C"/>
    <w:rsid w:val="74260818"/>
    <w:rsid w:val="743C057A"/>
    <w:rsid w:val="74431F5E"/>
    <w:rsid w:val="74E73186"/>
    <w:rsid w:val="75201B39"/>
    <w:rsid w:val="7537163A"/>
    <w:rsid w:val="75EF292A"/>
    <w:rsid w:val="763936F3"/>
    <w:rsid w:val="763B2CF0"/>
    <w:rsid w:val="764E470D"/>
    <w:rsid w:val="76850D49"/>
    <w:rsid w:val="76B35443"/>
    <w:rsid w:val="76CD51C8"/>
    <w:rsid w:val="773B0089"/>
    <w:rsid w:val="776F6C86"/>
    <w:rsid w:val="77974740"/>
    <w:rsid w:val="78391D4B"/>
    <w:rsid w:val="78417157"/>
    <w:rsid w:val="7842124A"/>
    <w:rsid w:val="784E1CF0"/>
    <w:rsid w:val="78A54556"/>
    <w:rsid w:val="792549A7"/>
    <w:rsid w:val="79435213"/>
    <w:rsid w:val="79E81839"/>
    <w:rsid w:val="7A6A3937"/>
    <w:rsid w:val="7B0320A0"/>
    <w:rsid w:val="7B8613C3"/>
    <w:rsid w:val="7C492050"/>
    <w:rsid w:val="7C505703"/>
    <w:rsid w:val="7C766170"/>
    <w:rsid w:val="7CA976D1"/>
    <w:rsid w:val="7D1374F3"/>
    <w:rsid w:val="7D26550D"/>
    <w:rsid w:val="7D2D6A7C"/>
    <w:rsid w:val="7E2B4E0E"/>
    <w:rsid w:val="7E3420E0"/>
    <w:rsid w:val="7E9B1F1B"/>
    <w:rsid w:val="7ED35A54"/>
    <w:rsid w:val="7F1E0D91"/>
    <w:rsid w:val="7F35093E"/>
    <w:rsid w:val="7F642F28"/>
    <w:rsid w:val="7FAD5747"/>
    <w:rsid w:val="7FAF1A05"/>
    <w:rsid w:val="7FD0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5">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6">
    <w:name w:val="heading 3"/>
    <w:basedOn w:val="1"/>
    <w:next w:val="1"/>
    <w:qFormat/>
    <w:uiPriority w:val="0"/>
    <w:pPr>
      <w:keepNext/>
      <w:keepLines/>
      <w:spacing w:before="140" w:after="140" w:line="413" w:lineRule="auto"/>
      <w:outlineLvl w:val="2"/>
    </w:pPr>
    <w:rPr>
      <w:rFonts w:ascii="Times New Roman" w:hAnsi="Times New Roman"/>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unhideWhenUsed/>
    <w:qFormat/>
    <w:uiPriority w:val="0"/>
    <w:pPr>
      <w:ind w:firstLine="420" w:firstLineChars="100"/>
    </w:pPr>
  </w:style>
  <w:style w:type="paragraph" w:styleId="3">
    <w:name w:val="Body Text"/>
    <w:basedOn w:val="1"/>
    <w:next w:val="1"/>
    <w:semiHidden/>
    <w:qFormat/>
    <w:uiPriority w:val="99"/>
    <w:pPr>
      <w:widowControl/>
      <w:jc w:val="left"/>
    </w:pPr>
    <w:rPr>
      <w:kern w:val="0"/>
      <w:sz w:val="28"/>
      <w:szCs w:val="20"/>
    </w:rPr>
  </w:style>
  <w:style w:type="paragraph" w:styleId="7">
    <w:name w:val="Normal Indent"/>
    <w:basedOn w:val="1"/>
    <w:qFormat/>
    <w:uiPriority w:val="0"/>
    <w:pPr>
      <w:ind w:firstLine="420"/>
    </w:pPr>
    <w:rPr>
      <w:rFonts w:ascii="Times New Roman" w:hAnsi="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link w:val="22"/>
    <w:qFormat/>
    <w:uiPriority w:val="0"/>
    <w:rPr>
      <w:rFonts w:ascii="宋体" w:hAnsi="Courier New"/>
      <w:kern w:val="0"/>
      <w:sz w:val="20"/>
      <w:szCs w:val="20"/>
    </w:rPr>
  </w:style>
  <w:style w:type="paragraph" w:styleId="11">
    <w:name w:val="footer"/>
    <w:basedOn w:val="1"/>
    <w:link w:val="21"/>
    <w:qFormat/>
    <w:uiPriority w:val="0"/>
    <w:pPr>
      <w:tabs>
        <w:tab w:val="center" w:pos="4153"/>
        <w:tab w:val="right" w:pos="8306"/>
      </w:tabs>
      <w:snapToGrid w:val="0"/>
      <w:jc w:val="left"/>
    </w:pPr>
    <w:rPr>
      <w:sz w:val="18"/>
      <w:szCs w:val="18"/>
    </w:r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Autospacing="1" w:afterAutospacing="1"/>
      <w:jc w:val="left"/>
    </w:pPr>
    <w:rPr>
      <w:kern w:val="0"/>
      <w:sz w:val="24"/>
    </w:rPr>
  </w:style>
  <w:style w:type="paragraph" w:styleId="14">
    <w:name w:val="Title"/>
    <w:basedOn w:val="1"/>
    <w:next w:val="1"/>
    <w:qFormat/>
    <w:uiPriority w:val="0"/>
    <w:pPr>
      <w:spacing w:before="240" w:after="60"/>
      <w:jc w:val="center"/>
      <w:outlineLvl w:val="0"/>
    </w:pPr>
    <w:rPr>
      <w:rFonts w:ascii="Arial" w:hAnsi="Arial" w:cs="Arial"/>
      <w:b/>
      <w:bCs/>
      <w:sz w:val="32"/>
      <w:szCs w:val="32"/>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_Style 5"/>
    <w:basedOn w:val="1"/>
    <w:qFormat/>
    <w:uiPriority w:val="0"/>
    <w:pPr>
      <w:ind w:firstLine="420" w:firstLineChars="200"/>
    </w:pPr>
  </w:style>
  <w:style w:type="character" w:customStyle="1" w:styleId="20">
    <w:name w:val="页眉 字符"/>
    <w:basedOn w:val="17"/>
    <w:link w:val="12"/>
    <w:qFormat/>
    <w:uiPriority w:val="0"/>
    <w:rPr>
      <w:rFonts w:ascii="Calibri" w:hAnsi="Calibri"/>
      <w:kern w:val="2"/>
      <w:sz w:val="18"/>
      <w:szCs w:val="18"/>
    </w:rPr>
  </w:style>
  <w:style w:type="character" w:customStyle="1" w:styleId="21">
    <w:name w:val="页脚 字符"/>
    <w:basedOn w:val="17"/>
    <w:link w:val="11"/>
    <w:qFormat/>
    <w:uiPriority w:val="0"/>
    <w:rPr>
      <w:rFonts w:ascii="Calibri" w:hAnsi="Calibri"/>
      <w:kern w:val="2"/>
      <w:sz w:val="18"/>
      <w:szCs w:val="18"/>
    </w:rPr>
  </w:style>
  <w:style w:type="character" w:customStyle="1" w:styleId="22">
    <w:name w:val="纯文本 字符"/>
    <w:link w:val="10"/>
    <w:qFormat/>
    <w:uiPriority w:val="0"/>
    <w:rPr>
      <w:rFonts w:ascii="宋体" w:hAnsi="Courier New"/>
    </w:rPr>
  </w:style>
  <w:style w:type="character" w:customStyle="1" w:styleId="23">
    <w:name w:val="font11"/>
    <w:basedOn w:val="17"/>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GEDI</Company>
  <Pages>6</Pages>
  <Words>1110</Words>
  <Characters>6329</Characters>
  <Lines>52</Lines>
  <Paragraphs>14</Paragraphs>
  <TotalTime>2</TotalTime>
  <ScaleCrop>false</ScaleCrop>
  <LinksUpToDate>false</LinksUpToDate>
  <CharactersWithSpaces>7425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2025-07-14T12:00:00Z</dcterms:created>
  <dc:creator>maja</dc:creator>
  <cp:lastModifiedBy>gzry8</cp:lastModifiedBy>
  <dcterms:modified xsi:type="dcterms:W3CDTF">2025-10-29T11:10:15Z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C9FEF62DBCDD4A8BA82A14FA0F95A947</vt:lpwstr>
  </property>
</Properties>
</file>