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sz w:val="52"/>
          <w:szCs w:val="52"/>
          <w:lang w:val="en-US" w:eastAsia="zh-CN"/>
        </w:rPr>
        <w:t>附件1：测试需求清单</w:t>
      </w:r>
    </w:p>
    <w:p>
      <w:pPr>
        <w:pStyle w:val="9"/>
        <w:ind w:left="-108"/>
        <w:jc w:val="center"/>
        <w:rPr>
          <w:b/>
          <w:sz w:val="30"/>
          <w:szCs w:val="30"/>
        </w:rPr>
      </w:pPr>
    </w:p>
    <w:p>
      <w:pPr>
        <w:pStyle w:val="9"/>
        <w:rPr>
          <w:rFonts w:hint="default"/>
          <w:lang w:val="en-US"/>
        </w:rPr>
      </w:pPr>
      <w:r>
        <w:rPr>
          <w:rFonts w:hint="eastAsia"/>
          <w:lang w:val="en-US" w:eastAsia="zh-CN"/>
        </w:rPr>
        <w:t>测试软件</w:t>
      </w:r>
      <w:r>
        <w:t>：</w:t>
      </w:r>
      <w:r>
        <w:rPr>
          <w:rFonts w:hint="eastAsia"/>
        </w:rPr>
        <w:t>配网状态检修远程测试管控模块</w:t>
      </w:r>
    </w:p>
    <w:tbl>
      <w:tblPr>
        <w:tblStyle w:val="7"/>
        <w:tblW w:w="97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2125"/>
        <w:gridCol w:w="67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tblHeader/>
          <w:jc w:val="center"/>
        </w:trPr>
        <w:tc>
          <w:tcPr>
            <w:tcW w:w="795" w:type="dxa"/>
            <w:tcBorders>
              <w:bottom w:val="single" w:color="auto" w:sz="4" w:space="0"/>
            </w:tcBorders>
            <w:shd w:val="clear" w:color="auto" w:fill="F3F3F3"/>
            <w:vAlign w:val="center"/>
          </w:tcPr>
          <w:p>
            <w:pPr>
              <w:pStyle w:val="9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序号</w:t>
            </w:r>
          </w:p>
        </w:tc>
        <w:tc>
          <w:tcPr>
            <w:tcW w:w="2125" w:type="dxa"/>
            <w:tcBorders>
              <w:bottom w:val="single" w:color="auto" w:sz="4" w:space="0"/>
            </w:tcBorders>
            <w:shd w:val="clear" w:color="auto" w:fill="F3F3F3"/>
            <w:vAlign w:val="center"/>
          </w:tcPr>
          <w:p>
            <w:pPr>
              <w:pStyle w:val="9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功能项</w:t>
            </w:r>
          </w:p>
        </w:tc>
        <w:tc>
          <w:tcPr>
            <w:tcW w:w="6780" w:type="dxa"/>
            <w:tcBorders>
              <w:bottom w:val="single" w:color="auto" w:sz="4" w:space="0"/>
            </w:tcBorders>
            <w:shd w:val="clear" w:color="auto" w:fill="F3F3F3"/>
            <w:vAlign w:val="center"/>
          </w:tcPr>
          <w:p>
            <w:pPr>
              <w:pStyle w:val="9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功能项说明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95" w:type="dxa"/>
            <w:vAlign w:val="center"/>
          </w:tcPr>
          <w:p>
            <w:pPr>
              <w:pStyle w:val="9"/>
              <w:numPr>
                <w:ilvl w:val="0"/>
                <w:numId w:val="1"/>
              </w:numPr>
              <w:snapToGrid w:val="0"/>
              <w:spacing w:line="240" w:lineRule="auto"/>
              <w:ind w:left="425" w:leftChars="0" w:right="0" w:rightChars="0" w:hanging="425" w:firstLineChars="0"/>
              <w:jc w:val="center"/>
              <w:rPr>
                <w:rFonts w:hint="eastAsia" w:ascii="Times New Roman" w:eastAsia="宋体"/>
                <w:color w:val="000000"/>
                <w:sz w:val="22"/>
                <w:szCs w:val="22"/>
              </w:rPr>
            </w:pPr>
          </w:p>
        </w:tc>
        <w:tc>
          <w:tcPr>
            <w:tcW w:w="2125" w:type="dxa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链路加密通道和巡检测试</w:t>
            </w:r>
          </w:p>
        </w:tc>
        <w:tc>
          <w:tcPr>
            <w:tcW w:w="6780" w:type="dxa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具备独立远程巡检加密通道、巡检报告自动生成功能；</w:t>
            </w:r>
          </w:p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巡检策略指令执行响应时间≤2min。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95" w:type="dxa"/>
            <w:vAlign w:val="center"/>
          </w:tcPr>
          <w:p>
            <w:pPr>
              <w:pStyle w:val="9"/>
              <w:numPr>
                <w:ilvl w:val="0"/>
                <w:numId w:val="1"/>
              </w:numPr>
              <w:snapToGrid w:val="0"/>
              <w:spacing w:line="240" w:lineRule="auto"/>
              <w:ind w:left="425" w:leftChars="0" w:right="0" w:rightChars="0" w:hanging="425" w:firstLineChars="0"/>
              <w:jc w:val="center"/>
              <w:rPr>
                <w:rFonts w:hint="eastAsia" w:ascii="Times New Roman" w:eastAsia="宋体"/>
                <w:color w:val="000000"/>
                <w:sz w:val="22"/>
                <w:szCs w:val="22"/>
              </w:rPr>
            </w:pPr>
          </w:p>
        </w:tc>
        <w:tc>
          <w:tcPr>
            <w:tcW w:w="2125" w:type="dxa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登录测试</w:t>
            </w:r>
          </w:p>
        </w:tc>
        <w:tc>
          <w:tcPr>
            <w:tcW w:w="6780" w:type="dxa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工作站链路与装置服务器链路可达。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95" w:type="dxa"/>
            <w:vAlign w:val="center"/>
          </w:tcPr>
          <w:p>
            <w:pPr>
              <w:pStyle w:val="9"/>
              <w:numPr>
                <w:ilvl w:val="0"/>
                <w:numId w:val="1"/>
              </w:numPr>
              <w:snapToGrid w:val="0"/>
              <w:spacing w:line="240" w:lineRule="auto"/>
              <w:ind w:left="425" w:leftChars="0" w:right="0" w:rightChars="0" w:hanging="425" w:firstLineChars="0"/>
              <w:jc w:val="center"/>
              <w:rPr>
                <w:rFonts w:hint="eastAsia" w:ascii="Times New Roman" w:eastAsia="宋体"/>
                <w:color w:val="000000"/>
                <w:sz w:val="22"/>
                <w:szCs w:val="22"/>
              </w:rPr>
            </w:pPr>
          </w:p>
        </w:tc>
        <w:tc>
          <w:tcPr>
            <w:tcW w:w="2125" w:type="dxa"/>
            <w:vAlign w:val="center"/>
          </w:tcPr>
          <w:p>
            <w:pPr>
              <w:pStyle w:val="5"/>
              <w:widowControl/>
              <w:shd w:val="clear" w:color="auto" w:fill="FFFFFF"/>
              <w:snapToGrid w:val="0"/>
              <w:jc w:val="center"/>
              <w:textAlignment w:val="baseline"/>
              <w:outlineLvl w:val="2"/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  <w:t>网关单元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多协议适配采集功能</w:t>
            </w:r>
          </w:p>
        </w:tc>
        <w:tc>
          <w:tcPr>
            <w:tcW w:w="6780" w:type="dxa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工作站链路与装置服务器，采集资产链路可达且网关应支持通过多种私有规约协议对配电终端、馈线终端等被采集设备进行数据采集。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95" w:type="dxa"/>
            <w:vAlign w:val="center"/>
          </w:tcPr>
          <w:p>
            <w:pPr>
              <w:pStyle w:val="9"/>
              <w:numPr>
                <w:ilvl w:val="0"/>
                <w:numId w:val="1"/>
              </w:numPr>
              <w:snapToGrid w:val="0"/>
              <w:spacing w:line="240" w:lineRule="auto"/>
              <w:ind w:left="425" w:leftChars="0" w:right="0" w:rightChars="0" w:hanging="425" w:firstLineChars="0"/>
              <w:jc w:val="center"/>
              <w:rPr>
                <w:rFonts w:hint="eastAsia" w:ascii="Times New Roman" w:eastAsia="宋体"/>
                <w:color w:val="000000"/>
                <w:sz w:val="22"/>
                <w:szCs w:val="22"/>
              </w:rPr>
            </w:pPr>
          </w:p>
        </w:tc>
        <w:tc>
          <w:tcPr>
            <w:tcW w:w="2125" w:type="dxa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告警上送</w:t>
            </w:r>
          </w:p>
        </w:tc>
        <w:tc>
          <w:tcPr>
            <w:tcW w:w="6780" w:type="dxa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工作站链路与装置服务器链路可达。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95" w:type="dxa"/>
            <w:vAlign w:val="center"/>
          </w:tcPr>
          <w:p>
            <w:pPr>
              <w:pStyle w:val="9"/>
              <w:numPr>
                <w:ilvl w:val="0"/>
                <w:numId w:val="1"/>
              </w:numPr>
              <w:snapToGrid w:val="0"/>
              <w:spacing w:line="240" w:lineRule="auto"/>
              <w:ind w:left="425" w:leftChars="0" w:right="0" w:rightChars="0" w:hanging="425" w:firstLineChars="0"/>
              <w:jc w:val="center"/>
              <w:rPr>
                <w:rFonts w:ascii="Times New Roman" w:eastAsia="宋体"/>
                <w:sz w:val="22"/>
              </w:rPr>
            </w:pPr>
          </w:p>
        </w:tc>
        <w:tc>
          <w:tcPr>
            <w:tcW w:w="2125" w:type="dxa"/>
            <w:vAlign w:val="center"/>
          </w:tcPr>
          <w:p>
            <w:pPr>
              <w:pStyle w:val="5"/>
              <w:widowControl/>
              <w:shd w:val="clear" w:color="auto" w:fill="FFFFFF"/>
              <w:snapToGrid w:val="0"/>
              <w:jc w:val="center"/>
              <w:textAlignment w:val="baseline"/>
              <w:outlineLvl w:val="2"/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  <w:t>数据预处理功能</w:t>
            </w:r>
          </w:p>
        </w:tc>
        <w:tc>
          <w:tcPr>
            <w:tcW w:w="6780" w:type="dxa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应支持对采集的原始数据进行本地解析、清洗、格式转换和聚合处理。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95" w:type="dxa"/>
            <w:vAlign w:val="center"/>
          </w:tcPr>
          <w:p>
            <w:pPr>
              <w:pStyle w:val="9"/>
              <w:numPr>
                <w:ilvl w:val="0"/>
                <w:numId w:val="1"/>
              </w:numPr>
              <w:snapToGrid w:val="0"/>
              <w:spacing w:line="240" w:lineRule="auto"/>
              <w:ind w:left="425" w:leftChars="0" w:right="0" w:rightChars="0" w:hanging="425" w:firstLineChars="0"/>
              <w:jc w:val="center"/>
              <w:rPr>
                <w:rFonts w:ascii="Times New Roman" w:eastAsia="宋体"/>
                <w:sz w:val="22"/>
              </w:rPr>
            </w:pPr>
          </w:p>
        </w:tc>
        <w:tc>
          <w:tcPr>
            <w:tcW w:w="2125" w:type="dxa"/>
            <w:vAlign w:val="center"/>
          </w:tcPr>
          <w:p>
            <w:pPr>
              <w:pStyle w:val="5"/>
              <w:widowControl/>
              <w:shd w:val="clear" w:color="auto" w:fill="FFFFFF"/>
              <w:snapToGrid w:val="0"/>
              <w:jc w:val="center"/>
              <w:textAlignment w:val="baseline"/>
              <w:outlineLvl w:val="2"/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北向通道建立功能</w:t>
            </w:r>
          </w:p>
        </w:tc>
        <w:tc>
          <w:tcPr>
            <w:tcW w:w="6780" w:type="dxa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网关应能在本地正确监听TLCP协议端口（控制维护通道9903，监视巡视通道9904）。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95" w:type="dxa"/>
            <w:vAlign w:val="center"/>
          </w:tcPr>
          <w:p>
            <w:pPr>
              <w:pStyle w:val="9"/>
              <w:numPr>
                <w:ilvl w:val="0"/>
                <w:numId w:val="1"/>
              </w:numPr>
              <w:snapToGrid w:val="0"/>
              <w:spacing w:line="240" w:lineRule="auto"/>
              <w:ind w:left="425" w:leftChars="0" w:right="0" w:rightChars="0" w:hanging="425" w:firstLineChars="0"/>
              <w:jc w:val="center"/>
              <w:rPr>
                <w:rFonts w:ascii="Times New Roman" w:eastAsia="宋体"/>
                <w:sz w:val="22"/>
              </w:rPr>
            </w:pPr>
          </w:p>
        </w:tc>
        <w:tc>
          <w:tcPr>
            <w:tcW w:w="2125" w:type="dxa"/>
            <w:vAlign w:val="center"/>
          </w:tcPr>
          <w:p>
            <w:pPr>
              <w:pStyle w:val="5"/>
              <w:widowControl/>
              <w:shd w:val="clear" w:color="auto" w:fill="FFFFFF"/>
              <w:snapToGrid w:val="0"/>
              <w:jc w:val="center"/>
              <w:textAlignment w:val="baseline"/>
              <w:outlineLvl w:val="2"/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南向通信功能</w:t>
            </w:r>
          </w:p>
        </w:tc>
        <w:tc>
          <w:tcPr>
            <w:tcW w:w="6780" w:type="dxa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支持与装置采用请求+响应机制和主动上送两种交付机制。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95" w:type="dxa"/>
            <w:vAlign w:val="center"/>
          </w:tcPr>
          <w:p>
            <w:pPr>
              <w:pStyle w:val="9"/>
              <w:numPr>
                <w:ilvl w:val="0"/>
                <w:numId w:val="1"/>
              </w:numPr>
              <w:snapToGrid w:val="0"/>
              <w:spacing w:line="240" w:lineRule="auto"/>
              <w:ind w:left="425" w:leftChars="0" w:right="0" w:rightChars="0" w:hanging="425" w:firstLineChars="0"/>
              <w:jc w:val="center"/>
              <w:rPr>
                <w:rFonts w:ascii="Times New Roman" w:eastAsia="宋体"/>
                <w:sz w:val="22"/>
              </w:rPr>
            </w:pPr>
          </w:p>
        </w:tc>
        <w:tc>
          <w:tcPr>
            <w:tcW w:w="2125" w:type="dxa"/>
            <w:vAlign w:val="center"/>
          </w:tcPr>
          <w:p>
            <w:pPr>
              <w:pStyle w:val="5"/>
              <w:widowControl/>
              <w:shd w:val="clear" w:color="auto" w:fill="FFFFFF"/>
              <w:snapToGrid w:val="0"/>
              <w:jc w:val="center"/>
              <w:textAlignment w:val="baseline"/>
              <w:outlineLvl w:val="2"/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  <w:t>本地数据存储功能</w:t>
            </w:r>
          </w:p>
        </w:tc>
        <w:tc>
          <w:tcPr>
            <w:tcW w:w="6780" w:type="dxa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应采用持久化存储机制，支持掉电数据不丢失；支持对采集数据、处理数据及配置信息进行统一存储。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95" w:type="dxa"/>
            <w:vAlign w:val="center"/>
          </w:tcPr>
          <w:p>
            <w:pPr>
              <w:pStyle w:val="9"/>
              <w:numPr>
                <w:ilvl w:val="0"/>
                <w:numId w:val="1"/>
              </w:numPr>
              <w:snapToGrid w:val="0"/>
              <w:spacing w:line="240" w:lineRule="auto"/>
              <w:ind w:left="425" w:leftChars="0" w:right="0" w:rightChars="0" w:hanging="425" w:firstLineChars="0"/>
              <w:jc w:val="center"/>
              <w:rPr>
                <w:rFonts w:ascii="Times New Roman" w:eastAsia="宋体"/>
                <w:sz w:val="22"/>
              </w:rPr>
            </w:pPr>
          </w:p>
        </w:tc>
        <w:tc>
          <w:tcPr>
            <w:tcW w:w="2125" w:type="dxa"/>
            <w:vAlign w:val="center"/>
          </w:tcPr>
          <w:p>
            <w:pPr>
              <w:pStyle w:val="4"/>
              <w:widowControl/>
              <w:shd w:val="clear" w:color="auto" w:fill="FFFFFF"/>
              <w:snapToGrid w:val="0"/>
              <w:jc w:val="center"/>
              <w:textAlignment w:val="baseline"/>
              <w:outlineLvl w:val="1"/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-SA"/>
              </w:rPr>
              <w:t>巡检任务功能</w:t>
            </w:r>
          </w:p>
        </w:tc>
        <w:tc>
          <w:tcPr>
            <w:tcW w:w="6780" w:type="dxa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应支持接收主站系统下发的巡检任务，每个周期获取一次，支持巡检结果与巡检数据保留可配置天数。</w:t>
            </w:r>
          </w:p>
        </w:tc>
      </w:tr>
    </w:tbl>
    <w:p>
      <w:pPr>
        <w:pStyle w:val="9"/>
        <w:rPr>
          <w:rFonts w:hint="eastAsia"/>
          <w:lang w:val="en-US" w:eastAsia="zh-CN"/>
        </w:rPr>
      </w:pPr>
    </w:p>
    <w:p>
      <w:pPr>
        <w:pStyle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配网状态检修远程测试管控模块性能指标要求：</w:t>
      </w:r>
    </w:p>
    <w:tbl>
      <w:tblPr>
        <w:tblStyle w:val="7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1"/>
        <w:gridCol w:w="2066"/>
        <w:gridCol w:w="3315"/>
        <w:gridCol w:w="22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523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1213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考核指标名称</w:t>
            </w:r>
          </w:p>
        </w:tc>
        <w:tc>
          <w:tcPr>
            <w:tcW w:w="1946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考核指标定义</w:t>
            </w:r>
          </w:p>
        </w:tc>
        <w:tc>
          <w:tcPr>
            <w:tcW w:w="131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 w:bidi="ar-SA"/>
              </w:rPr>
              <w:t>完成时指标值/状态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23" w:type="pct"/>
            <w:vAlign w:val="center"/>
          </w:tcPr>
          <w:p>
            <w:pPr>
              <w:numPr>
                <w:ilvl w:val="0"/>
                <w:numId w:val="3"/>
              </w:numPr>
              <w:adjustRightInd w:val="0"/>
              <w:snapToGrid w:val="0"/>
              <w:ind w:left="0" w:leftChars="0" w:firstLine="0" w:firstLineChars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13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  <w:t>并发接入能力测试</w:t>
            </w:r>
          </w:p>
        </w:tc>
        <w:tc>
          <w:tcPr>
            <w:tcW w:w="1946" w:type="pct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接入被采集设备数量&gt;20，支持最大并发接收流量采速率&gt;80Kpps；支持单个网口最大接收流量采集速率&gt;10Kpps。</w:t>
            </w:r>
          </w:p>
        </w:tc>
        <w:tc>
          <w:tcPr>
            <w:tcW w:w="1316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接入被采集设备数量&gt;20，支持最大并发接收流量采速率&gt;80Kpps；支持单个网口最大接收流量采集速率&gt;10Kpps。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23" w:type="pct"/>
            <w:vAlign w:val="center"/>
          </w:tcPr>
          <w:p>
            <w:pPr>
              <w:numPr>
                <w:ilvl w:val="0"/>
                <w:numId w:val="3"/>
              </w:numPr>
              <w:adjustRightInd w:val="0"/>
              <w:snapToGrid w:val="0"/>
              <w:ind w:left="0" w:leftChars="0" w:firstLine="0" w:firstLineChars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13" w:type="pct"/>
            <w:vAlign w:val="center"/>
          </w:tcPr>
          <w:p>
            <w:pPr>
              <w:pStyle w:val="5"/>
              <w:widowControl/>
              <w:shd w:val="clear" w:color="auto" w:fill="FFFFFF"/>
              <w:snapToGrid w:val="0"/>
              <w:jc w:val="center"/>
              <w:textAlignment w:val="baseline"/>
              <w:outlineLvl w:val="2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2"/>
                <w:szCs w:val="22"/>
                <w:lang w:val="en-US" w:eastAsia="zh-CN" w:bidi="ar-SA"/>
              </w:rPr>
              <w:t>日志数据处理性能</w:t>
            </w:r>
          </w:p>
        </w:tc>
        <w:tc>
          <w:tcPr>
            <w:tcW w:w="1946" w:type="pct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最大日志解析能力&gt;1000条/每分钟；未解析日志存储率为100%。</w:t>
            </w:r>
          </w:p>
        </w:tc>
        <w:tc>
          <w:tcPr>
            <w:tcW w:w="1316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最大日志解析能力&gt;1000条/每分钟；未解析日志存储率为100%。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23" w:type="pct"/>
            <w:vAlign w:val="center"/>
          </w:tcPr>
          <w:p>
            <w:pPr>
              <w:numPr>
                <w:ilvl w:val="0"/>
                <w:numId w:val="3"/>
              </w:numPr>
              <w:adjustRightInd w:val="0"/>
              <w:snapToGrid w:val="0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13" w:type="pct"/>
            <w:vAlign w:val="center"/>
          </w:tcPr>
          <w:p>
            <w:pPr>
              <w:pStyle w:val="5"/>
              <w:widowControl/>
              <w:shd w:val="clear" w:color="auto" w:fill="FFFFFF"/>
              <w:snapToGrid w:val="0"/>
              <w:jc w:val="center"/>
              <w:textAlignment w:val="baseline"/>
              <w:outlineLvl w:val="2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2"/>
                <w:szCs w:val="22"/>
                <w:lang w:val="en-US" w:eastAsia="zh-CN" w:bidi="ar-SA"/>
              </w:rPr>
              <w:t>通道处理能力测试</w:t>
            </w:r>
          </w:p>
        </w:tc>
        <w:tc>
          <w:tcPr>
            <w:tcW w:w="1946" w:type="pct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支持不少于20个并发任务的管理与调度。</w:t>
            </w:r>
          </w:p>
        </w:tc>
        <w:tc>
          <w:tcPr>
            <w:tcW w:w="1316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2"/>
                <w:szCs w:val="22"/>
                <w:lang w:val="en-US" w:eastAsia="zh-CN" w:bidi="ar-SA"/>
              </w:rPr>
              <w:t>通道处理</w:t>
            </w:r>
            <w:r>
              <w:rPr>
                <w:rFonts w:hint="eastAsia" w:eastAsia="宋体" w:cs="Times New Roman"/>
                <w:b w:val="0"/>
                <w:bCs w:val="0"/>
                <w:kern w:val="0"/>
                <w:sz w:val="22"/>
                <w:szCs w:val="22"/>
                <w:lang w:val="en-US" w:eastAsia="zh-CN" w:bidi="ar-SA"/>
              </w:rPr>
              <w:t>&gt;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20个并发任务的管理与调度。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23" w:type="pct"/>
            <w:vAlign w:val="center"/>
          </w:tcPr>
          <w:p>
            <w:pPr>
              <w:numPr>
                <w:ilvl w:val="0"/>
                <w:numId w:val="3"/>
              </w:numPr>
              <w:adjustRightInd w:val="0"/>
              <w:snapToGrid w:val="0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13" w:type="pct"/>
            <w:vAlign w:val="center"/>
          </w:tcPr>
          <w:p>
            <w:pPr>
              <w:pStyle w:val="5"/>
              <w:widowControl/>
              <w:shd w:val="clear" w:color="auto" w:fill="FFFFFF"/>
              <w:snapToGrid w:val="0"/>
              <w:jc w:val="center"/>
              <w:textAlignment w:val="baseline"/>
              <w:outlineLvl w:val="2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2"/>
                <w:szCs w:val="22"/>
                <w:lang w:val="en-US" w:eastAsia="zh-CN" w:bidi="ar-SA"/>
              </w:rPr>
              <w:t>数据传输性能测试</w:t>
            </w:r>
          </w:p>
        </w:tc>
        <w:tc>
          <w:tcPr>
            <w:tcW w:w="1946" w:type="pct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数据上送性能需支持最大上送主站数&gt;1个。</w:t>
            </w:r>
          </w:p>
        </w:tc>
        <w:tc>
          <w:tcPr>
            <w:tcW w:w="1316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数据上送性能需支持最大上送主站数&gt;1个。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23" w:type="pct"/>
            <w:vAlign w:val="center"/>
          </w:tcPr>
          <w:p>
            <w:pPr>
              <w:numPr>
                <w:ilvl w:val="0"/>
                <w:numId w:val="3"/>
              </w:numPr>
              <w:adjustRightInd w:val="0"/>
              <w:snapToGrid w:val="0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13" w:type="pct"/>
            <w:vAlign w:val="center"/>
          </w:tcPr>
          <w:p>
            <w:pPr>
              <w:pStyle w:val="5"/>
              <w:widowControl/>
              <w:shd w:val="clear" w:color="auto" w:fill="FFFFFF"/>
              <w:snapToGrid w:val="0"/>
              <w:jc w:val="center"/>
              <w:textAlignment w:val="baseline"/>
              <w:outlineLvl w:val="2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2"/>
                <w:szCs w:val="22"/>
                <w:lang w:val="en-US" w:eastAsia="zh-CN" w:bidi="ar-SA"/>
              </w:rPr>
              <w:t>系统可靠性测试</w:t>
            </w:r>
          </w:p>
        </w:tc>
        <w:tc>
          <w:tcPr>
            <w:tcW w:w="1946" w:type="pct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平均故障间隔时间&gt;800小时；系统日志存储容量&gt;10000条。</w:t>
            </w:r>
          </w:p>
        </w:tc>
        <w:tc>
          <w:tcPr>
            <w:tcW w:w="1316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平均故障间隔时间&gt;800小时；系统日志存储容量&gt;10000条。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23" w:type="pct"/>
            <w:vAlign w:val="center"/>
          </w:tcPr>
          <w:p>
            <w:pPr>
              <w:numPr>
                <w:ilvl w:val="0"/>
                <w:numId w:val="3"/>
              </w:numPr>
              <w:adjustRightInd w:val="0"/>
              <w:snapToGrid w:val="0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13" w:type="pct"/>
            <w:vAlign w:val="center"/>
          </w:tcPr>
          <w:p>
            <w:pPr>
              <w:pStyle w:val="5"/>
              <w:widowControl/>
              <w:shd w:val="clear" w:color="auto" w:fill="FFFFFF"/>
              <w:snapToGrid w:val="0"/>
              <w:jc w:val="center"/>
              <w:textAlignment w:val="baseline"/>
              <w:outlineLvl w:val="2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2"/>
                <w:szCs w:val="22"/>
                <w:lang w:val="en-US" w:eastAsia="zh-CN" w:bidi="ar-SA"/>
              </w:rPr>
              <w:t>时间同步性能测试</w:t>
            </w:r>
          </w:p>
        </w:tc>
        <w:tc>
          <w:tcPr>
            <w:tcW w:w="1946" w:type="pct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对时精度≤1s。</w:t>
            </w:r>
          </w:p>
        </w:tc>
        <w:tc>
          <w:tcPr>
            <w:tcW w:w="1316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对时精度≤1s。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23" w:type="pct"/>
            <w:vAlign w:val="center"/>
          </w:tcPr>
          <w:p>
            <w:pPr>
              <w:numPr>
                <w:ilvl w:val="0"/>
                <w:numId w:val="3"/>
              </w:numPr>
              <w:adjustRightInd w:val="0"/>
              <w:snapToGrid w:val="0"/>
              <w:ind w:left="0" w:lef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213" w:type="pct"/>
            <w:vAlign w:val="center"/>
          </w:tcPr>
          <w:p>
            <w:pPr>
              <w:pStyle w:val="5"/>
              <w:widowControl/>
              <w:shd w:val="clear" w:color="auto" w:fill="FFFFFF"/>
              <w:snapToGrid w:val="0"/>
              <w:jc w:val="center"/>
              <w:textAlignment w:val="baseline"/>
              <w:outlineLvl w:val="2"/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2"/>
                <w:szCs w:val="22"/>
                <w:lang w:val="en-US" w:eastAsia="zh-CN" w:bidi="ar-SA"/>
              </w:rPr>
              <w:t>长时间运行稳定性测试</w:t>
            </w:r>
          </w:p>
        </w:tc>
        <w:tc>
          <w:tcPr>
            <w:tcW w:w="1946" w:type="pct"/>
            <w:vAlign w:val="center"/>
          </w:tcPr>
          <w:p>
            <w:pPr>
              <w:keepNext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 w:right="0" w:rightChars="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在长时间运行(≥30天)内保持稳定的响应性能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。</w:t>
            </w:r>
          </w:p>
        </w:tc>
        <w:tc>
          <w:tcPr>
            <w:tcW w:w="1316" w:type="pct"/>
            <w:vAlign w:val="center"/>
          </w:tcPr>
          <w:p>
            <w:pPr>
              <w:adjustRightInd w:val="0"/>
              <w:snapToGrid w:val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在长时间运行(≥30天)内保持稳定的响应性能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 w:bidi="ar-SA"/>
              </w:rPr>
              <w:t>。</w:t>
            </w:r>
          </w:p>
        </w:tc>
      </w:tr>
    </w:tbl>
    <w:p>
      <w:pPr>
        <w:pStyle w:val="6"/>
        <w:ind w:left="0" w:leftChars="0" w:firstLine="0" w:firstLineChars="0"/>
        <w:rPr>
          <w:rFonts w:hint="default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F0EA37"/>
    <w:multiLevelType w:val="singleLevel"/>
    <w:tmpl w:val="88F0EA37"/>
    <w:lvl w:ilvl="0" w:tentative="0">
      <w:start w:val="1"/>
      <w:numFmt w:val="decimal"/>
      <w:suff w:val="nothing"/>
      <w:lvlText w:val="%1"/>
      <w:lvlJc w:val="center"/>
      <w:pPr>
        <w:ind w:left="0" w:leftChars="0" w:firstLine="0" w:firstLineChars="0"/>
      </w:pPr>
      <w:rPr>
        <w:rFonts w:hint="default"/>
      </w:rPr>
    </w:lvl>
  </w:abstractNum>
  <w:abstractNum w:abstractNumId="1">
    <w:nsid w:val="AED08FB1"/>
    <w:multiLevelType w:val="singleLevel"/>
    <w:tmpl w:val="AED08FB1"/>
    <w:lvl w:ilvl="0" w:tentative="0">
      <w:start w:val="1"/>
      <w:numFmt w:val="decimal"/>
      <w:suff w:val="nothing"/>
      <w:lvlText w:val="%1"/>
      <w:lvlJc w:val="left"/>
      <w:pPr>
        <w:ind w:left="425" w:leftChars="0" w:hanging="425" w:firstLineChars="0"/>
      </w:pPr>
      <w:rPr>
        <w:rFonts w:hint="default"/>
      </w:rPr>
    </w:lvl>
  </w:abstractNum>
  <w:abstractNum w:abstractNumId="2">
    <w:nsid w:val="67ECC35A"/>
    <w:multiLevelType w:val="singleLevel"/>
    <w:tmpl w:val="67ECC35A"/>
    <w:lvl w:ilvl="0" w:tentative="0">
      <w:start w:val="1"/>
      <w:numFmt w:val="decimal"/>
      <w:suff w:val="space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9B0F5E"/>
    <w:rsid w:val="44E67ADF"/>
    <w:rsid w:val="62C5567C"/>
    <w:rsid w:val="7B9B0F5E"/>
    <w:rsid w:val="7DD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paragraph" w:styleId="5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6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customStyle="1" w:styleId="9">
    <w:name w:val="表格正文"/>
    <w:basedOn w:val="1"/>
    <w:qFormat/>
    <w:uiPriority w:val="0"/>
    <w:pPr>
      <w:adjustRightInd w:val="0"/>
      <w:snapToGrid w:val="0"/>
      <w:spacing w:line="288" w:lineRule="auto"/>
    </w:pPr>
    <w:rPr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2025-11-03T03:43:00Z</dcterms:created>
  <dc:creator>李玎</dc:creator>
  <cp:lastModifiedBy>李玎</cp:lastModifiedBy>
  <dcterms:modified xsi:type="dcterms:W3CDTF">2025-11-03T03:45:02Z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0011A349E5964D6D8578B0F87BFD62F2</vt:lpwstr>
  </property>
</Properties>
</file>