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3"/>
        <w:jc w:val="center"/>
        <w:textAlignment w:val="auto"/>
        <w:outlineLvl w:val="9"/>
        <w:rPr>
          <w:rFonts w:ascii="宋体" w:hAnsi="宋体"/>
          <w:b/>
          <w:sz w:val="44"/>
          <w:szCs w:val="44"/>
          <w:highlight w:val="none"/>
        </w:rPr>
      </w:pPr>
      <w:bookmarkStart w:id="0" w:name="_Toc2749"/>
      <w:bookmarkStart w:id="1" w:name="_Toc23835"/>
      <w:bookmarkStart w:id="2" w:name="hp_TitlePage"/>
      <w:r>
        <w:rPr>
          <w:color w:val="000000"/>
          <w:highlight w:val="non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-106045</wp:posOffset>
            </wp:positionH>
            <wp:positionV relativeFrom="paragraph">
              <wp:posOffset>-3810</wp:posOffset>
            </wp:positionV>
            <wp:extent cx="3219450" cy="685800"/>
            <wp:effectExtent l="0" t="0" r="11430" b="0"/>
            <wp:wrapNone/>
            <wp:docPr id="838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9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0000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-1026160</wp:posOffset>
            </wp:positionH>
            <wp:positionV relativeFrom="paragraph">
              <wp:posOffset>-899160</wp:posOffset>
            </wp:positionV>
            <wp:extent cx="7574280" cy="2278380"/>
            <wp:effectExtent l="0" t="0" r="0" b="7620"/>
            <wp:wrapNone/>
            <wp:docPr id="839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0" name="图片 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574280" cy="2278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bookmarkEnd w:id="1"/>
    </w:p>
    <w:p>
      <w:pPr>
        <w:spacing w:line="360" w:lineRule="auto"/>
        <w:jc w:val="center"/>
        <w:rPr>
          <w:rFonts w:hint="eastAsia" w:ascii="宋体" w:hAnsi="宋体"/>
          <w:b/>
          <w:sz w:val="44"/>
          <w:highlight w:val="none"/>
        </w:rPr>
      </w:pPr>
    </w:p>
    <w:p>
      <w:pPr>
        <w:spacing w:line="360" w:lineRule="auto"/>
        <w:jc w:val="center"/>
        <w:rPr>
          <w:rFonts w:hint="eastAsia" w:ascii="宋体" w:hAnsi="宋体"/>
          <w:b/>
          <w:sz w:val="44"/>
          <w:highlight w:val="none"/>
        </w:rPr>
      </w:pPr>
    </w:p>
    <w:p>
      <w:pPr>
        <w:spacing w:line="360" w:lineRule="auto"/>
        <w:jc w:val="center"/>
        <w:rPr>
          <w:rFonts w:hint="eastAsia" w:ascii="宋体" w:hAnsi="宋体"/>
          <w:b/>
          <w:sz w:val="44"/>
          <w:highlight w:val="none"/>
        </w:rPr>
      </w:pPr>
    </w:p>
    <w:p>
      <w:pPr>
        <w:spacing w:line="360" w:lineRule="auto"/>
        <w:jc w:val="center"/>
        <w:rPr>
          <w:rFonts w:hint="eastAsia" w:ascii="宋体" w:hAnsi="宋体"/>
          <w:b/>
          <w:sz w:val="44"/>
          <w:highlight w:val="none"/>
        </w:rPr>
      </w:pPr>
    </w:p>
    <w:p>
      <w:pPr>
        <w:spacing w:line="360" w:lineRule="auto"/>
        <w:ind w:left="0" w:leftChars="0" w:firstLine="0" w:firstLineChars="0"/>
        <w:jc w:val="center"/>
        <w:rPr>
          <w:rFonts w:hint="eastAsia" w:ascii="黑体" w:hAnsi="黑体" w:eastAsia="黑体" w:cs="黑体"/>
          <w:b/>
          <w:sz w:val="52"/>
          <w:szCs w:val="5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sz w:val="52"/>
          <w:szCs w:val="52"/>
          <w:highlight w:val="none"/>
          <w:lang w:val="en-US" w:eastAsia="zh-CN"/>
        </w:rPr>
        <w:t>广东南方电力通信有限公司</w:t>
      </w:r>
    </w:p>
    <w:p>
      <w:pPr>
        <w:spacing w:line="360" w:lineRule="auto"/>
        <w:ind w:left="0" w:leftChars="0" w:firstLine="0" w:firstLineChars="0"/>
        <w:jc w:val="center"/>
        <w:rPr>
          <w:rFonts w:hint="eastAsia" w:ascii="黑体" w:hAnsi="黑体" w:eastAsia="黑体" w:cs="黑体"/>
          <w:b/>
          <w:sz w:val="52"/>
          <w:szCs w:val="52"/>
          <w:highlight w:val="none"/>
        </w:rPr>
      </w:pPr>
      <w:r>
        <w:rPr>
          <w:rFonts w:hint="eastAsia" w:ascii="黑体" w:hAnsi="黑体" w:eastAsia="黑体" w:cs="黑体"/>
          <w:b/>
          <w:sz w:val="52"/>
          <w:szCs w:val="52"/>
          <w:highlight w:val="none"/>
          <w:lang w:val="en-US" w:eastAsia="zh-CN"/>
        </w:rPr>
        <w:t>职业健康危害因素检测</w:t>
      </w:r>
      <w:r>
        <w:rPr>
          <w:rFonts w:hint="eastAsia" w:ascii="黑体" w:hAnsi="黑体" w:eastAsia="黑体" w:cs="黑体"/>
          <w:b/>
          <w:sz w:val="52"/>
          <w:szCs w:val="52"/>
          <w:highlight w:val="none"/>
        </w:rPr>
        <w:t>项目</w:t>
      </w:r>
    </w:p>
    <w:p>
      <w:pPr>
        <w:spacing w:line="360" w:lineRule="auto"/>
        <w:ind w:left="0" w:leftChars="0" w:firstLine="0" w:firstLineChars="0"/>
        <w:jc w:val="center"/>
        <w:rPr>
          <w:rFonts w:hint="eastAsia" w:ascii="黑体" w:hAnsi="黑体" w:eastAsia="黑体" w:cs="黑体"/>
          <w:b/>
          <w:sz w:val="52"/>
          <w:szCs w:val="52"/>
          <w:highlight w:val="none"/>
        </w:rPr>
      </w:pPr>
      <w:r>
        <w:rPr>
          <w:rFonts w:hint="eastAsia" w:ascii="黑体" w:hAnsi="黑体" w:eastAsia="黑体" w:cs="黑体"/>
          <w:b/>
          <w:sz w:val="52"/>
          <w:szCs w:val="52"/>
          <w:highlight w:val="none"/>
        </w:rPr>
        <w:t>技术规范书</w:t>
      </w:r>
    </w:p>
    <w:p>
      <w:pPr>
        <w:ind w:firstLine="964"/>
        <w:rPr>
          <w:rFonts w:ascii="宋体" w:hAnsi="宋体"/>
          <w:b/>
          <w:bCs/>
          <w:sz w:val="48"/>
          <w:highlight w:val="none"/>
          <w:u w:color="000000"/>
          <w:shd w:val="clear" w:color="auto" w:fill="FFFF00"/>
        </w:rPr>
      </w:pPr>
    </w:p>
    <w:p>
      <w:pPr>
        <w:ind w:firstLine="480"/>
        <w:rPr>
          <w:rFonts w:ascii="宋体" w:hAnsi="宋体" w:cs="宋体"/>
          <w:highlight w:val="none"/>
        </w:rPr>
      </w:pPr>
    </w:p>
    <w:p>
      <w:pPr>
        <w:autoSpaceDE w:val="0"/>
        <w:autoSpaceDN w:val="0"/>
        <w:adjustRightInd w:val="0"/>
        <w:ind w:left="0" w:leftChars="0" w:firstLine="0" w:firstLineChars="0"/>
        <w:jc w:val="center"/>
        <w:rPr>
          <w:rFonts w:hint="eastAsia" w:ascii="宋体" w:hAnsi="宋体" w:cs="宋体"/>
          <w:sz w:val="32"/>
          <w:szCs w:val="32"/>
          <w:highlight w:val="none"/>
          <w:u w:color="000000"/>
          <w:lang w:val="en-US" w:eastAsia="zh-CN"/>
        </w:rPr>
      </w:pPr>
    </w:p>
    <w:p>
      <w:pPr>
        <w:pStyle w:val="2"/>
        <w:rPr>
          <w:rFonts w:hint="eastAsia" w:ascii="宋体" w:hAnsi="宋体" w:cs="宋体"/>
          <w:sz w:val="32"/>
          <w:szCs w:val="32"/>
          <w:highlight w:val="none"/>
          <w:u w:color="000000"/>
          <w:lang w:val="en-US" w:eastAsia="zh-CN"/>
        </w:rPr>
      </w:pPr>
    </w:p>
    <w:p>
      <w:pPr>
        <w:pStyle w:val="3"/>
        <w:rPr>
          <w:rFonts w:hint="eastAsia" w:ascii="宋体" w:hAnsi="宋体" w:cs="宋体"/>
          <w:sz w:val="32"/>
          <w:szCs w:val="32"/>
          <w:highlight w:val="none"/>
          <w:u w:color="000000"/>
          <w:lang w:val="en-US" w:eastAsia="zh-CN"/>
        </w:rPr>
      </w:pPr>
    </w:p>
    <w:p>
      <w:pPr>
        <w:rPr>
          <w:rFonts w:hint="eastAsia" w:ascii="宋体" w:hAnsi="宋体" w:cs="宋体"/>
          <w:sz w:val="32"/>
          <w:szCs w:val="32"/>
          <w:highlight w:val="none"/>
          <w:u w:color="000000"/>
          <w:lang w:val="en-US" w:eastAsia="zh-CN"/>
        </w:rPr>
      </w:pPr>
    </w:p>
    <w:p>
      <w:pPr>
        <w:pStyle w:val="2"/>
        <w:rPr>
          <w:rFonts w:hint="eastAsia" w:ascii="宋体" w:hAnsi="宋体" w:cs="宋体"/>
          <w:sz w:val="32"/>
          <w:szCs w:val="32"/>
          <w:highlight w:val="none"/>
          <w:u w:color="000000"/>
          <w:lang w:val="en-US" w:eastAsia="zh-CN"/>
        </w:rPr>
      </w:pPr>
    </w:p>
    <w:p>
      <w:pPr>
        <w:pStyle w:val="3"/>
        <w:rPr>
          <w:rFonts w:hint="eastAsia" w:ascii="宋体" w:hAnsi="宋体" w:cs="宋体"/>
          <w:sz w:val="32"/>
          <w:szCs w:val="32"/>
          <w:highlight w:val="none"/>
          <w:u w:color="000000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autoSpaceDE w:val="0"/>
        <w:autoSpaceDN w:val="0"/>
        <w:adjustRightInd w:val="0"/>
        <w:ind w:left="0" w:leftChars="0" w:firstLine="0" w:firstLineChars="0"/>
        <w:jc w:val="center"/>
        <w:rPr>
          <w:rFonts w:hint="eastAsia" w:ascii="宋体" w:hAnsi="宋体" w:eastAsia="宋体"/>
          <w:highlight w:val="none"/>
          <w:lang w:val="en-US" w:eastAsia="zh-CN"/>
        </w:rPr>
        <w:sectPr>
          <w:headerReference r:id="rId7" w:type="first"/>
          <w:footerReference r:id="rId10" w:type="first"/>
          <w:headerReference r:id="rId5" w:type="default"/>
          <w:footerReference r:id="rId8" w:type="default"/>
          <w:headerReference r:id="rId6" w:type="even"/>
          <w:footerReference r:id="rId9" w:type="even"/>
          <w:pgSz w:w="11906" w:h="16838"/>
          <w:pgMar w:top="1418" w:right="1134" w:bottom="1418" w:left="1588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  <w:r>
        <w:rPr>
          <w:rFonts w:hint="eastAsia" w:ascii="宋体" w:hAnsi="宋体" w:cs="宋体"/>
          <w:sz w:val="32"/>
          <w:szCs w:val="32"/>
          <w:highlight w:val="none"/>
          <w:u w:color="000000"/>
          <w:lang w:val="en-US" w:eastAsia="zh-CN"/>
        </w:rPr>
        <w:t>2025</w:t>
      </w:r>
      <w:r>
        <w:rPr>
          <w:rFonts w:hint="eastAsia" w:ascii="宋体" w:hAnsi="宋体" w:cs="宋体"/>
          <w:sz w:val="32"/>
          <w:szCs w:val="32"/>
          <w:highlight w:val="none"/>
          <w:u w:color="000000"/>
        </w:rPr>
        <w:t>年</w:t>
      </w:r>
      <w:r>
        <w:rPr>
          <w:rFonts w:hint="eastAsia" w:ascii="宋体" w:hAnsi="宋体" w:cs="宋体"/>
          <w:sz w:val="32"/>
          <w:szCs w:val="32"/>
          <w:highlight w:val="none"/>
          <w:u w:color="000000"/>
          <w:lang w:val="en-US" w:eastAsia="zh-CN"/>
        </w:rPr>
        <w:t>9月</w:t>
      </w:r>
    </w:p>
    <w:bookmarkEnd w:id="2"/>
    <w:p>
      <w:pPr>
        <w:pStyle w:val="4"/>
        <w:spacing w:before="156" w:beforeLines="50" w:after="156" w:afterLines="50"/>
        <w:rPr>
          <w:rFonts w:ascii="宋体" w:hAnsi="宋体"/>
          <w:b/>
          <w:sz w:val="32"/>
          <w:szCs w:val="30"/>
          <w:highlight w:val="none"/>
        </w:rPr>
      </w:pPr>
      <w:bookmarkStart w:id="3" w:name="_Toc25743"/>
      <w:bookmarkStart w:id="4" w:name="_Toc357413124"/>
      <w:r>
        <w:rPr>
          <w:rFonts w:hint="eastAsia" w:ascii="宋体" w:hAnsi="宋体"/>
          <w:b/>
          <w:sz w:val="32"/>
          <w:szCs w:val="30"/>
          <w:highlight w:val="none"/>
        </w:rPr>
        <w:t>项目概述</w:t>
      </w:r>
      <w:bookmarkEnd w:id="3"/>
      <w:bookmarkEnd w:id="4"/>
    </w:p>
    <w:p>
      <w:pPr>
        <w:pStyle w:val="5"/>
        <w:spacing w:before="156" w:beforeLines="50" w:after="156" w:afterLines="50"/>
        <w:ind w:left="0"/>
        <w:rPr>
          <w:rFonts w:ascii="宋体" w:hAnsi="宋体"/>
          <w:b/>
          <w:sz w:val="28"/>
          <w:szCs w:val="28"/>
          <w:highlight w:val="none"/>
        </w:rPr>
      </w:pPr>
      <w:bookmarkStart w:id="5" w:name="_Toc26095"/>
      <w:r>
        <w:rPr>
          <w:rFonts w:hint="eastAsia" w:ascii="宋体" w:hAnsi="宋体"/>
          <w:b/>
          <w:sz w:val="28"/>
          <w:szCs w:val="28"/>
          <w:highlight w:val="none"/>
        </w:rPr>
        <w:t>项目范围</w:t>
      </w:r>
      <w:bookmarkEnd w:id="5"/>
    </w:p>
    <w:p>
      <w:pPr>
        <w:spacing w:before="156" w:beforeLines="50" w:after="156" w:afterLines="50"/>
        <w:ind w:firstLine="480"/>
        <w:rPr>
          <w:rFonts w:ascii="宋体" w:hAnsi="宋体"/>
          <w:highlight w:val="none"/>
        </w:rPr>
      </w:pPr>
      <w:r>
        <w:rPr>
          <w:rFonts w:hint="eastAsia" w:ascii="宋体" w:hAnsi="宋体"/>
          <w:highlight w:val="none"/>
        </w:rPr>
        <w:t>本项目的组织范围：</w:t>
      </w:r>
      <w:r>
        <w:rPr>
          <w:rFonts w:hint="eastAsia" w:ascii="宋体" w:hAnsi="宋体"/>
          <w:highlight w:val="none"/>
          <w:lang w:eastAsia="zh-CN"/>
        </w:rPr>
        <w:t>广东南方电力通信有限公司（以下简称：通信公司）</w:t>
      </w:r>
      <w:r>
        <w:rPr>
          <w:rFonts w:hint="eastAsia" w:ascii="宋体" w:hAnsi="宋体"/>
          <w:highlight w:val="none"/>
        </w:rPr>
        <w:t>。</w:t>
      </w:r>
    </w:p>
    <w:p>
      <w:pPr>
        <w:spacing w:before="156" w:beforeLines="50" w:after="156" w:afterLines="50"/>
        <w:ind w:firstLine="480"/>
        <w:rPr>
          <w:highlight w:val="none"/>
        </w:rPr>
      </w:pPr>
      <w:r>
        <w:rPr>
          <w:rFonts w:hint="eastAsia" w:ascii="宋体" w:hAnsi="宋体"/>
          <w:highlight w:val="none"/>
        </w:rPr>
        <w:t>本项目的业务范围：</w:t>
      </w:r>
      <w:r>
        <w:rPr>
          <w:rFonts w:hint="eastAsia" w:ascii="宋体" w:hAnsi="宋体"/>
          <w:highlight w:val="none"/>
          <w:lang w:eastAsia="zh-CN"/>
        </w:rPr>
        <w:t>广东南方电力通信有限公司</w:t>
      </w:r>
      <w:r>
        <w:rPr>
          <w:rFonts w:hint="eastAsia" w:ascii="宋体" w:hAnsi="宋体"/>
          <w:highlight w:val="none"/>
          <w:lang w:val="en-US" w:eastAsia="zh-CN"/>
        </w:rPr>
        <w:t>职业健康危害因素检测</w:t>
      </w:r>
      <w:r>
        <w:rPr>
          <w:rFonts w:hint="eastAsia" w:ascii="宋体" w:hAnsi="宋体"/>
          <w:highlight w:val="none"/>
          <w:lang w:eastAsia="zh-CN"/>
        </w:rPr>
        <w:t>项目</w:t>
      </w:r>
      <w:r>
        <w:rPr>
          <w:rFonts w:hint="eastAsia" w:ascii="宋体" w:hAnsi="宋体"/>
          <w:highlight w:val="none"/>
        </w:rPr>
        <w:t>。</w:t>
      </w:r>
    </w:p>
    <w:p>
      <w:pPr>
        <w:pStyle w:val="5"/>
        <w:spacing w:before="156" w:beforeLines="50" w:after="156" w:afterLines="50"/>
        <w:ind w:left="0"/>
        <w:rPr>
          <w:rFonts w:ascii="宋体" w:hAnsi="宋体"/>
          <w:b/>
          <w:sz w:val="28"/>
          <w:szCs w:val="28"/>
          <w:highlight w:val="none"/>
        </w:rPr>
      </w:pPr>
      <w:bookmarkStart w:id="6" w:name="_Toc21413"/>
      <w:r>
        <w:rPr>
          <w:rFonts w:hint="eastAsia" w:ascii="宋体" w:hAnsi="宋体"/>
          <w:b/>
          <w:sz w:val="28"/>
          <w:szCs w:val="28"/>
          <w:highlight w:val="none"/>
        </w:rPr>
        <w:t>项目背景</w:t>
      </w:r>
      <w:bookmarkEnd w:id="6"/>
    </w:p>
    <w:p>
      <w:pPr>
        <w:tabs>
          <w:tab w:val="left" w:pos="240"/>
          <w:tab w:val="left" w:pos="1440"/>
          <w:tab w:val="left" w:pos="2400"/>
        </w:tabs>
        <w:spacing w:line="360" w:lineRule="auto"/>
        <w:ind w:firstLine="480"/>
        <w:rPr>
          <w:rFonts w:hint="eastAsia" w:ascii="宋体" w:hAnsi="宋体" w:eastAsia="宋体"/>
          <w:highlight w:val="none"/>
          <w:lang w:val="en-US" w:eastAsia="zh-CN"/>
        </w:rPr>
      </w:pPr>
      <w:r>
        <w:rPr>
          <w:rFonts w:hint="eastAsia" w:ascii="宋体" w:hAnsi="宋体"/>
          <w:highlight w:val="none"/>
          <w:lang w:val="en-US" w:eastAsia="zh-CN"/>
        </w:rPr>
        <w:t>为做好通信公司员工的职业健康管理，</w:t>
      </w:r>
      <w:r>
        <w:rPr>
          <w:rFonts w:hint="eastAsia"/>
          <w:highlight w:val="none"/>
          <w:lang w:val="en-US" w:eastAsia="zh-CN"/>
        </w:rPr>
        <w:t>对各设备、岗位等工作场所存在的主要职业病危害因素进行检测，</w:t>
      </w:r>
      <w:r>
        <w:rPr>
          <w:rFonts w:hint="eastAsia" w:ascii="宋体" w:hAnsi="宋体"/>
          <w:highlight w:val="none"/>
          <w:lang w:val="en-US" w:eastAsia="zh-CN"/>
        </w:rPr>
        <w:t>需开展通信公司办公场所、生产区域（信通机房、蓄电池室等）等通信公司下属生产场所的职业健康</w:t>
      </w:r>
      <w:r>
        <w:rPr>
          <w:rFonts w:hint="eastAsia" w:cs="Times New Roman"/>
          <w:b w:val="0"/>
          <w:bCs w:val="0"/>
          <w:sz w:val="24"/>
          <w:szCs w:val="28"/>
          <w:highlight w:val="none"/>
          <w:lang w:val="en-US" w:eastAsia="zh-CN"/>
        </w:rPr>
        <w:t>危害因素</w:t>
      </w:r>
      <w:r>
        <w:rPr>
          <w:rFonts w:hint="eastAsia" w:ascii="宋体" w:hAnsi="宋体"/>
          <w:highlight w:val="none"/>
          <w:lang w:val="en-US" w:eastAsia="zh-CN"/>
        </w:rPr>
        <w:t>检测工作</w:t>
      </w:r>
      <w:r>
        <w:rPr>
          <w:rFonts w:hint="eastAsia" w:ascii="宋体" w:hAnsi="宋体"/>
          <w:highlight w:val="none"/>
        </w:rPr>
        <w:t>。</w:t>
      </w:r>
      <w:r>
        <w:rPr>
          <w:rFonts w:hint="eastAsia" w:ascii="宋体" w:hAnsi="宋体"/>
          <w:highlight w:val="none"/>
          <w:lang w:val="en-US" w:eastAsia="zh-CN"/>
        </w:rPr>
        <w:t xml:space="preserve"> </w:t>
      </w:r>
    </w:p>
    <w:p>
      <w:pPr>
        <w:pStyle w:val="5"/>
        <w:spacing w:before="156" w:beforeLines="50" w:after="156" w:afterLines="50"/>
        <w:ind w:left="0"/>
        <w:rPr>
          <w:rFonts w:ascii="宋体" w:hAnsi="宋体"/>
          <w:b/>
          <w:sz w:val="28"/>
          <w:szCs w:val="28"/>
          <w:highlight w:val="none"/>
        </w:rPr>
      </w:pPr>
      <w:bookmarkStart w:id="7" w:name="_Toc6701"/>
      <w:r>
        <w:rPr>
          <w:rFonts w:hint="eastAsia" w:ascii="宋体" w:hAnsi="宋体"/>
          <w:b/>
          <w:sz w:val="28"/>
          <w:szCs w:val="28"/>
          <w:highlight w:val="none"/>
        </w:rPr>
        <w:t>服务期限</w:t>
      </w:r>
      <w:bookmarkEnd w:id="7"/>
    </w:p>
    <w:p>
      <w:pPr>
        <w:spacing w:before="156" w:beforeLines="50" w:after="156" w:afterLines="50"/>
        <w:ind w:firstLine="480"/>
        <w:rPr>
          <w:rFonts w:ascii="宋体" w:hAnsi="宋体"/>
          <w:highlight w:val="none"/>
        </w:rPr>
      </w:pPr>
      <w:r>
        <w:rPr>
          <w:rFonts w:hint="eastAsia" w:ascii="宋体" w:hAnsi="宋体"/>
          <w:highlight w:val="none"/>
        </w:rPr>
        <w:t>自</w:t>
      </w:r>
      <w:r>
        <w:rPr>
          <w:rFonts w:hint="eastAsia" w:ascii="宋体" w:hAnsi="宋体"/>
          <w:highlight w:val="none"/>
          <w:lang w:eastAsia="zh-CN"/>
        </w:rPr>
        <w:t>项目</w:t>
      </w:r>
      <w:r>
        <w:rPr>
          <w:rFonts w:hint="eastAsia" w:ascii="宋体" w:hAnsi="宋体"/>
          <w:highlight w:val="none"/>
        </w:rPr>
        <w:t>生效之日起至202</w:t>
      </w:r>
      <w:r>
        <w:rPr>
          <w:rFonts w:hint="eastAsia" w:ascii="宋体" w:hAnsi="宋体"/>
          <w:highlight w:val="none"/>
          <w:lang w:val="en-US" w:eastAsia="zh-CN"/>
        </w:rPr>
        <w:t>5</w:t>
      </w:r>
      <w:r>
        <w:rPr>
          <w:rFonts w:hint="eastAsia" w:ascii="宋体" w:hAnsi="宋体"/>
          <w:highlight w:val="none"/>
        </w:rPr>
        <w:t>年</w:t>
      </w:r>
      <w:r>
        <w:rPr>
          <w:rFonts w:hint="eastAsia" w:ascii="宋体" w:hAnsi="宋体"/>
          <w:highlight w:val="none"/>
          <w:lang w:val="en-US" w:eastAsia="zh-CN"/>
        </w:rPr>
        <w:t>12</w:t>
      </w:r>
      <w:r>
        <w:rPr>
          <w:rFonts w:hint="eastAsia" w:ascii="宋体" w:hAnsi="宋体"/>
          <w:highlight w:val="none"/>
        </w:rPr>
        <w:t>月30日。</w:t>
      </w:r>
    </w:p>
    <w:p>
      <w:pPr>
        <w:pStyle w:val="5"/>
        <w:spacing w:before="156" w:beforeLines="50" w:after="156" w:afterLines="50"/>
        <w:ind w:left="0"/>
        <w:rPr>
          <w:rFonts w:ascii="宋体" w:hAnsi="宋体"/>
          <w:b/>
          <w:sz w:val="28"/>
          <w:szCs w:val="28"/>
          <w:highlight w:val="none"/>
        </w:rPr>
      </w:pPr>
      <w:bookmarkStart w:id="8" w:name="_Toc10249"/>
      <w:r>
        <w:rPr>
          <w:rFonts w:hint="eastAsia" w:ascii="宋体" w:hAnsi="宋体"/>
          <w:b/>
          <w:sz w:val="28"/>
          <w:szCs w:val="28"/>
          <w:highlight w:val="none"/>
        </w:rPr>
        <w:t>服务地点及方式</w:t>
      </w:r>
      <w:bookmarkEnd w:id="8"/>
    </w:p>
    <w:p>
      <w:pPr>
        <w:spacing w:before="156" w:beforeLines="50" w:after="156" w:afterLines="50"/>
        <w:ind w:firstLine="480"/>
        <w:rPr>
          <w:rFonts w:ascii="宋体" w:hAnsi="宋体"/>
          <w:highlight w:val="none"/>
        </w:rPr>
      </w:pPr>
      <w:r>
        <w:rPr>
          <w:rFonts w:hint="eastAsia" w:ascii="宋体" w:hAnsi="宋体"/>
          <w:highlight w:val="none"/>
        </w:rPr>
        <w:t>服务</w:t>
      </w:r>
      <w:r>
        <w:rPr>
          <w:rFonts w:ascii="宋体" w:hAnsi="宋体"/>
          <w:highlight w:val="none"/>
        </w:rPr>
        <w:t>地点：</w:t>
      </w:r>
      <w:r>
        <w:rPr>
          <w:rFonts w:hint="eastAsia" w:ascii="宋体" w:hAnsi="宋体"/>
          <w:highlight w:val="none"/>
          <w:lang w:eastAsia="zh-CN"/>
        </w:rPr>
        <w:t>广州市黄埔区、天河区</w:t>
      </w:r>
      <w:r>
        <w:rPr>
          <w:rFonts w:hint="eastAsia" w:ascii="宋体" w:hAnsi="宋体"/>
          <w:highlight w:val="none"/>
        </w:rPr>
        <w:t>。</w:t>
      </w:r>
    </w:p>
    <w:p>
      <w:pPr>
        <w:pStyle w:val="14"/>
        <w:adjustRightInd w:val="0"/>
        <w:snapToGrid w:val="0"/>
        <w:spacing w:before="156" w:beforeLines="50" w:after="156" w:afterLines="50"/>
        <w:ind w:left="480" w:leftChars="0" w:firstLine="0" w:firstLineChars="0"/>
        <w:rPr>
          <w:rFonts w:hint="eastAsia" w:ascii="宋体" w:hAnsi="宋体"/>
          <w:highlight w:val="none"/>
        </w:rPr>
      </w:pPr>
      <w:r>
        <w:rPr>
          <w:rFonts w:hint="eastAsia" w:ascii="宋体" w:hAnsi="宋体"/>
          <w:highlight w:val="none"/>
        </w:rPr>
        <w:t>服务</w:t>
      </w:r>
      <w:r>
        <w:rPr>
          <w:rFonts w:ascii="宋体" w:hAnsi="宋体"/>
          <w:highlight w:val="none"/>
        </w:rPr>
        <w:t>方式：</w:t>
      </w:r>
      <w:r>
        <w:rPr>
          <w:rFonts w:hint="eastAsia" w:ascii="宋体" w:hAnsi="宋体"/>
          <w:highlight w:val="none"/>
        </w:rPr>
        <w:t>现场</w:t>
      </w:r>
      <w:r>
        <w:rPr>
          <w:rFonts w:hint="eastAsia" w:ascii="宋体" w:hAnsi="宋体"/>
          <w:highlight w:val="none"/>
          <w:lang w:eastAsia="zh-CN"/>
        </w:rPr>
        <w:t>检测服务为主，必要时可进行</w:t>
      </w:r>
      <w:r>
        <w:rPr>
          <w:rFonts w:hint="eastAsia" w:ascii="宋体" w:hAnsi="宋体"/>
          <w:highlight w:val="none"/>
        </w:rPr>
        <w:t>远程技术支持服务。</w:t>
      </w:r>
    </w:p>
    <w:p>
      <w:pPr>
        <w:pStyle w:val="4"/>
        <w:spacing w:before="156" w:beforeLines="50" w:after="156" w:afterLines="50"/>
        <w:rPr>
          <w:rFonts w:hint="eastAsia" w:ascii="宋体" w:hAnsi="宋体"/>
          <w:b/>
          <w:sz w:val="32"/>
          <w:szCs w:val="30"/>
          <w:highlight w:val="none"/>
        </w:rPr>
      </w:pPr>
      <w:bookmarkStart w:id="9" w:name="_Toc4063"/>
      <w:bookmarkStart w:id="10" w:name="_Toc340242291"/>
      <w:bookmarkStart w:id="11" w:name="_Toc340242292"/>
      <w:r>
        <w:rPr>
          <w:rFonts w:hint="eastAsia" w:ascii="宋体" w:hAnsi="宋体"/>
          <w:b/>
          <w:sz w:val="32"/>
          <w:szCs w:val="30"/>
          <w:highlight w:val="none"/>
        </w:rPr>
        <w:t>主要工作内容和要求</w:t>
      </w:r>
      <w:bookmarkEnd w:id="9"/>
      <w:bookmarkEnd w:id="10"/>
    </w:p>
    <w:p>
      <w:pPr>
        <w:tabs>
          <w:tab w:val="left" w:pos="1022"/>
        </w:tabs>
        <w:topLinePunct/>
        <w:adjustRightInd w:val="0"/>
        <w:spacing w:line="360" w:lineRule="auto"/>
        <w:ind w:firstLine="480"/>
        <w:rPr>
          <w:highlight w:val="none"/>
        </w:rPr>
      </w:pPr>
      <w:r>
        <w:rPr>
          <w:rFonts w:hint="eastAsia"/>
          <w:highlight w:val="none"/>
          <w:lang w:val="en-US" w:eastAsia="zh-CN"/>
        </w:rPr>
        <w:t>对通信公司办公场所、天河机房、生产指挥中心信通机房、蓄电池室、电源室等开展职业健康</w:t>
      </w:r>
      <w:r>
        <w:rPr>
          <w:rFonts w:hint="eastAsia" w:cs="Times New Roman"/>
          <w:b w:val="0"/>
          <w:bCs w:val="0"/>
          <w:sz w:val="24"/>
          <w:szCs w:val="28"/>
          <w:highlight w:val="none"/>
          <w:lang w:val="en-US" w:eastAsia="zh-CN"/>
        </w:rPr>
        <w:t>危害因素</w:t>
      </w:r>
      <w:r>
        <w:rPr>
          <w:rFonts w:hint="eastAsia"/>
          <w:highlight w:val="none"/>
          <w:lang w:val="en-US" w:eastAsia="zh-CN"/>
        </w:rPr>
        <w:t>检测</w:t>
      </w:r>
      <w:r>
        <w:rPr>
          <w:rFonts w:hint="eastAsia"/>
          <w:highlight w:val="none"/>
        </w:rPr>
        <w:t>。</w:t>
      </w:r>
      <w:r>
        <w:rPr>
          <w:rFonts w:hint="eastAsia" w:ascii="宋体" w:hAnsi="宋体"/>
          <w:highlight w:val="none"/>
        </w:rPr>
        <w:t>服务内容包括：</w:t>
      </w:r>
      <w:bookmarkEnd w:id="11"/>
    </w:p>
    <w:p>
      <w:pPr>
        <w:pStyle w:val="5"/>
        <w:spacing w:before="156" w:beforeLines="50" w:after="156" w:afterLines="50"/>
        <w:rPr>
          <w:rFonts w:ascii="宋体" w:hAnsi="宋体"/>
          <w:b/>
          <w:sz w:val="28"/>
          <w:szCs w:val="28"/>
          <w:highlight w:val="none"/>
        </w:rPr>
      </w:pPr>
      <w:r>
        <w:rPr>
          <w:rFonts w:hint="eastAsia" w:ascii="宋体" w:hAnsi="宋体"/>
          <w:b/>
          <w:sz w:val="28"/>
          <w:szCs w:val="28"/>
          <w:highlight w:val="none"/>
          <w:lang w:val="en-US" w:eastAsia="zh-CN"/>
        </w:rPr>
        <w:t>职业健康危害因素检测</w:t>
      </w:r>
    </w:p>
    <w:p>
      <w:pPr>
        <w:tabs>
          <w:tab w:val="left" w:pos="1022"/>
        </w:tabs>
        <w:topLinePunct/>
        <w:adjustRightInd w:val="0"/>
        <w:spacing w:line="360" w:lineRule="auto"/>
        <w:ind w:firstLine="480"/>
        <w:rPr>
          <w:rFonts w:ascii="宋体" w:hAnsi="宋体"/>
          <w:szCs w:val="21"/>
          <w:highlight w:val="none"/>
        </w:rPr>
      </w:pPr>
      <w:r>
        <w:rPr>
          <w:rFonts w:hint="eastAsia"/>
          <w:highlight w:val="none"/>
          <w:lang w:val="en-US" w:eastAsia="zh-CN"/>
        </w:rPr>
        <w:t>根据通信公司生产的特点和检测的要求，</w:t>
      </w:r>
      <w:bookmarkStart w:id="12" w:name="_Hlk126857725"/>
      <w:r>
        <w:rPr>
          <w:rFonts w:hint="eastAsia"/>
          <w:highlight w:val="none"/>
          <w:lang w:val="en-US" w:eastAsia="zh-CN"/>
        </w:rPr>
        <w:t>对通信公司办公场所、天河机房、生产指挥中心信通机房、蓄电池室、电源室等开展职业健康</w:t>
      </w:r>
      <w:r>
        <w:rPr>
          <w:rFonts w:hint="eastAsia" w:cs="Times New Roman"/>
          <w:b w:val="0"/>
          <w:bCs w:val="0"/>
          <w:sz w:val="24"/>
          <w:szCs w:val="28"/>
          <w:highlight w:val="none"/>
          <w:lang w:val="en-US" w:eastAsia="zh-CN"/>
        </w:rPr>
        <w:t>危害因素</w:t>
      </w:r>
      <w:r>
        <w:rPr>
          <w:rFonts w:hint="eastAsia"/>
          <w:highlight w:val="none"/>
          <w:lang w:val="en-US" w:eastAsia="zh-CN"/>
        </w:rPr>
        <w:t>检测，检测项目和数量如下表所示</w:t>
      </w:r>
      <w:bookmarkEnd w:id="12"/>
      <w:r>
        <w:rPr>
          <w:rFonts w:hint="eastAsia"/>
          <w:highlight w:val="none"/>
          <w:lang w:val="en-US" w:eastAsia="zh-CN"/>
        </w:rPr>
        <w:t>（仅供参考）</w:t>
      </w:r>
      <w:r>
        <w:rPr>
          <w:rFonts w:hint="eastAsia" w:ascii="宋体" w:hAnsi="宋体"/>
          <w:szCs w:val="21"/>
          <w:highlight w:val="none"/>
        </w:rPr>
        <w:t>。</w:t>
      </w:r>
    </w:p>
    <w:tbl>
      <w:tblPr>
        <w:tblStyle w:val="22"/>
        <w:tblW w:w="4998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1"/>
        <w:gridCol w:w="3627"/>
        <w:gridCol w:w="280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1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4"/>
                <w:szCs w:val="24"/>
                <w:lang w:val="en-US" w:eastAsia="zh-CN"/>
              </w:rPr>
              <w:t>检测</w:t>
            </w:r>
            <w:r>
              <w:rPr>
                <w:rFonts w:hint="eastAsia" w:ascii="宋体" w:hAnsi="宋体" w:eastAsia="宋体" w:cs="宋体"/>
                <w:bCs/>
                <w:kern w:val="0"/>
                <w:sz w:val="24"/>
                <w:szCs w:val="24"/>
              </w:rPr>
              <w:t>项目</w:t>
            </w:r>
          </w:p>
        </w:tc>
        <w:tc>
          <w:tcPr>
            <w:tcW w:w="20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4"/>
                <w:szCs w:val="24"/>
                <w:lang w:val="en-US" w:eastAsia="zh-CN"/>
              </w:rPr>
              <w:t>检查点数</w:t>
            </w:r>
          </w:p>
        </w:tc>
        <w:tc>
          <w:tcPr>
            <w:tcW w:w="16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szCs w:val="24"/>
                <w:lang w:val="en-US" w:eastAsia="zh-CN"/>
              </w:rPr>
              <w:t>单位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1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4"/>
                <w:szCs w:val="24"/>
              </w:rPr>
              <w:t>噪声</w:t>
            </w:r>
            <w:r>
              <w:rPr>
                <w:rFonts w:hint="eastAsia" w:ascii="宋体" w:hAnsi="宋体" w:eastAsia="宋体" w:cs="宋体"/>
                <w:bCs/>
                <w:kern w:val="0"/>
                <w:sz w:val="24"/>
                <w:szCs w:val="24"/>
                <w:lang w:val="en-US" w:eastAsia="zh-CN"/>
              </w:rPr>
              <w:t>监测</w:t>
            </w:r>
          </w:p>
        </w:tc>
        <w:tc>
          <w:tcPr>
            <w:tcW w:w="20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szCs w:val="24"/>
                <w:lang w:val="en-US" w:eastAsia="zh-CN"/>
              </w:rPr>
              <w:t>30</w:t>
            </w:r>
          </w:p>
        </w:tc>
        <w:tc>
          <w:tcPr>
            <w:tcW w:w="16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szCs w:val="24"/>
                <w:lang w:val="en-US" w:eastAsia="zh-CN"/>
              </w:rPr>
              <w:t>个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1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4"/>
                <w:szCs w:val="24"/>
              </w:rPr>
              <w:t>照明及能见度</w:t>
            </w:r>
            <w:r>
              <w:rPr>
                <w:rFonts w:hint="eastAsia" w:ascii="宋体" w:hAnsi="宋体" w:eastAsia="宋体" w:cs="宋体"/>
                <w:bCs/>
                <w:kern w:val="0"/>
                <w:sz w:val="24"/>
                <w:szCs w:val="24"/>
                <w:lang w:val="en-US" w:eastAsia="zh-CN"/>
              </w:rPr>
              <w:t>监测</w:t>
            </w:r>
          </w:p>
        </w:tc>
        <w:tc>
          <w:tcPr>
            <w:tcW w:w="20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szCs w:val="24"/>
                <w:lang w:val="en-US" w:eastAsia="zh-CN"/>
              </w:rPr>
              <w:t>30</w:t>
            </w:r>
          </w:p>
        </w:tc>
        <w:tc>
          <w:tcPr>
            <w:tcW w:w="16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cs="宋体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szCs w:val="24"/>
                <w:lang w:val="en-US" w:eastAsia="zh-CN"/>
              </w:rPr>
              <w:t>个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1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4"/>
                <w:szCs w:val="24"/>
              </w:rPr>
              <w:t>空气质量</w:t>
            </w:r>
            <w:r>
              <w:rPr>
                <w:rFonts w:hint="eastAsia" w:ascii="宋体" w:hAnsi="宋体" w:eastAsia="宋体" w:cs="宋体"/>
                <w:bCs/>
                <w:kern w:val="0"/>
                <w:sz w:val="24"/>
                <w:szCs w:val="24"/>
                <w:lang w:val="en-US" w:eastAsia="zh-CN"/>
              </w:rPr>
              <w:t>监测</w:t>
            </w:r>
          </w:p>
        </w:tc>
        <w:tc>
          <w:tcPr>
            <w:tcW w:w="20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6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cs="宋体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szCs w:val="24"/>
                <w:lang w:val="en-US" w:eastAsia="zh-CN"/>
              </w:rPr>
              <w:t>个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1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Cs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4"/>
                <w:szCs w:val="24"/>
                <w:lang w:val="en-US" w:eastAsia="zh-CN"/>
              </w:rPr>
              <w:t>电磁环境监测</w:t>
            </w:r>
          </w:p>
        </w:tc>
        <w:tc>
          <w:tcPr>
            <w:tcW w:w="20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6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cs="宋体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szCs w:val="24"/>
                <w:lang w:val="en-US" w:eastAsia="zh-CN"/>
              </w:rPr>
              <w:t>个</w:t>
            </w:r>
          </w:p>
        </w:tc>
      </w:tr>
    </w:tbl>
    <w:p>
      <w:pPr>
        <w:pStyle w:val="5"/>
        <w:spacing w:before="156" w:beforeLines="50" w:after="156" w:afterLines="50"/>
        <w:ind w:left="0"/>
        <w:rPr>
          <w:rFonts w:ascii="宋体" w:hAnsi="宋体"/>
          <w:b/>
          <w:sz w:val="28"/>
          <w:szCs w:val="28"/>
          <w:highlight w:val="none"/>
        </w:rPr>
      </w:pPr>
      <w:r>
        <w:rPr>
          <w:rFonts w:hint="eastAsia" w:ascii="宋体" w:hAnsi="宋体"/>
          <w:b/>
          <w:sz w:val="28"/>
          <w:szCs w:val="28"/>
          <w:highlight w:val="none"/>
          <w:lang w:val="en-US" w:eastAsia="zh-CN"/>
        </w:rPr>
        <w:t>提交职业健康危害因素检测报告</w:t>
      </w:r>
    </w:p>
    <w:p>
      <w:pPr>
        <w:spacing w:before="156" w:beforeLines="50" w:after="156" w:afterLines="50"/>
        <w:ind w:firstLine="480"/>
        <w:rPr>
          <w:rFonts w:hint="eastAsia" w:ascii="宋体" w:hAnsi="宋体" w:eastAsia="宋体"/>
          <w:bCs/>
          <w:szCs w:val="21"/>
          <w:highlight w:val="none"/>
          <w:lang w:eastAsia="zh-CN"/>
        </w:rPr>
      </w:pPr>
      <w:bookmarkStart w:id="13" w:name="_Toc364756454"/>
      <w:bookmarkStart w:id="14" w:name="_Toc387155547"/>
      <w:bookmarkStart w:id="15" w:name="_Toc387396951"/>
      <w:r>
        <w:rPr>
          <w:rFonts w:hint="eastAsia" w:ascii="宋体" w:hAnsi="宋体"/>
          <w:highlight w:val="none"/>
          <w:lang w:val="en-US" w:eastAsia="zh-CN"/>
        </w:rPr>
        <w:t>根据职业健康</w:t>
      </w:r>
      <w:r>
        <w:rPr>
          <w:rFonts w:hint="eastAsia" w:cs="Times New Roman"/>
          <w:b w:val="0"/>
          <w:bCs w:val="0"/>
          <w:sz w:val="24"/>
          <w:szCs w:val="28"/>
          <w:highlight w:val="none"/>
          <w:lang w:val="en-US" w:eastAsia="zh-CN"/>
        </w:rPr>
        <w:t>危害因素</w:t>
      </w:r>
      <w:r>
        <w:rPr>
          <w:rFonts w:hint="eastAsia" w:ascii="宋体" w:hAnsi="宋体"/>
          <w:highlight w:val="none"/>
          <w:lang w:val="en-US" w:eastAsia="zh-CN"/>
        </w:rPr>
        <w:t>检测结果，编制通信公司职业健康危害因素检测报告</w:t>
      </w:r>
      <w:bookmarkEnd w:id="13"/>
      <w:bookmarkEnd w:id="14"/>
      <w:bookmarkEnd w:id="15"/>
      <w:r>
        <w:rPr>
          <w:rFonts w:hint="eastAsia" w:ascii="宋体" w:hAnsi="宋体"/>
          <w:highlight w:val="none"/>
          <w:lang w:eastAsia="zh-CN"/>
        </w:rPr>
        <w:t>并至少开展一次集中培训讲解。</w:t>
      </w:r>
    </w:p>
    <w:p>
      <w:pPr>
        <w:pStyle w:val="4"/>
        <w:spacing w:before="156" w:beforeLines="50" w:after="156" w:afterLines="50"/>
        <w:rPr>
          <w:rFonts w:hint="eastAsia" w:ascii="宋体" w:hAnsi="宋体"/>
          <w:b/>
          <w:sz w:val="32"/>
          <w:szCs w:val="30"/>
          <w:highlight w:val="none"/>
        </w:rPr>
      </w:pPr>
      <w:bookmarkStart w:id="16" w:name="_Toc23014"/>
      <w:bookmarkStart w:id="17" w:name="_Toc340242297"/>
      <w:bookmarkStart w:id="18" w:name="_Toc313984434"/>
      <w:bookmarkStart w:id="19" w:name="_Toc158468058"/>
      <w:bookmarkStart w:id="20" w:name="_Toc320042204"/>
      <w:r>
        <w:rPr>
          <w:rFonts w:hint="eastAsia" w:ascii="宋体" w:hAnsi="宋体"/>
          <w:b/>
          <w:sz w:val="32"/>
          <w:szCs w:val="30"/>
          <w:highlight w:val="none"/>
        </w:rPr>
        <w:t>双方职责</w:t>
      </w:r>
      <w:bookmarkEnd w:id="16"/>
      <w:bookmarkEnd w:id="17"/>
      <w:bookmarkStart w:id="46" w:name="_GoBack"/>
      <w:bookmarkEnd w:id="46"/>
    </w:p>
    <w:p>
      <w:pPr>
        <w:pStyle w:val="5"/>
        <w:spacing w:before="156" w:beforeLines="50" w:after="156" w:afterLines="50"/>
        <w:ind w:left="0"/>
        <w:rPr>
          <w:rFonts w:ascii="宋体" w:hAnsi="宋体"/>
          <w:b/>
          <w:sz w:val="28"/>
          <w:szCs w:val="28"/>
          <w:highlight w:val="none"/>
        </w:rPr>
      </w:pPr>
      <w:bookmarkStart w:id="21" w:name="_Toc340242298"/>
      <w:bookmarkStart w:id="22" w:name="_Toc16513"/>
      <w:r>
        <w:rPr>
          <w:rFonts w:hint="eastAsia" w:ascii="宋体" w:hAnsi="宋体"/>
          <w:b/>
          <w:sz w:val="28"/>
          <w:szCs w:val="28"/>
          <w:highlight w:val="none"/>
        </w:rPr>
        <w:t>招标方职责</w:t>
      </w:r>
      <w:bookmarkEnd w:id="21"/>
      <w:bookmarkEnd w:id="22"/>
    </w:p>
    <w:p>
      <w:pPr>
        <w:pStyle w:val="14"/>
        <w:adjustRightInd w:val="0"/>
        <w:snapToGrid w:val="0"/>
        <w:spacing w:before="156" w:beforeLines="50" w:after="156" w:afterLines="50"/>
        <w:ind w:left="480" w:leftChars="0" w:firstLine="0" w:firstLineChars="0"/>
        <w:rPr>
          <w:rFonts w:ascii="宋体" w:hAnsi="宋体"/>
          <w:highlight w:val="none"/>
        </w:rPr>
      </w:pPr>
      <w:r>
        <w:rPr>
          <w:rFonts w:hint="eastAsia" w:ascii="宋体" w:hAnsi="宋体"/>
          <w:highlight w:val="none"/>
        </w:rPr>
        <w:t>1）协助投标方开展现场相关工作；</w:t>
      </w:r>
    </w:p>
    <w:p>
      <w:pPr>
        <w:pStyle w:val="14"/>
        <w:adjustRightInd w:val="0"/>
        <w:snapToGrid w:val="0"/>
        <w:spacing w:before="156" w:beforeLines="50" w:after="156" w:afterLines="50"/>
        <w:ind w:left="480" w:leftChars="0" w:firstLine="0" w:firstLineChars="0"/>
        <w:rPr>
          <w:rFonts w:ascii="宋体" w:hAnsi="宋体"/>
          <w:highlight w:val="none"/>
        </w:rPr>
      </w:pPr>
      <w:r>
        <w:rPr>
          <w:rFonts w:hint="eastAsia" w:ascii="宋体" w:hAnsi="宋体"/>
          <w:highlight w:val="none"/>
        </w:rPr>
        <w:t>2）确认投标方提供的相关资料和文件；</w:t>
      </w:r>
    </w:p>
    <w:p>
      <w:pPr>
        <w:pStyle w:val="14"/>
        <w:adjustRightInd w:val="0"/>
        <w:snapToGrid w:val="0"/>
        <w:spacing w:before="156" w:beforeLines="50" w:after="156" w:afterLines="50"/>
        <w:ind w:left="480" w:leftChars="0" w:firstLine="0" w:firstLineChars="0"/>
        <w:rPr>
          <w:rFonts w:ascii="宋体" w:hAnsi="宋体"/>
          <w:highlight w:val="none"/>
        </w:rPr>
      </w:pPr>
      <w:r>
        <w:rPr>
          <w:rFonts w:hint="eastAsia" w:ascii="宋体" w:hAnsi="宋体"/>
          <w:highlight w:val="none"/>
        </w:rPr>
        <w:t>3）负责提供现场工作的条件及必要的支持；</w:t>
      </w:r>
    </w:p>
    <w:p>
      <w:pPr>
        <w:pStyle w:val="14"/>
        <w:adjustRightInd w:val="0"/>
        <w:snapToGrid w:val="0"/>
        <w:spacing w:before="156" w:beforeLines="50" w:after="156" w:afterLines="50"/>
        <w:ind w:left="480" w:leftChars="0" w:firstLine="0" w:firstLineChars="0"/>
        <w:rPr>
          <w:rFonts w:ascii="宋体" w:hAnsi="宋体"/>
          <w:highlight w:val="none"/>
        </w:rPr>
      </w:pPr>
      <w:r>
        <w:rPr>
          <w:rFonts w:hint="eastAsia" w:ascii="宋体" w:hAnsi="宋体"/>
          <w:highlight w:val="none"/>
        </w:rPr>
        <w:t>4）负责</w:t>
      </w:r>
      <w:r>
        <w:rPr>
          <w:rFonts w:hint="eastAsia" w:ascii="宋体" w:hAnsi="宋体"/>
          <w:highlight w:val="none"/>
          <w:lang w:eastAsia="zh-CN"/>
        </w:rPr>
        <w:t>组织</w:t>
      </w:r>
      <w:r>
        <w:rPr>
          <w:rFonts w:hint="eastAsia" w:ascii="宋体" w:hAnsi="宋体"/>
          <w:highlight w:val="none"/>
        </w:rPr>
        <w:t>项目验收工作；</w:t>
      </w:r>
    </w:p>
    <w:p>
      <w:pPr>
        <w:pStyle w:val="14"/>
        <w:adjustRightInd w:val="0"/>
        <w:snapToGrid w:val="0"/>
        <w:spacing w:before="156" w:beforeLines="50" w:after="156" w:afterLines="50"/>
        <w:ind w:left="480" w:leftChars="0" w:firstLine="0" w:firstLineChars="0"/>
        <w:rPr>
          <w:rFonts w:hint="eastAsia" w:ascii="宋体" w:hAnsi="宋体"/>
          <w:highlight w:val="none"/>
        </w:rPr>
      </w:pPr>
      <w:r>
        <w:rPr>
          <w:rFonts w:hint="eastAsia" w:ascii="宋体" w:hAnsi="宋体"/>
          <w:highlight w:val="none"/>
          <w:lang w:val="en-US" w:eastAsia="zh-CN"/>
        </w:rPr>
        <w:t>5</w:t>
      </w:r>
      <w:r>
        <w:rPr>
          <w:rFonts w:hint="eastAsia" w:ascii="宋体" w:hAnsi="宋体"/>
          <w:highlight w:val="none"/>
        </w:rPr>
        <w:t>）负责为投标方提供工作场地。</w:t>
      </w:r>
    </w:p>
    <w:p>
      <w:pPr>
        <w:pStyle w:val="5"/>
        <w:spacing w:before="156" w:beforeLines="50" w:after="156" w:afterLines="50"/>
        <w:ind w:left="0"/>
        <w:rPr>
          <w:rFonts w:ascii="宋体" w:hAnsi="宋体"/>
          <w:b/>
          <w:sz w:val="28"/>
          <w:szCs w:val="28"/>
          <w:highlight w:val="none"/>
        </w:rPr>
      </w:pPr>
      <w:bookmarkStart w:id="23" w:name="_Toc340242299"/>
      <w:bookmarkStart w:id="24" w:name="_Toc13688"/>
      <w:r>
        <w:rPr>
          <w:rFonts w:hint="eastAsia" w:ascii="宋体" w:hAnsi="宋体"/>
          <w:b/>
          <w:sz w:val="28"/>
          <w:szCs w:val="28"/>
          <w:highlight w:val="none"/>
        </w:rPr>
        <w:t>投标方职责</w:t>
      </w:r>
      <w:bookmarkEnd w:id="23"/>
      <w:bookmarkEnd w:id="24"/>
    </w:p>
    <w:p>
      <w:pPr>
        <w:pStyle w:val="14"/>
        <w:adjustRightInd w:val="0"/>
        <w:snapToGrid w:val="0"/>
        <w:spacing w:before="156" w:beforeLines="50" w:after="156" w:afterLines="50"/>
        <w:ind w:left="480" w:leftChars="0" w:firstLine="0" w:firstLineChars="0"/>
        <w:rPr>
          <w:rFonts w:ascii="宋体" w:hAnsi="宋体"/>
          <w:highlight w:val="none"/>
        </w:rPr>
      </w:pPr>
      <w:r>
        <w:rPr>
          <w:rFonts w:hint="eastAsia" w:ascii="宋体" w:hAnsi="宋体"/>
          <w:highlight w:val="none"/>
        </w:rPr>
        <w:t>1）投标方负责提供合同范围内所有维护服务，并保证所提供的所有服务均满足要求；</w:t>
      </w:r>
    </w:p>
    <w:p>
      <w:pPr>
        <w:pStyle w:val="14"/>
        <w:adjustRightInd w:val="0"/>
        <w:snapToGrid w:val="0"/>
        <w:spacing w:before="156" w:beforeLines="50" w:after="156" w:afterLines="50"/>
        <w:ind w:left="480" w:leftChars="0" w:firstLine="0" w:firstLineChars="0"/>
        <w:rPr>
          <w:rFonts w:ascii="宋体" w:hAnsi="宋体"/>
          <w:highlight w:val="none"/>
        </w:rPr>
      </w:pPr>
      <w:r>
        <w:rPr>
          <w:rFonts w:hint="eastAsia" w:ascii="宋体" w:hAnsi="宋体"/>
          <w:highlight w:val="none"/>
        </w:rPr>
        <w:t>2）提供完整的项目文档和技术文档。投标方对最终提供的全部技术资料的准确性负责；</w:t>
      </w:r>
    </w:p>
    <w:p>
      <w:pPr>
        <w:pStyle w:val="14"/>
        <w:adjustRightInd w:val="0"/>
        <w:snapToGrid w:val="0"/>
        <w:spacing w:before="156" w:beforeLines="50" w:after="156" w:afterLines="50"/>
        <w:ind w:left="480" w:leftChars="0" w:firstLine="0" w:firstLineChars="0"/>
        <w:rPr>
          <w:rFonts w:ascii="宋体" w:hAnsi="宋体"/>
          <w:highlight w:val="none"/>
        </w:rPr>
      </w:pPr>
      <w:r>
        <w:rPr>
          <w:rFonts w:hint="eastAsia" w:ascii="宋体" w:hAnsi="宋体"/>
          <w:highlight w:val="none"/>
        </w:rPr>
        <w:t>3）投标方为履行合同应配备足够的技术人员资源；</w:t>
      </w:r>
    </w:p>
    <w:p>
      <w:pPr>
        <w:pStyle w:val="14"/>
        <w:adjustRightInd w:val="0"/>
        <w:snapToGrid w:val="0"/>
        <w:spacing w:before="156" w:beforeLines="50" w:after="156" w:afterLines="50"/>
        <w:ind w:left="480" w:leftChars="0" w:firstLine="0" w:firstLineChars="0"/>
        <w:rPr>
          <w:rFonts w:hint="eastAsia" w:ascii="宋体" w:hAnsi="宋体" w:eastAsia="宋体"/>
          <w:highlight w:val="none"/>
          <w:lang w:eastAsia="zh-CN"/>
        </w:rPr>
      </w:pPr>
      <w:r>
        <w:rPr>
          <w:rFonts w:hint="eastAsia" w:ascii="宋体" w:hAnsi="宋体"/>
          <w:highlight w:val="none"/>
        </w:rPr>
        <w:t>4）投标方需提出工作必须的资源环境需求等</w:t>
      </w:r>
      <w:r>
        <w:rPr>
          <w:rFonts w:hint="eastAsia" w:ascii="宋体" w:hAnsi="宋体"/>
          <w:highlight w:val="none"/>
          <w:lang w:eastAsia="zh-CN"/>
        </w:rPr>
        <w:t>。</w:t>
      </w:r>
    </w:p>
    <w:p>
      <w:pPr>
        <w:pStyle w:val="4"/>
        <w:spacing w:before="156" w:beforeLines="50" w:after="156" w:afterLines="50"/>
        <w:rPr>
          <w:rFonts w:hint="eastAsia" w:ascii="宋体" w:hAnsi="宋体"/>
          <w:b/>
          <w:sz w:val="32"/>
          <w:szCs w:val="30"/>
          <w:highlight w:val="none"/>
        </w:rPr>
      </w:pPr>
      <w:bookmarkStart w:id="25" w:name="_Toc507258946"/>
      <w:bookmarkStart w:id="26" w:name="_Toc31789"/>
      <w:bookmarkStart w:id="27" w:name="_Toc358018965"/>
      <w:r>
        <w:rPr>
          <w:rFonts w:hint="eastAsia" w:ascii="宋体" w:hAnsi="宋体"/>
          <w:b/>
          <w:sz w:val="32"/>
          <w:szCs w:val="30"/>
          <w:highlight w:val="none"/>
        </w:rPr>
        <w:t>服务要求</w:t>
      </w:r>
      <w:bookmarkEnd w:id="25"/>
      <w:bookmarkEnd w:id="26"/>
    </w:p>
    <w:p>
      <w:pPr>
        <w:pStyle w:val="5"/>
        <w:spacing w:before="156" w:beforeLines="50" w:after="156" w:afterLines="50"/>
        <w:ind w:left="0"/>
        <w:rPr>
          <w:rFonts w:ascii="宋体" w:hAnsi="宋体"/>
          <w:b/>
          <w:sz w:val="28"/>
          <w:szCs w:val="28"/>
          <w:highlight w:val="none"/>
        </w:rPr>
      </w:pPr>
      <w:bookmarkStart w:id="28" w:name="_Toc507258947"/>
      <w:bookmarkStart w:id="29" w:name="_Toc6000"/>
      <w:r>
        <w:rPr>
          <w:rFonts w:hint="eastAsia" w:ascii="宋体" w:hAnsi="宋体"/>
          <w:b/>
          <w:sz w:val="28"/>
          <w:szCs w:val="28"/>
          <w:highlight w:val="none"/>
        </w:rPr>
        <w:t>服务人员</w:t>
      </w:r>
      <w:bookmarkEnd w:id="28"/>
      <w:bookmarkEnd w:id="29"/>
    </w:p>
    <w:p>
      <w:pPr>
        <w:numPr>
          <w:ilvl w:val="0"/>
          <w:numId w:val="2"/>
        </w:numPr>
        <w:spacing w:before="156" w:beforeLines="50" w:after="156" w:afterLines="50"/>
        <w:ind w:left="845" w:leftChars="0" w:hanging="425" w:firstLineChars="0"/>
        <w:jc w:val="left"/>
        <w:rPr>
          <w:highlight w:val="none"/>
        </w:rPr>
      </w:pPr>
      <w:r>
        <w:rPr>
          <w:rFonts w:hint="eastAsia"/>
          <w:highlight w:val="none"/>
        </w:rPr>
        <w:t>指定不少于</w:t>
      </w:r>
      <w:r>
        <w:rPr>
          <w:rFonts w:hint="eastAsia"/>
          <w:highlight w:val="none"/>
          <w:lang w:val="en-US" w:eastAsia="zh-CN"/>
        </w:rPr>
        <w:t>2</w:t>
      </w:r>
      <w:r>
        <w:rPr>
          <w:rFonts w:hint="eastAsia"/>
          <w:highlight w:val="none"/>
        </w:rPr>
        <w:t>人组成项目</w:t>
      </w:r>
      <w:r>
        <w:rPr>
          <w:rFonts w:hint="eastAsia"/>
          <w:highlight w:val="none"/>
          <w:lang w:val="en-US" w:eastAsia="zh-CN"/>
        </w:rPr>
        <w:t>施工</w:t>
      </w:r>
      <w:r>
        <w:rPr>
          <w:rFonts w:hint="eastAsia"/>
          <w:highlight w:val="none"/>
        </w:rPr>
        <w:t>组。</w:t>
      </w:r>
    </w:p>
    <w:p>
      <w:pPr>
        <w:numPr>
          <w:ilvl w:val="0"/>
          <w:numId w:val="2"/>
        </w:numPr>
        <w:spacing w:before="156" w:beforeLines="50" w:after="156" w:afterLines="50"/>
        <w:ind w:left="845" w:leftChars="0" w:hanging="425" w:firstLineChars="0"/>
        <w:jc w:val="left"/>
        <w:rPr>
          <w:highlight w:val="none"/>
        </w:rPr>
      </w:pPr>
      <w:r>
        <w:rPr>
          <w:rFonts w:hint="eastAsia"/>
          <w:highlight w:val="none"/>
        </w:rPr>
        <w:t>提供项目</w:t>
      </w:r>
      <w:r>
        <w:rPr>
          <w:rFonts w:hint="eastAsia"/>
          <w:highlight w:val="none"/>
          <w:lang w:val="en-US" w:eastAsia="zh-CN"/>
        </w:rPr>
        <w:t>施工</w:t>
      </w:r>
      <w:r>
        <w:rPr>
          <w:rFonts w:hint="eastAsia"/>
          <w:highlight w:val="none"/>
        </w:rPr>
        <w:t>组成员的电话、邮件等联系方式，并保证服务期内24小时通讯畅通。</w:t>
      </w:r>
    </w:p>
    <w:p>
      <w:pPr>
        <w:numPr>
          <w:ilvl w:val="0"/>
          <w:numId w:val="2"/>
        </w:numPr>
        <w:spacing w:before="156" w:beforeLines="50" w:after="156" w:afterLines="50"/>
        <w:ind w:left="845" w:leftChars="0" w:hanging="425" w:firstLineChars="0"/>
        <w:jc w:val="left"/>
        <w:rPr>
          <w:highlight w:val="none"/>
        </w:rPr>
      </w:pPr>
      <w:r>
        <w:rPr>
          <w:rFonts w:ascii="宋体" w:hAnsi="宋体"/>
          <w:highlight w:val="none"/>
          <w:lang w:val="en-US"/>
        </w:rPr>
        <w:t>未经</w:t>
      </w:r>
      <w:r>
        <w:rPr>
          <w:rFonts w:hint="eastAsia" w:ascii="宋体" w:hAnsi="宋体"/>
          <w:highlight w:val="none"/>
          <w:lang w:val="en-US"/>
        </w:rPr>
        <w:t>招标方</w:t>
      </w:r>
      <w:r>
        <w:rPr>
          <w:rFonts w:ascii="宋体" w:hAnsi="宋体"/>
          <w:highlight w:val="none"/>
          <w:lang w:val="en-US"/>
        </w:rPr>
        <w:t>同意</w:t>
      </w:r>
      <w:r>
        <w:rPr>
          <w:rFonts w:hint="eastAsia" w:ascii="宋体" w:hAnsi="宋体"/>
          <w:highlight w:val="none"/>
          <w:lang w:val="en-US"/>
        </w:rPr>
        <w:t>，投标方</w:t>
      </w:r>
      <w:r>
        <w:rPr>
          <w:rFonts w:ascii="宋体" w:hAnsi="宋体"/>
          <w:highlight w:val="none"/>
          <w:lang w:val="en-US"/>
        </w:rPr>
        <w:t>不得进行人员变动。</w:t>
      </w:r>
      <w:r>
        <w:rPr>
          <w:rFonts w:hint="eastAsia"/>
          <w:highlight w:val="none"/>
        </w:rPr>
        <w:t>服务人员发生变更时，投标方须提前15天告知招标方，得到招标方的同意后并提供水平相等的人员进行替换。</w:t>
      </w:r>
    </w:p>
    <w:p>
      <w:pPr>
        <w:numPr>
          <w:ilvl w:val="0"/>
          <w:numId w:val="2"/>
        </w:numPr>
        <w:ind w:left="845" w:leftChars="0" w:hanging="425" w:firstLineChars="0"/>
        <w:jc w:val="left"/>
        <w:rPr>
          <w:highlight w:val="none"/>
        </w:rPr>
      </w:pPr>
      <w:r>
        <w:rPr>
          <w:rFonts w:ascii="宋体" w:hAnsi="宋体" w:cs="宋体"/>
          <w:kern w:val="0"/>
          <w:highlight w:val="none"/>
        </w:rPr>
        <w:t>所有项目组成员须严格遵守《超高压公司外协驻场人员行为规范》要求。</w:t>
      </w:r>
    </w:p>
    <w:p>
      <w:pPr>
        <w:pStyle w:val="5"/>
        <w:spacing w:before="156" w:beforeLines="50" w:after="156" w:afterLines="50"/>
        <w:ind w:left="0"/>
        <w:rPr>
          <w:rFonts w:ascii="宋体" w:hAnsi="宋体"/>
          <w:b/>
          <w:sz w:val="28"/>
          <w:szCs w:val="28"/>
          <w:highlight w:val="none"/>
        </w:rPr>
      </w:pPr>
      <w:bookmarkStart w:id="30" w:name="_Toc507258948"/>
      <w:bookmarkStart w:id="31" w:name="_Toc5876"/>
      <w:r>
        <w:rPr>
          <w:rFonts w:hint="eastAsia" w:ascii="宋体" w:hAnsi="宋体"/>
          <w:b/>
          <w:sz w:val="28"/>
          <w:szCs w:val="28"/>
          <w:highlight w:val="none"/>
        </w:rPr>
        <w:t>服务方式及时间</w:t>
      </w:r>
      <w:bookmarkEnd w:id="30"/>
      <w:bookmarkEnd w:id="31"/>
    </w:p>
    <w:p>
      <w:pPr>
        <w:spacing w:before="156" w:beforeLines="50" w:after="156" w:afterLines="50"/>
        <w:ind w:firstLine="480"/>
        <w:rPr>
          <w:highlight w:val="none"/>
        </w:rPr>
      </w:pPr>
      <w:r>
        <w:rPr>
          <w:rFonts w:hint="eastAsia"/>
          <w:highlight w:val="none"/>
          <w:lang w:val="en-US" w:eastAsia="zh-CN"/>
        </w:rPr>
        <w:t>1）项目实施期限为</w:t>
      </w:r>
      <w:r>
        <w:rPr>
          <w:rFonts w:hint="eastAsia" w:ascii="宋体" w:hAnsi="宋体"/>
          <w:highlight w:val="none"/>
        </w:rPr>
        <w:t>202</w:t>
      </w:r>
      <w:r>
        <w:rPr>
          <w:rFonts w:hint="eastAsia" w:ascii="宋体" w:hAnsi="宋体"/>
          <w:highlight w:val="none"/>
          <w:lang w:val="en-US" w:eastAsia="zh-CN"/>
        </w:rPr>
        <w:t>5</w:t>
      </w:r>
      <w:r>
        <w:rPr>
          <w:rFonts w:hint="eastAsia" w:ascii="宋体" w:hAnsi="宋体"/>
          <w:highlight w:val="none"/>
        </w:rPr>
        <w:t>年</w:t>
      </w:r>
      <w:r>
        <w:rPr>
          <w:rFonts w:hint="eastAsia" w:ascii="宋体" w:hAnsi="宋体"/>
          <w:highlight w:val="none"/>
          <w:lang w:val="en-US" w:eastAsia="zh-CN"/>
        </w:rPr>
        <w:t>12</w:t>
      </w:r>
      <w:r>
        <w:rPr>
          <w:rFonts w:hint="eastAsia" w:ascii="宋体" w:hAnsi="宋体"/>
          <w:highlight w:val="none"/>
        </w:rPr>
        <w:t>月30日</w:t>
      </w:r>
      <w:r>
        <w:rPr>
          <w:rFonts w:hint="eastAsia"/>
          <w:highlight w:val="none"/>
        </w:rPr>
        <w:t>。</w:t>
      </w:r>
    </w:p>
    <w:p>
      <w:pPr>
        <w:numPr>
          <w:ilvl w:val="0"/>
          <w:numId w:val="0"/>
        </w:numPr>
        <w:spacing w:before="156" w:beforeLines="50" w:after="156" w:afterLines="50"/>
        <w:ind w:left="420" w:leftChars="0"/>
        <w:rPr>
          <w:highlight w:val="none"/>
        </w:rPr>
      </w:pPr>
      <w:bookmarkStart w:id="32" w:name="_Toc507258949"/>
      <w:r>
        <w:rPr>
          <w:rFonts w:hint="eastAsia" w:ascii="Times New Roman" w:hAnsi="Times New Roman" w:cs="Times New Roman"/>
          <w:b w:val="0"/>
          <w:bCs w:val="0"/>
          <w:sz w:val="24"/>
          <w:szCs w:val="28"/>
          <w:highlight w:val="none"/>
          <w:lang w:val="en-US" w:eastAsia="zh-CN"/>
        </w:rPr>
        <w:t>2）投标方应在招标方提出确定服务时间起</w:t>
      </w:r>
      <w:r>
        <w:rPr>
          <w:rFonts w:hint="eastAsia" w:cs="Times New Roman"/>
          <w:b w:val="0"/>
          <w:bCs w:val="0"/>
          <w:sz w:val="24"/>
          <w:szCs w:val="28"/>
          <w:highlight w:val="none"/>
          <w:lang w:val="en-US" w:eastAsia="zh-CN"/>
        </w:rPr>
        <w:t>15</w:t>
      </w:r>
      <w:r>
        <w:rPr>
          <w:rFonts w:hint="eastAsia" w:ascii="Times New Roman" w:hAnsi="Times New Roman" w:cs="Times New Roman"/>
          <w:b w:val="0"/>
          <w:bCs w:val="0"/>
          <w:sz w:val="24"/>
          <w:szCs w:val="28"/>
          <w:highlight w:val="none"/>
          <w:lang w:val="en-US" w:eastAsia="zh-CN"/>
        </w:rPr>
        <w:t>日内，做好人员、工作方案等准备工作，按计划完成现场职业健康</w:t>
      </w:r>
      <w:r>
        <w:rPr>
          <w:rFonts w:hint="eastAsia" w:cs="Times New Roman"/>
          <w:b w:val="0"/>
          <w:bCs w:val="0"/>
          <w:sz w:val="24"/>
          <w:szCs w:val="28"/>
          <w:highlight w:val="none"/>
          <w:lang w:val="en-US" w:eastAsia="zh-CN"/>
        </w:rPr>
        <w:t>危害因素</w:t>
      </w:r>
      <w:r>
        <w:rPr>
          <w:rFonts w:hint="eastAsia" w:ascii="Times New Roman" w:hAnsi="Times New Roman" w:cs="Times New Roman"/>
          <w:b w:val="0"/>
          <w:bCs w:val="0"/>
          <w:sz w:val="24"/>
          <w:szCs w:val="28"/>
          <w:highlight w:val="none"/>
          <w:lang w:val="en-US" w:eastAsia="zh-CN"/>
        </w:rPr>
        <w:t>检测</w:t>
      </w:r>
      <w:r>
        <w:rPr>
          <w:rFonts w:hint="eastAsia"/>
          <w:highlight w:val="none"/>
        </w:rPr>
        <w:t>。</w:t>
      </w:r>
    </w:p>
    <w:p>
      <w:pPr>
        <w:numPr>
          <w:ilvl w:val="0"/>
          <w:numId w:val="0"/>
        </w:numPr>
        <w:spacing w:before="156" w:beforeLines="50" w:after="156" w:afterLines="50"/>
        <w:ind w:left="420" w:leftChars="0"/>
        <w:rPr>
          <w:rFonts w:hint="default"/>
          <w:highlight w:val="none"/>
          <w:lang w:val="en-US"/>
        </w:rPr>
      </w:pPr>
      <w:r>
        <w:rPr>
          <w:rFonts w:hint="eastAsia" w:cs="Times New Roman"/>
          <w:b w:val="0"/>
          <w:bCs w:val="0"/>
          <w:sz w:val="24"/>
          <w:szCs w:val="28"/>
          <w:highlight w:val="none"/>
          <w:lang w:val="en-US" w:eastAsia="zh-CN"/>
        </w:rPr>
        <w:t>3</w:t>
      </w:r>
      <w:r>
        <w:rPr>
          <w:rFonts w:hint="eastAsia" w:ascii="Times New Roman" w:hAnsi="Times New Roman" w:cs="Times New Roman"/>
          <w:b w:val="0"/>
          <w:bCs w:val="0"/>
          <w:sz w:val="24"/>
          <w:szCs w:val="28"/>
          <w:highlight w:val="none"/>
          <w:lang w:val="en-US" w:eastAsia="zh-CN"/>
        </w:rPr>
        <w:t>）</w:t>
      </w:r>
      <w:r>
        <w:rPr>
          <w:rFonts w:hint="eastAsia" w:cs="Times New Roman"/>
          <w:b w:val="0"/>
          <w:bCs w:val="0"/>
          <w:sz w:val="24"/>
          <w:szCs w:val="28"/>
          <w:highlight w:val="none"/>
          <w:lang w:val="en-US" w:eastAsia="zh-CN"/>
        </w:rPr>
        <w:t>完成所有区域的职业健康危害因素检测后15日内，出具职业健康危害因素检测报告。</w:t>
      </w:r>
    </w:p>
    <w:p>
      <w:pPr>
        <w:pStyle w:val="5"/>
        <w:spacing w:before="156" w:beforeLines="50" w:after="156" w:afterLines="50"/>
        <w:ind w:left="0"/>
        <w:rPr>
          <w:rFonts w:ascii="宋体" w:hAnsi="宋体"/>
          <w:b/>
          <w:sz w:val="28"/>
          <w:szCs w:val="28"/>
          <w:highlight w:val="none"/>
        </w:rPr>
      </w:pPr>
      <w:bookmarkStart w:id="33" w:name="_Toc1585"/>
      <w:r>
        <w:rPr>
          <w:rFonts w:hint="eastAsia" w:ascii="宋体" w:hAnsi="宋体"/>
          <w:b/>
          <w:sz w:val="28"/>
          <w:szCs w:val="28"/>
          <w:highlight w:val="none"/>
        </w:rPr>
        <w:t>响应时间</w:t>
      </w:r>
      <w:bookmarkEnd w:id="32"/>
      <w:bookmarkEnd w:id="33"/>
    </w:p>
    <w:p>
      <w:pPr>
        <w:spacing w:before="156" w:beforeLines="50" w:after="156" w:afterLines="50"/>
        <w:ind w:firstLine="480"/>
        <w:rPr>
          <w:rFonts w:hint="eastAsia"/>
          <w:highlight w:val="none"/>
        </w:rPr>
      </w:pPr>
      <w:r>
        <w:rPr>
          <w:rFonts w:hint="eastAsia"/>
          <w:highlight w:val="none"/>
          <w:lang w:val="en-US" w:eastAsia="zh-CN"/>
        </w:rPr>
        <w:t>对于施工整改、技术问答等合理要求，投标方应于7日内完成反馈</w:t>
      </w:r>
      <w:r>
        <w:rPr>
          <w:rFonts w:hint="eastAsia"/>
          <w:highlight w:val="none"/>
        </w:rPr>
        <w:t>。</w:t>
      </w:r>
    </w:p>
    <w:p>
      <w:pPr>
        <w:pStyle w:val="4"/>
        <w:spacing w:before="156" w:beforeLines="50" w:after="156" w:afterLines="50"/>
        <w:rPr>
          <w:rFonts w:hint="eastAsia" w:ascii="宋体" w:hAnsi="宋体"/>
          <w:b/>
          <w:sz w:val="32"/>
          <w:szCs w:val="30"/>
          <w:highlight w:val="none"/>
        </w:rPr>
      </w:pPr>
      <w:bookmarkStart w:id="34" w:name="_Toc2574"/>
      <w:r>
        <w:rPr>
          <w:rFonts w:hint="eastAsia" w:ascii="宋体" w:hAnsi="宋体"/>
          <w:b/>
          <w:sz w:val="32"/>
          <w:szCs w:val="30"/>
          <w:highlight w:val="none"/>
        </w:rPr>
        <w:t>验收</w:t>
      </w:r>
      <w:bookmarkEnd w:id="34"/>
      <w:r>
        <w:rPr>
          <w:rFonts w:hint="eastAsia" w:ascii="宋体" w:hAnsi="宋体"/>
          <w:b/>
          <w:sz w:val="32"/>
          <w:szCs w:val="30"/>
          <w:highlight w:val="none"/>
        </w:rPr>
        <w:t xml:space="preserve"> </w:t>
      </w:r>
    </w:p>
    <w:p>
      <w:pPr>
        <w:pStyle w:val="5"/>
        <w:spacing w:before="156" w:beforeLines="50" w:after="156" w:afterLines="50"/>
        <w:ind w:left="0"/>
        <w:rPr>
          <w:rFonts w:ascii="宋体" w:hAnsi="宋体"/>
          <w:b/>
          <w:sz w:val="32"/>
          <w:szCs w:val="30"/>
          <w:highlight w:val="none"/>
        </w:rPr>
      </w:pPr>
      <w:bookmarkStart w:id="35" w:name="_Toc30960"/>
      <w:r>
        <w:rPr>
          <w:rFonts w:hint="eastAsia" w:ascii="宋体" w:hAnsi="宋体"/>
          <w:b/>
          <w:sz w:val="28"/>
          <w:szCs w:val="28"/>
          <w:highlight w:val="none"/>
        </w:rPr>
        <w:t>项目验收</w:t>
      </w:r>
      <w:bookmarkEnd w:id="35"/>
    </w:p>
    <w:p>
      <w:pPr>
        <w:snapToGrid w:val="0"/>
        <w:spacing w:before="156" w:beforeLines="50" w:after="156" w:afterLines="50"/>
        <w:ind w:firstLine="480"/>
        <w:rPr>
          <w:rFonts w:hint="eastAsia" w:ascii="宋体" w:hAnsi="宋体" w:eastAsia="宋体"/>
          <w:bCs/>
          <w:szCs w:val="21"/>
          <w:highlight w:val="none"/>
          <w:lang w:eastAsia="zh-CN"/>
        </w:rPr>
      </w:pPr>
      <w:bookmarkStart w:id="36" w:name="_Toc3268"/>
      <w:bookmarkStart w:id="37" w:name="_Toc8370"/>
      <w:bookmarkStart w:id="38" w:name="_Toc20109"/>
      <w:r>
        <w:rPr>
          <w:rFonts w:hint="eastAsia" w:ascii="宋体" w:hAnsi="宋体"/>
          <w:bCs/>
          <w:szCs w:val="21"/>
          <w:highlight w:val="none"/>
        </w:rPr>
        <w:t>投标方按“</w:t>
      </w:r>
      <w:r>
        <w:rPr>
          <w:rFonts w:hint="eastAsia" w:ascii="宋体" w:hAnsi="宋体"/>
          <w:bCs/>
          <w:szCs w:val="21"/>
          <w:highlight w:val="none"/>
          <w:lang w:val="en-US" w:eastAsia="zh-CN"/>
        </w:rPr>
        <w:t>5</w:t>
      </w:r>
      <w:r>
        <w:rPr>
          <w:rFonts w:hint="eastAsia" w:ascii="宋体" w:hAnsi="宋体"/>
          <w:bCs/>
          <w:szCs w:val="21"/>
          <w:highlight w:val="none"/>
        </w:rPr>
        <w:t>.2项目交付项”要求提供所有交付物并通过招标方审核后，由投标方提出验收申请，招标方在接到投标方验收申请后</w:t>
      </w:r>
      <w:r>
        <w:rPr>
          <w:rFonts w:hint="eastAsia" w:ascii="宋体" w:hAnsi="宋体"/>
          <w:bCs/>
          <w:szCs w:val="21"/>
          <w:highlight w:val="none"/>
          <w:lang w:val="en-US" w:eastAsia="zh-CN"/>
        </w:rPr>
        <w:t>7</w:t>
      </w:r>
      <w:r>
        <w:rPr>
          <w:rFonts w:hint="eastAsia" w:ascii="宋体" w:hAnsi="宋体"/>
          <w:bCs/>
          <w:szCs w:val="21"/>
          <w:highlight w:val="none"/>
        </w:rPr>
        <w:t>个工作日内组织验收。投标方应在项目竣工验收通过后</w:t>
      </w:r>
      <w:r>
        <w:rPr>
          <w:rFonts w:hint="eastAsia" w:ascii="宋体" w:hAnsi="宋体"/>
          <w:bCs/>
          <w:szCs w:val="21"/>
          <w:highlight w:val="none"/>
          <w:lang w:val="en-US" w:eastAsia="zh-CN"/>
        </w:rPr>
        <w:t>7</w:t>
      </w:r>
      <w:r>
        <w:rPr>
          <w:rFonts w:hint="eastAsia" w:ascii="宋体" w:hAnsi="宋体"/>
          <w:bCs/>
          <w:szCs w:val="21"/>
          <w:highlight w:val="none"/>
        </w:rPr>
        <w:t>天内，移交一套满足招标方档案管理要求的项目文件</w:t>
      </w:r>
      <w:bookmarkEnd w:id="36"/>
      <w:bookmarkEnd w:id="37"/>
      <w:bookmarkEnd w:id="38"/>
      <w:r>
        <w:rPr>
          <w:rFonts w:hint="eastAsia" w:ascii="宋体" w:hAnsi="宋体"/>
          <w:bCs/>
          <w:szCs w:val="21"/>
          <w:highlight w:val="none"/>
          <w:lang w:eastAsia="zh-CN"/>
        </w:rPr>
        <w:t>。</w:t>
      </w:r>
    </w:p>
    <w:p>
      <w:pPr>
        <w:pStyle w:val="5"/>
        <w:spacing w:before="156" w:beforeLines="50" w:after="156" w:afterLines="50"/>
        <w:ind w:left="0"/>
        <w:rPr>
          <w:rFonts w:ascii="宋体" w:hAnsi="宋体"/>
          <w:b/>
          <w:sz w:val="28"/>
          <w:szCs w:val="28"/>
          <w:highlight w:val="none"/>
        </w:rPr>
      </w:pPr>
      <w:bookmarkStart w:id="39" w:name="_Toc12108"/>
      <w:r>
        <w:rPr>
          <w:rFonts w:hint="eastAsia" w:ascii="宋体" w:hAnsi="宋体"/>
          <w:b/>
          <w:sz w:val="28"/>
          <w:szCs w:val="28"/>
          <w:highlight w:val="none"/>
        </w:rPr>
        <w:t>项目交付项</w:t>
      </w:r>
      <w:bookmarkEnd w:id="27"/>
      <w:bookmarkEnd w:id="39"/>
    </w:p>
    <w:p>
      <w:pPr>
        <w:pStyle w:val="48"/>
        <w:numPr>
          <w:ilvl w:val="0"/>
          <w:numId w:val="0"/>
        </w:numPr>
        <w:ind w:firstLine="480" w:firstLineChars="200"/>
        <w:rPr>
          <w:highlight w:val="none"/>
        </w:rPr>
      </w:pPr>
      <w:r>
        <w:rPr>
          <w:rFonts w:hint="eastAsia" w:ascii="宋体" w:hAnsi="宋体"/>
          <w:bCs/>
          <w:szCs w:val="21"/>
          <w:highlight w:val="none"/>
        </w:rPr>
        <w:t>投标方应在合同规定时间内，向招标方提供</w:t>
      </w:r>
      <w:r>
        <w:rPr>
          <w:rFonts w:hint="eastAsia"/>
          <w:highlight w:val="none"/>
          <w:lang w:val="en-US" w:eastAsia="zh-CN"/>
        </w:rPr>
        <w:t>职业健康危害因素检测报告。</w:t>
      </w:r>
      <w:bookmarkEnd w:id="18"/>
      <w:bookmarkEnd w:id="19"/>
      <w:bookmarkEnd w:id="20"/>
    </w:p>
    <w:p>
      <w:pPr>
        <w:pStyle w:val="4"/>
        <w:spacing w:before="156" w:beforeLines="50" w:after="156" w:afterLines="50"/>
        <w:rPr>
          <w:rFonts w:hint="eastAsia" w:ascii="宋体" w:hAnsi="宋体"/>
          <w:b/>
          <w:sz w:val="32"/>
          <w:szCs w:val="30"/>
          <w:highlight w:val="none"/>
        </w:rPr>
      </w:pPr>
      <w:bookmarkStart w:id="40" w:name="_Toc13097"/>
      <w:bookmarkStart w:id="41" w:name="_Toc485732047"/>
      <w:bookmarkStart w:id="42" w:name="_Toc27617"/>
      <w:r>
        <w:rPr>
          <w:rFonts w:hint="eastAsia" w:ascii="宋体" w:hAnsi="宋体"/>
          <w:b/>
          <w:sz w:val="32"/>
          <w:szCs w:val="30"/>
          <w:highlight w:val="none"/>
        </w:rPr>
        <w:t>其它要求</w:t>
      </w:r>
      <w:bookmarkEnd w:id="40"/>
      <w:bookmarkEnd w:id="41"/>
      <w:bookmarkEnd w:id="42"/>
    </w:p>
    <w:p>
      <w:pPr>
        <w:pStyle w:val="5"/>
        <w:spacing w:before="156" w:beforeLines="50" w:after="156" w:afterLines="50"/>
        <w:ind w:left="0"/>
        <w:rPr>
          <w:rFonts w:ascii="宋体" w:hAnsi="宋体"/>
          <w:b/>
          <w:sz w:val="28"/>
          <w:szCs w:val="28"/>
          <w:highlight w:val="none"/>
        </w:rPr>
      </w:pPr>
      <w:bookmarkStart w:id="43" w:name="_Toc7448"/>
      <w:r>
        <w:rPr>
          <w:rFonts w:hint="eastAsia" w:ascii="宋体" w:hAnsi="宋体"/>
          <w:b/>
          <w:sz w:val="28"/>
          <w:szCs w:val="28"/>
          <w:highlight w:val="none"/>
        </w:rPr>
        <w:t>进度要求</w:t>
      </w:r>
      <w:bookmarkEnd w:id="43"/>
    </w:p>
    <w:p>
      <w:pPr>
        <w:spacing w:before="156" w:beforeLines="50" w:after="156" w:afterLines="50"/>
        <w:ind w:firstLine="48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投标方必须响应并承诺下列要求：投标方应在根据招标方要求的服务</w:t>
      </w:r>
      <w:r>
        <w:rPr>
          <w:rFonts w:hint="eastAsia" w:ascii="宋体" w:hAnsi="宋体" w:cs="宋体"/>
          <w:highlight w:val="none"/>
          <w:lang w:eastAsia="zh-CN"/>
        </w:rPr>
        <w:t>期限</w:t>
      </w:r>
      <w:r>
        <w:rPr>
          <w:rFonts w:hint="eastAsia" w:ascii="宋体" w:hAnsi="宋体" w:cs="宋体"/>
          <w:highlight w:val="none"/>
        </w:rPr>
        <w:t>，提出详细的项目进度表及工作组织安排，</w:t>
      </w:r>
      <w:r>
        <w:rPr>
          <w:rFonts w:hint="eastAsia" w:ascii="宋体" w:hAnsi="宋体"/>
          <w:highlight w:val="none"/>
        </w:rPr>
        <w:t>完成项目要求的系统维护工作</w:t>
      </w:r>
      <w:r>
        <w:rPr>
          <w:rFonts w:hint="eastAsia" w:ascii="宋体" w:hAnsi="宋体"/>
          <w:highlight w:val="none"/>
          <w:lang w:eastAsia="zh-CN"/>
        </w:rPr>
        <w:t>，</w:t>
      </w:r>
      <w:r>
        <w:rPr>
          <w:rFonts w:hint="eastAsia" w:ascii="宋体" w:hAnsi="宋体"/>
          <w:highlight w:val="none"/>
        </w:rPr>
        <w:t>提交项目交付物，完成</w:t>
      </w:r>
      <w:r>
        <w:rPr>
          <w:rFonts w:hint="eastAsia" w:ascii="宋体" w:hAnsi="宋体"/>
          <w:highlight w:val="none"/>
          <w:lang w:val="zh-CN"/>
        </w:rPr>
        <w:t>本项目</w:t>
      </w:r>
      <w:r>
        <w:rPr>
          <w:rFonts w:hint="eastAsia" w:ascii="宋体" w:hAnsi="宋体"/>
          <w:highlight w:val="none"/>
        </w:rPr>
        <w:t>竣工验收</w:t>
      </w:r>
      <w:r>
        <w:rPr>
          <w:rFonts w:hint="eastAsia" w:ascii="宋体" w:hAnsi="宋体" w:cs="宋体"/>
          <w:highlight w:val="none"/>
        </w:rPr>
        <w:t>。</w:t>
      </w:r>
    </w:p>
    <w:p>
      <w:pPr>
        <w:pStyle w:val="5"/>
        <w:spacing w:before="156" w:beforeLines="50" w:after="156" w:afterLines="50"/>
        <w:ind w:left="0"/>
        <w:rPr>
          <w:rFonts w:ascii="宋体" w:hAnsi="宋体"/>
          <w:b/>
          <w:sz w:val="28"/>
          <w:szCs w:val="28"/>
          <w:highlight w:val="none"/>
        </w:rPr>
      </w:pPr>
      <w:bookmarkStart w:id="44" w:name="_Toc704"/>
      <w:r>
        <w:rPr>
          <w:rFonts w:hint="eastAsia" w:ascii="宋体" w:hAnsi="宋体"/>
          <w:b/>
          <w:sz w:val="28"/>
          <w:szCs w:val="28"/>
          <w:highlight w:val="none"/>
        </w:rPr>
        <w:t>质量保障要求</w:t>
      </w:r>
      <w:bookmarkEnd w:id="44"/>
    </w:p>
    <w:p>
      <w:pPr>
        <w:spacing w:before="156" w:beforeLines="50" w:after="156" w:afterLines="50"/>
        <w:ind w:firstLine="48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投标方应提出可靠的</w:t>
      </w:r>
      <w:r>
        <w:rPr>
          <w:rFonts w:hint="eastAsia" w:ascii="宋体" w:hAnsi="宋体" w:cs="宋体"/>
          <w:highlight w:val="none"/>
          <w:lang w:val="en-US" w:eastAsia="zh-CN"/>
        </w:rPr>
        <w:t>项目实施</w:t>
      </w:r>
      <w:r>
        <w:rPr>
          <w:rFonts w:hint="eastAsia" w:ascii="宋体" w:hAnsi="宋体" w:cs="宋体"/>
          <w:highlight w:val="none"/>
        </w:rPr>
        <w:t>质量保障措施，保证</w:t>
      </w:r>
      <w:r>
        <w:rPr>
          <w:rFonts w:hint="eastAsia" w:ascii="宋体" w:hAnsi="宋体" w:cs="宋体"/>
          <w:highlight w:val="none"/>
          <w:lang w:val="en-US" w:eastAsia="zh-CN"/>
        </w:rPr>
        <w:t>职业健康危害因素检测报告</w:t>
      </w:r>
      <w:r>
        <w:rPr>
          <w:rFonts w:hint="eastAsia" w:ascii="宋体" w:hAnsi="宋体" w:cs="宋体"/>
          <w:highlight w:val="none"/>
        </w:rPr>
        <w:t>质量。</w:t>
      </w:r>
    </w:p>
    <w:p>
      <w:pPr>
        <w:pStyle w:val="5"/>
        <w:spacing w:before="156" w:beforeLines="50" w:after="156" w:afterLines="50"/>
        <w:ind w:left="0"/>
        <w:rPr>
          <w:rFonts w:ascii="宋体" w:hAnsi="宋体"/>
          <w:b/>
          <w:sz w:val="28"/>
          <w:szCs w:val="28"/>
          <w:highlight w:val="none"/>
        </w:rPr>
      </w:pPr>
      <w:bookmarkStart w:id="45" w:name="_Toc6988"/>
      <w:r>
        <w:rPr>
          <w:rFonts w:hint="eastAsia" w:ascii="宋体" w:hAnsi="宋体"/>
          <w:b/>
          <w:sz w:val="28"/>
          <w:szCs w:val="28"/>
          <w:highlight w:val="none"/>
        </w:rPr>
        <w:t>保密要求</w:t>
      </w:r>
      <w:bookmarkEnd w:id="45"/>
    </w:p>
    <w:p>
      <w:pPr>
        <w:spacing w:before="156" w:beforeLines="50" w:after="156" w:afterLines="50"/>
        <w:ind w:firstLine="480"/>
        <w:rPr>
          <w:rFonts w:hint="eastAsia"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投标方所有参与技术支持服务的人员，必须在</w:t>
      </w:r>
      <w:r>
        <w:rPr>
          <w:rFonts w:hint="eastAsia" w:ascii="宋体" w:hAnsi="宋体"/>
          <w:bCs/>
          <w:szCs w:val="21"/>
          <w:highlight w:val="none"/>
        </w:rPr>
        <w:t>招标方</w:t>
      </w:r>
      <w:r>
        <w:rPr>
          <w:rFonts w:hint="eastAsia" w:ascii="宋体" w:hAnsi="宋体" w:cs="宋体"/>
          <w:highlight w:val="none"/>
        </w:rPr>
        <w:t>处备案，并签署保密协议。</w:t>
      </w:r>
    </w:p>
    <w:p>
      <w:pPr>
        <w:pStyle w:val="5"/>
        <w:spacing w:before="156" w:beforeLines="50" w:after="156" w:afterLines="50"/>
        <w:ind w:left="0"/>
        <w:rPr>
          <w:rFonts w:hint="default" w:ascii="宋体" w:hAnsi="宋体"/>
          <w:b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/>
          <w:b/>
          <w:sz w:val="28"/>
          <w:szCs w:val="28"/>
          <w:highlight w:val="none"/>
          <w:lang w:val="en-US" w:eastAsia="zh-CN"/>
        </w:rPr>
        <w:t>服务资质要求</w:t>
      </w:r>
    </w:p>
    <w:p>
      <w:pPr>
        <w:spacing w:before="156" w:beforeLines="50" w:after="156" w:afterLines="50"/>
        <w:ind w:firstLine="480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  <w:lang w:eastAsia="zh-CN"/>
        </w:rPr>
        <w:t>投标方应具有</w:t>
      </w:r>
      <w:r>
        <w:rPr>
          <w:rFonts w:hint="eastAsia" w:ascii="宋体" w:hAnsi="宋体" w:eastAsia="宋体" w:cs="宋体"/>
          <w:highlight w:val="none"/>
        </w:rPr>
        <w:t>所在地省级卫生行政主管部门批准的职业</w:t>
      </w:r>
      <w:r>
        <w:rPr>
          <w:rFonts w:hint="eastAsia" w:ascii="宋体" w:hAnsi="宋体" w:eastAsia="宋体" w:cs="宋体"/>
          <w:highlight w:val="none"/>
          <w:lang w:val="en-US" w:eastAsia="zh-CN"/>
        </w:rPr>
        <w:t>卫生技术服务机构资质证书</w:t>
      </w:r>
      <w:r>
        <w:rPr>
          <w:rFonts w:hint="eastAsia" w:ascii="宋体" w:hAnsi="宋体" w:eastAsia="宋体" w:cs="宋体"/>
          <w:highlight w:val="none"/>
        </w:rPr>
        <w:t>，并在其获准的范围内从事相关工作。</w:t>
      </w:r>
    </w:p>
    <w:p>
      <w:pPr>
        <w:pStyle w:val="2"/>
        <w:ind w:left="0" w:leftChars="0" w:firstLine="0" w:firstLineChars="0"/>
        <w:jc w:val="both"/>
        <w:rPr>
          <w:rFonts w:hint="eastAsia" w:ascii="宋体" w:hAnsi="宋体" w:eastAsia="宋体" w:cs="Times New Roman"/>
          <w:b/>
          <w:bCs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kern w:val="2"/>
          <w:sz w:val="28"/>
          <w:szCs w:val="28"/>
          <w:highlight w:val="none"/>
          <w:lang w:val="en-US" w:eastAsia="zh-CN" w:bidi="ar-SA"/>
        </w:rPr>
        <w:t>6.5 适用的法律、标准、规范要求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" w:after="10" w:line="360" w:lineRule="auto"/>
        <w:jc w:val="left"/>
        <w:textAlignment w:val="auto"/>
        <w:rPr>
          <w:rFonts w:hint="default" w:ascii="宋体" w:hAnsi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kern w:val="2"/>
          <w:sz w:val="24"/>
          <w:szCs w:val="24"/>
          <w:highlight w:val="none"/>
          <w:lang w:val="en-US" w:eastAsia="zh-CN" w:bidi="ar-SA"/>
        </w:rPr>
        <w:t>本项目所适用的法律、标准、规范为国家、地方及行业现行的法律、标准、规范，以及在合同实施期间国家、地方及行业对相应法律、标准或规范的修改，以及新颁布的法律、标准和规范。具体法律、标准和规范见专用部分，如专用部分未单独列出法律、规范和标准，则按国家、地方及行业相应最高要求实施。</w:t>
      </w:r>
    </w:p>
    <w:sectPr>
      <w:headerReference r:id="rId12" w:type="first"/>
      <w:headerReference r:id="rId11" w:type="default"/>
      <w:footerReference r:id="rId13" w:type="default"/>
      <w:pgSz w:w="11906" w:h="16838"/>
      <w:pgMar w:top="1701" w:right="1701" w:bottom="1701" w:left="1701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0" w:num="1"/>
      <w:rtlGutter w:val="0"/>
      <w:docGrid w:type="lines" w:linePitch="327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AFF" w:usb1="C0007843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Latha">
    <w:panose1 w:val="020B0604020202020204"/>
    <w:charset w:val="00"/>
    <w:family w:val="auto"/>
    <w:pitch w:val="default"/>
    <w:sig w:usb0="00100003" w:usb1="00000000" w:usb2="00000000" w:usb3="00000000" w:csb0="0000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spacing w:before="120" w:after="120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spacing w:before="120" w:after="120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spacing w:before="120" w:after="120"/>
      <w:ind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ind w:firstLine="36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pict>
        <v:shape id="_x0000_s2049" o:spid="_x0000_s2049" o:spt="75" type="#_x0000_t75" style="position:absolute;left:0pt;margin-left:-50pt;margin-top:2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50" o:spid="_x0000_s2050" o:spt="75" type="#_x0000_t75" style="position:absolute;left:0pt;margin-left:160pt;margin-top:2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51" o:spid="_x0000_s2051" o:spt="75" type="#_x0000_t75" style="position:absolute;left:0pt;margin-left:370pt;margin-top:2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52" o:spid="_x0000_s2052" o:spt="75" type="#_x0000_t75" style="position:absolute;left:0pt;margin-left:-50pt;margin-top:340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53" o:spid="_x0000_s2053" o:spt="75" type="#_x0000_t75" style="position:absolute;left:0pt;margin-left:160pt;margin-top:340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54" o:spid="_x0000_s2054" o:spt="75" type="#_x0000_t75" style="position:absolute;left:0pt;margin-left:370pt;margin-top:340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55" o:spid="_x0000_s2055" o:spt="75" type="#_x0000_t75" style="position:absolute;left:0pt;margin-left:-50pt;margin-top:65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56" o:spid="_x0000_s2056" o:spt="75" type="#_x0000_t75" style="position:absolute;left:0pt;margin-left:160pt;margin-top:65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57" o:spid="_x0000_s2057" o:spt="75" type="#_x0000_t75" style="position:absolute;left:0pt;margin-left:370pt;margin-top:65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8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8"/>
      <w:pBdr>
        <w:bottom w:val="single" w:color="auto" w:sz="4" w:space="1"/>
      </w:pBdr>
      <w:ind w:firstLine="360"/>
      <w:jc w:val="both"/>
      <w:rPr>
        <w:rFonts w:hint="eastAsia" w:ascii="Arial" w:hAnsi="Arial" w:eastAsia="宋体"/>
        <w:lang w:eastAsia="zh-CN"/>
      </w:rPr>
    </w:pPr>
    <w:r>
      <w:rPr>
        <w:rFonts w:hint="eastAsia" w:ascii="Arial" w:hAnsi="Arial"/>
      </w:rPr>
      <w:t xml:space="preserve"> </w:t>
    </w:r>
    <w:r>
      <w:rPr>
        <w:rFonts w:hint="eastAsia" w:ascii="Arial" w:hAnsi="Arial"/>
        <w:lang w:eastAsia="zh-CN"/>
      </w:rPr>
      <w:t>技术规范书1</w:t>
    </w:r>
  </w:p>
  <w:p>
    <w:pPr>
      <w:pStyle w:val="18"/>
      <w:ind w:firstLine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8"/>
      <w:pBdr>
        <w:bottom w:val="none" w:color="auto" w:sz="0" w:space="0"/>
      </w:pBdr>
      <w:ind w:firstLine="360"/>
    </w:pPr>
    <w:r>
      <w:pict>
        <v:shape id="_x0000_s2058" o:spid="_x0000_s2058" o:spt="75" type="#_x0000_t75" style="position:absolute;left:0pt;margin-left:-50pt;margin-top:2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59" o:spid="_x0000_s2059" o:spt="75" type="#_x0000_t75" style="position:absolute;left:0pt;margin-left:160pt;margin-top:2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60" o:spid="_x0000_s2060" o:spt="75" type="#_x0000_t75" style="position:absolute;left:0pt;margin-left:370pt;margin-top:2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61" o:spid="_x0000_s2061" o:spt="75" type="#_x0000_t75" style="position:absolute;left:0pt;margin-left:-50pt;margin-top:340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62" o:spid="_x0000_s2062" o:spt="75" type="#_x0000_t75" style="position:absolute;left:0pt;margin-left:160pt;margin-top:340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63" o:spid="_x0000_s2063" o:spt="75" type="#_x0000_t75" style="position:absolute;left:0pt;margin-left:370pt;margin-top:340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64" o:spid="_x0000_s2064" o:spt="75" type="#_x0000_t75" style="position:absolute;left:0pt;margin-left:-50pt;margin-top:65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65" o:spid="_x0000_s2065" o:spt="75" type="#_x0000_t75" style="position:absolute;left:0pt;margin-left:160pt;margin-top:65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66" o:spid="_x0000_s2066" o:spt="75" type="#_x0000_t75" style="position:absolute;left:0pt;margin-left:370pt;margin-top:65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8"/>
      <w:pBdr>
        <w:bottom w:val="single" w:color="auto" w:sz="4" w:space="1"/>
      </w:pBdr>
      <w:ind w:firstLine="360"/>
      <w:jc w:val="both"/>
      <w:rPr>
        <w:rFonts w:hint="eastAsia" w:ascii="Arial" w:hAnsi="Arial" w:eastAsia="宋体"/>
        <w:lang w:eastAsia="zh-CN"/>
      </w:rPr>
    </w:pPr>
    <w:r>
      <w:rPr>
        <w:rFonts w:hint="eastAsia" w:ascii="Arial" w:hAnsi="Arial"/>
      </w:rPr>
      <w:t xml:space="preserve"> </w:t>
    </w:r>
    <w:r>
      <w:rPr>
        <w:rFonts w:hint="eastAsia" w:ascii="Arial" w:hAnsi="Arial"/>
        <w:lang w:eastAsia="zh-CN"/>
      </w:rPr>
      <w:t>技术规范书1</w:t>
    </w:r>
  </w:p>
  <w:p>
    <w:pPr>
      <w:pStyle w:val="18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5E306ED"/>
    <w:multiLevelType w:val="multilevel"/>
    <w:tmpl w:val="B5E306ED"/>
    <w:lvl w:ilvl="0" w:tentative="0">
      <w:start w:val="1"/>
      <w:numFmt w:val="decimal"/>
      <w:pStyle w:val="4"/>
      <w:suff w:val="space"/>
      <w:lvlText w:val="%1."/>
      <w:lvlJc w:val="left"/>
      <w:pPr>
        <w:ind w:left="0" w:firstLine="0"/>
      </w:pPr>
      <w:rPr>
        <w:rFonts w:hint="eastAsia" w:ascii="宋体" w:hAnsi="宋体" w:eastAsia="宋体"/>
      </w:rPr>
    </w:lvl>
    <w:lvl w:ilvl="1" w:tentative="0">
      <w:start w:val="1"/>
      <w:numFmt w:val="decimal"/>
      <w:pStyle w:val="5"/>
      <w:suff w:val="space"/>
      <w:lvlText w:val="%1.%2"/>
      <w:lvlJc w:val="left"/>
      <w:pPr>
        <w:ind w:left="426" w:firstLine="0"/>
      </w:pPr>
      <w:rPr>
        <w:rFonts w:hint="eastAsia" w:ascii="宋体" w:hAnsi="宋体" w:eastAsia="宋体"/>
      </w:rPr>
    </w:lvl>
    <w:lvl w:ilvl="2" w:tentative="0">
      <w:start w:val="1"/>
      <w:numFmt w:val="decimal"/>
      <w:pStyle w:val="6"/>
      <w:suff w:val="space"/>
      <w:lvlText w:val="%1.%2.%3"/>
      <w:lvlJc w:val="left"/>
      <w:pPr>
        <w:ind w:left="0" w:firstLine="0"/>
      </w:pPr>
      <w:rPr>
        <w:rFonts w:hint="eastAsia" w:ascii="宋体" w:hAnsi="宋体" w:eastAsia="宋体"/>
      </w:rPr>
    </w:lvl>
    <w:lvl w:ilvl="3" w:tentative="0">
      <w:start w:val="1"/>
      <w:numFmt w:val="decimal"/>
      <w:lvlText w:val="5.7.%4"/>
      <w:lvlJc w:val="left"/>
      <w:pPr>
        <w:ind w:left="0" w:firstLine="0"/>
      </w:pPr>
      <w:rPr>
        <w:rFonts w:hint="eastAsia" w:ascii="宋体" w:hAnsi="宋体" w:eastAsia="宋体"/>
      </w:rPr>
    </w:lvl>
    <w:lvl w:ilvl="4" w:tentative="0">
      <w:start w:val="1"/>
      <w:numFmt w:val="decimal"/>
      <w:pStyle w:val="8"/>
      <w:suff w:val="space"/>
      <w:lvlText w:val="%1.%2.%3.%4.%5"/>
      <w:lvlJc w:val="left"/>
      <w:pPr>
        <w:ind w:left="0" w:firstLine="0"/>
      </w:pPr>
      <w:rPr>
        <w:rFonts w:hint="eastAsia"/>
      </w:rPr>
    </w:lvl>
    <w:lvl w:ilvl="5" w:tentative="0">
      <w:start w:val="1"/>
      <w:numFmt w:val="decimal"/>
      <w:pStyle w:val="9"/>
      <w:suff w:val="space"/>
      <w:lvlText w:val="%1.%2.%3.%4.%5.%6"/>
      <w:lvlJc w:val="left"/>
      <w:pPr>
        <w:ind w:left="0" w:firstLine="0"/>
      </w:pPr>
      <w:rPr>
        <w:rFonts w:hint="eastAsia"/>
      </w:rPr>
    </w:lvl>
    <w:lvl w:ilvl="6" w:tentative="0">
      <w:start w:val="1"/>
      <w:numFmt w:val="decimal"/>
      <w:pStyle w:val="10"/>
      <w:suff w:val="space"/>
      <w:lvlText w:val="%1.%2.%3.%4.%5.%6.%7"/>
      <w:lvlJc w:val="left"/>
      <w:pPr>
        <w:ind w:left="0" w:firstLine="0"/>
      </w:pPr>
      <w:rPr>
        <w:rFonts w:hint="eastAsia"/>
      </w:rPr>
    </w:lvl>
    <w:lvl w:ilvl="7" w:tentative="0">
      <w:start w:val="1"/>
      <w:numFmt w:val="decimal"/>
      <w:pStyle w:val="11"/>
      <w:suff w:val="space"/>
      <w:lvlText w:val="%1.%2.%3.%4.%5.%6.%7.%8"/>
      <w:lvlJc w:val="left"/>
      <w:pPr>
        <w:ind w:left="0" w:firstLine="0"/>
      </w:pPr>
      <w:rPr>
        <w:rFonts w:hint="eastAsia"/>
      </w:rPr>
    </w:lvl>
    <w:lvl w:ilvl="8" w:tentative="0">
      <w:start w:val="1"/>
      <w:numFmt w:val="decimal"/>
      <w:pStyle w:val="12"/>
      <w:suff w:val="space"/>
      <w:lvlText w:val="%1.%2.%3.%4.%5.%6.%7.%8.%9"/>
      <w:lvlJc w:val="left"/>
      <w:pPr>
        <w:ind w:left="0" w:firstLine="0"/>
      </w:pPr>
      <w:rPr>
        <w:rFonts w:hint="eastAsia"/>
      </w:rPr>
    </w:lvl>
  </w:abstractNum>
  <w:abstractNum w:abstractNumId="1">
    <w:nsid w:val="03D62ECE"/>
    <w:multiLevelType w:val="singleLevel"/>
    <w:tmpl w:val="03D62ECE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64"/>
  <w:displayVerticalDrawingGridEvery w:val="2"/>
  <w:noPunctuationKerning w:val="1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iY2JkMjU3NGYzZTEwMzZmMGFkZWViYmNkYWU3NDIifQ=="/>
  </w:docVars>
  <w:rsids>
    <w:rsidRoot w:val="00000000"/>
    <w:rsid w:val="09182911"/>
    <w:rsid w:val="0C091477"/>
    <w:rsid w:val="27860ED0"/>
    <w:rsid w:val="294E1E8A"/>
    <w:rsid w:val="46924AAE"/>
    <w:rsid w:val="4EB764B6"/>
    <w:rsid w:val="5D140B69"/>
    <w:rsid w:val="63144FD1"/>
    <w:rsid w:val="67A8119A"/>
    <w:rsid w:val="67C576D7"/>
    <w:rsid w:val="6F7833FA"/>
    <w:rsid w:val="75E91064"/>
    <w:rsid w:val="7ABB56CC"/>
    <w:rsid w:val="7E59083F"/>
  </w:rsids>
  <m:mathPr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9" w:semiHidden="0" w:name="heading 6"/>
    <w:lsdException w:qFormat="1" w:unhideWhenUsed="0" w:uiPriority="99" w:semiHidden="0" w:name="heading 7"/>
    <w:lsdException w:qFormat="1" w:unhideWhenUsed="0" w:uiPriority="99" w:semiHidden="0" w:name="heading 8"/>
    <w:lsdException w:qFormat="1" w:unhideWhenUsed="0" w:uiPriority="9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semiHidden="0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qFormat="1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4">
    <w:name w:val="heading 1"/>
    <w:basedOn w:val="1"/>
    <w:next w:val="1"/>
    <w:link w:val="32"/>
    <w:qFormat/>
    <w:uiPriority w:val="0"/>
    <w:pPr>
      <w:numPr>
        <w:ilvl w:val="0"/>
        <w:numId w:val="1"/>
      </w:numPr>
      <w:ind w:firstLineChars="0"/>
      <w:outlineLvl w:val="0"/>
    </w:pPr>
    <w:rPr>
      <w:bCs/>
      <w:kern w:val="24"/>
    </w:rPr>
  </w:style>
  <w:style w:type="paragraph" w:styleId="5">
    <w:name w:val="heading 2"/>
    <w:basedOn w:val="1"/>
    <w:next w:val="2"/>
    <w:link w:val="33"/>
    <w:qFormat/>
    <w:uiPriority w:val="0"/>
    <w:pPr>
      <w:numPr>
        <w:ilvl w:val="1"/>
        <w:numId w:val="1"/>
      </w:numPr>
      <w:ind w:firstLineChars="0"/>
      <w:outlineLvl w:val="1"/>
    </w:pPr>
    <w:rPr>
      <w:bCs/>
    </w:rPr>
  </w:style>
  <w:style w:type="paragraph" w:styleId="6">
    <w:name w:val="heading 3"/>
    <w:basedOn w:val="1"/>
    <w:next w:val="1"/>
    <w:link w:val="34"/>
    <w:qFormat/>
    <w:uiPriority w:val="0"/>
    <w:pPr>
      <w:numPr>
        <w:ilvl w:val="2"/>
        <w:numId w:val="1"/>
      </w:numPr>
      <w:ind w:firstLineChars="0"/>
      <w:outlineLvl w:val="2"/>
    </w:pPr>
    <w:rPr>
      <w:bCs/>
      <w:szCs w:val="32"/>
    </w:rPr>
  </w:style>
  <w:style w:type="paragraph" w:styleId="7">
    <w:name w:val="heading 4"/>
    <w:basedOn w:val="1"/>
    <w:next w:val="1"/>
    <w:link w:val="35"/>
    <w:qFormat/>
    <w:uiPriority w:val="0"/>
    <w:pPr>
      <w:ind w:firstLine="0" w:firstLineChars="0"/>
      <w:outlineLvl w:val="3"/>
    </w:pPr>
    <w:rPr>
      <w:bCs/>
    </w:rPr>
  </w:style>
  <w:style w:type="paragraph" w:styleId="8">
    <w:name w:val="heading 5"/>
    <w:basedOn w:val="1"/>
    <w:next w:val="1"/>
    <w:link w:val="36"/>
    <w:qFormat/>
    <w:uiPriority w:val="0"/>
    <w:pPr>
      <w:numPr>
        <w:ilvl w:val="4"/>
        <w:numId w:val="1"/>
      </w:numPr>
      <w:ind w:firstLineChars="0"/>
      <w:outlineLvl w:val="4"/>
    </w:pPr>
    <w:rPr>
      <w:bCs/>
      <w:szCs w:val="28"/>
    </w:rPr>
  </w:style>
  <w:style w:type="paragraph" w:styleId="9">
    <w:name w:val="heading 6"/>
    <w:basedOn w:val="1"/>
    <w:next w:val="1"/>
    <w:link w:val="37"/>
    <w:qFormat/>
    <w:uiPriority w:val="9"/>
    <w:pPr>
      <w:numPr>
        <w:ilvl w:val="5"/>
        <w:numId w:val="1"/>
      </w:numPr>
      <w:ind w:firstLineChars="0"/>
      <w:outlineLvl w:val="5"/>
    </w:pPr>
    <w:rPr>
      <w:bCs/>
    </w:rPr>
  </w:style>
  <w:style w:type="paragraph" w:styleId="10">
    <w:name w:val="heading 7"/>
    <w:basedOn w:val="1"/>
    <w:next w:val="1"/>
    <w:link w:val="38"/>
    <w:qFormat/>
    <w:uiPriority w:val="99"/>
    <w:pPr>
      <w:numPr>
        <w:ilvl w:val="6"/>
        <w:numId w:val="1"/>
      </w:numPr>
      <w:ind w:firstLineChars="0"/>
      <w:outlineLvl w:val="6"/>
    </w:pPr>
    <w:rPr>
      <w:bCs/>
    </w:rPr>
  </w:style>
  <w:style w:type="paragraph" w:styleId="11">
    <w:name w:val="heading 8"/>
    <w:basedOn w:val="1"/>
    <w:next w:val="1"/>
    <w:link w:val="39"/>
    <w:qFormat/>
    <w:uiPriority w:val="99"/>
    <w:pPr>
      <w:numPr>
        <w:ilvl w:val="7"/>
        <w:numId w:val="1"/>
      </w:numPr>
      <w:ind w:firstLineChars="0"/>
      <w:outlineLvl w:val="7"/>
    </w:pPr>
  </w:style>
  <w:style w:type="paragraph" w:styleId="12">
    <w:name w:val="heading 9"/>
    <w:basedOn w:val="1"/>
    <w:next w:val="1"/>
    <w:link w:val="40"/>
    <w:qFormat/>
    <w:uiPriority w:val="99"/>
    <w:pPr>
      <w:numPr>
        <w:ilvl w:val="8"/>
        <w:numId w:val="1"/>
      </w:numPr>
      <w:ind w:firstLineChars="0"/>
      <w:outlineLvl w:val="8"/>
    </w:pPr>
  </w:style>
  <w:style w:type="character" w:default="1" w:styleId="24">
    <w:name w:val="Default Paragraph Font"/>
    <w:unhideWhenUsed/>
    <w:qFormat/>
    <w:uiPriority w:val="1"/>
  </w:style>
  <w:style w:type="table" w:default="1" w:styleId="22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tabs>
        <w:tab w:val="left" w:pos="0"/>
      </w:tabs>
      <w:spacing w:before="156" w:beforeLines="50" w:after="156" w:afterLines="50"/>
      <w:ind w:firstLine="480"/>
    </w:pPr>
    <w:rPr>
      <w:rFonts w:cs="Latha"/>
      <w:sz w:val="21"/>
    </w:rPr>
  </w:style>
  <w:style w:type="paragraph" w:styleId="3">
    <w:name w:val="Title"/>
    <w:basedOn w:val="1"/>
    <w:next w:val="1"/>
    <w:qFormat/>
    <w:uiPriority w:val="0"/>
    <w:pPr>
      <w:tabs>
        <w:tab w:val="left" w:pos="0"/>
      </w:tabs>
      <w:spacing w:before="240" w:after="60" w:line="60" w:lineRule="auto"/>
      <w:jc w:val="center"/>
      <w:outlineLvl w:val="0"/>
    </w:pPr>
    <w:rPr>
      <w:rFonts w:ascii="华文中宋" w:hAnsi="华文中宋" w:eastAsia="华文中宋"/>
      <w:b/>
      <w:kern w:val="0"/>
      <w:sz w:val="48"/>
      <w:szCs w:val="48"/>
    </w:rPr>
  </w:style>
  <w:style w:type="paragraph" w:styleId="13">
    <w:name w:val="Normal Indent"/>
    <w:basedOn w:val="1"/>
    <w:link w:val="42"/>
    <w:qFormat/>
    <w:uiPriority w:val="0"/>
    <w:rPr>
      <w:szCs w:val="20"/>
      <w:lang w:val="zh-CN"/>
    </w:rPr>
  </w:style>
  <w:style w:type="paragraph" w:styleId="14">
    <w:name w:val="Body Text Indent"/>
    <w:basedOn w:val="1"/>
    <w:link w:val="43"/>
    <w:qFormat/>
    <w:uiPriority w:val="0"/>
    <w:pPr>
      <w:spacing w:after="120"/>
      <w:ind w:left="420" w:leftChars="200"/>
    </w:pPr>
    <w:rPr>
      <w:lang w:val="zh-CN"/>
    </w:rPr>
  </w:style>
  <w:style w:type="paragraph" w:styleId="15">
    <w:name w:val="toc 3"/>
    <w:basedOn w:val="1"/>
    <w:next w:val="1"/>
    <w:unhideWhenUsed/>
    <w:qFormat/>
    <w:uiPriority w:val="39"/>
    <w:pPr>
      <w:ind w:left="840" w:leftChars="400"/>
    </w:pPr>
  </w:style>
  <w:style w:type="paragraph" w:styleId="16">
    <w:name w:val="Balloon Text"/>
    <w:basedOn w:val="1"/>
    <w:link w:val="47"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17">
    <w:name w:val="footer"/>
    <w:basedOn w:val="1"/>
    <w:link w:val="3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8">
    <w:name w:val="header"/>
    <w:basedOn w:val="1"/>
    <w:link w:val="30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9">
    <w:name w:val="toc 1"/>
    <w:basedOn w:val="1"/>
    <w:next w:val="1"/>
    <w:qFormat/>
    <w:uiPriority w:val="39"/>
    <w:pPr>
      <w:tabs>
        <w:tab w:val="right" w:leader="dot" w:pos="8296"/>
      </w:tabs>
      <w:ind w:firstLine="0" w:firstLineChars="0"/>
    </w:pPr>
  </w:style>
  <w:style w:type="paragraph" w:styleId="20">
    <w:name w:val="toc 2"/>
    <w:basedOn w:val="1"/>
    <w:next w:val="1"/>
    <w:qFormat/>
    <w:uiPriority w:val="39"/>
    <w:pPr>
      <w:tabs>
        <w:tab w:val="right" w:leader="dot" w:pos="8296"/>
      </w:tabs>
      <w:ind w:left="425" w:hanging="425" w:firstLineChars="0"/>
    </w:pPr>
  </w:style>
  <w:style w:type="paragraph" w:styleId="21">
    <w:name w:val="HTML Preformatted"/>
    <w:basedOn w:val="1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</w:rPr>
  </w:style>
  <w:style w:type="table" w:styleId="23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25">
    <w:name w:val="page number"/>
    <w:basedOn w:val="24"/>
    <w:unhideWhenUsed/>
    <w:qFormat/>
    <w:uiPriority w:val="99"/>
  </w:style>
  <w:style w:type="character" w:styleId="26">
    <w:name w:val="Hyperlink"/>
    <w:unhideWhenUsed/>
    <w:qFormat/>
    <w:uiPriority w:val="99"/>
    <w:rPr>
      <w:color w:val="0000FF"/>
      <w:u w:val="single"/>
    </w:rPr>
  </w:style>
  <w:style w:type="paragraph" w:customStyle="1" w:styleId="27">
    <w:name w:val="Comment Text"/>
    <w:basedOn w:val="1"/>
    <w:link w:val="45"/>
    <w:unhideWhenUsed/>
    <w:qFormat/>
    <w:uiPriority w:val="99"/>
    <w:pPr>
      <w:jc w:val="left"/>
    </w:pPr>
  </w:style>
  <w:style w:type="paragraph" w:customStyle="1" w:styleId="28">
    <w:name w:val="Comment Subject"/>
    <w:basedOn w:val="27"/>
    <w:next w:val="27"/>
    <w:link w:val="46"/>
    <w:unhideWhenUsed/>
    <w:qFormat/>
    <w:uiPriority w:val="99"/>
    <w:rPr>
      <w:b/>
      <w:bCs/>
    </w:rPr>
  </w:style>
  <w:style w:type="character" w:customStyle="1" w:styleId="29">
    <w:name w:val="Comment Reference"/>
    <w:basedOn w:val="24"/>
    <w:unhideWhenUsed/>
    <w:qFormat/>
    <w:uiPriority w:val="99"/>
    <w:rPr>
      <w:sz w:val="21"/>
      <w:szCs w:val="21"/>
    </w:rPr>
  </w:style>
  <w:style w:type="character" w:customStyle="1" w:styleId="30">
    <w:name w:val="页眉 字符"/>
    <w:basedOn w:val="24"/>
    <w:link w:val="18"/>
    <w:qFormat/>
    <w:uiPriority w:val="0"/>
    <w:rPr>
      <w:sz w:val="18"/>
      <w:szCs w:val="18"/>
    </w:rPr>
  </w:style>
  <w:style w:type="character" w:customStyle="1" w:styleId="31">
    <w:name w:val="页脚 字符"/>
    <w:basedOn w:val="24"/>
    <w:link w:val="17"/>
    <w:qFormat/>
    <w:uiPriority w:val="99"/>
    <w:rPr>
      <w:sz w:val="18"/>
      <w:szCs w:val="18"/>
    </w:rPr>
  </w:style>
  <w:style w:type="character" w:customStyle="1" w:styleId="32">
    <w:name w:val="标题 1 字符"/>
    <w:basedOn w:val="24"/>
    <w:link w:val="4"/>
    <w:qFormat/>
    <w:uiPriority w:val="0"/>
    <w:rPr>
      <w:rFonts w:ascii="Times New Roman" w:hAnsi="Times New Roman" w:eastAsia="宋体" w:cs="Times New Roman"/>
      <w:bCs/>
      <w:kern w:val="24"/>
      <w:sz w:val="24"/>
      <w:szCs w:val="24"/>
    </w:rPr>
  </w:style>
  <w:style w:type="character" w:customStyle="1" w:styleId="33">
    <w:name w:val="标题 2 字符"/>
    <w:basedOn w:val="24"/>
    <w:link w:val="5"/>
    <w:qFormat/>
    <w:uiPriority w:val="9"/>
    <w:rPr>
      <w:rFonts w:ascii="Times New Roman" w:hAnsi="Times New Roman" w:eastAsia="宋体" w:cs="Times New Roman"/>
      <w:bCs/>
      <w:sz w:val="24"/>
      <w:szCs w:val="24"/>
    </w:rPr>
  </w:style>
  <w:style w:type="character" w:customStyle="1" w:styleId="34">
    <w:name w:val="标题 3 字符"/>
    <w:basedOn w:val="24"/>
    <w:link w:val="6"/>
    <w:qFormat/>
    <w:uiPriority w:val="9"/>
    <w:rPr>
      <w:rFonts w:ascii="Times New Roman" w:hAnsi="Times New Roman" w:eastAsia="宋体" w:cs="Times New Roman"/>
      <w:bCs/>
      <w:sz w:val="24"/>
      <w:szCs w:val="32"/>
    </w:rPr>
  </w:style>
  <w:style w:type="character" w:customStyle="1" w:styleId="35">
    <w:name w:val="标题 4 字符"/>
    <w:basedOn w:val="24"/>
    <w:link w:val="7"/>
    <w:qFormat/>
    <w:uiPriority w:val="9"/>
    <w:rPr>
      <w:rFonts w:ascii="Times New Roman" w:hAnsi="Times New Roman" w:eastAsia="宋体" w:cs="Times New Roman"/>
      <w:bCs/>
      <w:sz w:val="24"/>
      <w:szCs w:val="24"/>
    </w:rPr>
  </w:style>
  <w:style w:type="character" w:customStyle="1" w:styleId="36">
    <w:name w:val="标题 5 字符"/>
    <w:basedOn w:val="24"/>
    <w:link w:val="8"/>
    <w:qFormat/>
    <w:uiPriority w:val="9"/>
    <w:rPr>
      <w:rFonts w:ascii="Times New Roman" w:hAnsi="Times New Roman" w:eastAsia="宋体" w:cs="Times New Roman"/>
      <w:bCs/>
      <w:sz w:val="24"/>
      <w:szCs w:val="28"/>
    </w:rPr>
  </w:style>
  <w:style w:type="character" w:customStyle="1" w:styleId="37">
    <w:name w:val="标题 6 字符"/>
    <w:basedOn w:val="24"/>
    <w:link w:val="9"/>
    <w:qFormat/>
    <w:uiPriority w:val="9"/>
    <w:rPr>
      <w:rFonts w:ascii="Times New Roman" w:hAnsi="Times New Roman" w:eastAsia="宋体" w:cs="Times New Roman"/>
      <w:bCs/>
      <w:sz w:val="24"/>
      <w:szCs w:val="24"/>
    </w:rPr>
  </w:style>
  <w:style w:type="character" w:customStyle="1" w:styleId="38">
    <w:name w:val="标题 7 字符"/>
    <w:basedOn w:val="24"/>
    <w:link w:val="10"/>
    <w:qFormat/>
    <w:uiPriority w:val="99"/>
    <w:rPr>
      <w:rFonts w:ascii="Times New Roman" w:hAnsi="Times New Roman" w:eastAsia="宋体" w:cs="Times New Roman"/>
      <w:bCs/>
      <w:sz w:val="24"/>
      <w:szCs w:val="24"/>
    </w:rPr>
  </w:style>
  <w:style w:type="character" w:customStyle="1" w:styleId="39">
    <w:name w:val="标题 8 字符"/>
    <w:basedOn w:val="24"/>
    <w:link w:val="11"/>
    <w:qFormat/>
    <w:uiPriority w:val="99"/>
    <w:rPr>
      <w:rFonts w:ascii="Times New Roman" w:hAnsi="Times New Roman" w:eastAsia="宋体" w:cs="Times New Roman"/>
      <w:sz w:val="24"/>
      <w:szCs w:val="24"/>
    </w:rPr>
  </w:style>
  <w:style w:type="character" w:customStyle="1" w:styleId="40">
    <w:name w:val="标题 9 字符"/>
    <w:basedOn w:val="24"/>
    <w:link w:val="12"/>
    <w:qFormat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41">
    <w:name w:val="封面落款"/>
    <w:basedOn w:val="1"/>
    <w:qFormat/>
    <w:uiPriority w:val="0"/>
    <w:pPr>
      <w:ind w:firstLine="0" w:firstLineChars="0"/>
      <w:jc w:val="center"/>
    </w:pPr>
    <w:rPr>
      <w:rFonts w:eastAsia="黑体"/>
      <w:sz w:val="36"/>
      <w:szCs w:val="20"/>
    </w:rPr>
  </w:style>
  <w:style w:type="character" w:customStyle="1" w:styleId="42">
    <w:name w:val="正文缩进 字符"/>
    <w:link w:val="13"/>
    <w:qFormat/>
    <w:uiPriority w:val="0"/>
    <w:rPr>
      <w:rFonts w:ascii="Times New Roman" w:hAnsi="Times New Roman" w:eastAsia="宋体" w:cs="Times New Roman"/>
      <w:sz w:val="24"/>
      <w:szCs w:val="20"/>
      <w:lang w:val="zh-CN" w:eastAsia="zh-CN"/>
    </w:rPr>
  </w:style>
  <w:style w:type="character" w:customStyle="1" w:styleId="43">
    <w:name w:val="正文文本缩进 字符"/>
    <w:basedOn w:val="24"/>
    <w:link w:val="14"/>
    <w:qFormat/>
    <w:uiPriority w:val="0"/>
    <w:rPr>
      <w:rFonts w:ascii="Times New Roman" w:hAnsi="Times New Roman" w:eastAsia="宋体" w:cs="Times New Roman"/>
      <w:sz w:val="24"/>
      <w:szCs w:val="24"/>
      <w:lang w:val="zh-CN" w:eastAsia="zh-CN"/>
    </w:rPr>
  </w:style>
  <w:style w:type="paragraph" w:customStyle="1" w:styleId="44">
    <w:name w:val="列出段落1"/>
    <w:basedOn w:val="1"/>
    <w:qFormat/>
    <w:uiPriority w:val="34"/>
    <w:pPr>
      <w:ind w:firstLine="420"/>
    </w:pPr>
  </w:style>
  <w:style w:type="character" w:customStyle="1" w:styleId="45">
    <w:name w:val="批注文字 字符"/>
    <w:basedOn w:val="24"/>
    <w:link w:val="27"/>
    <w:semiHidden/>
    <w:qFormat/>
    <w:uiPriority w:val="99"/>
    <w:rPr>
      <w:rFonts w:ascii="Times New Roman" w:hAnsi="Times New Roman" w:eastAsia="宋体" w:cs="Times New Roman"/>
      <w:sz w:val="24"/>
      <w:szCs w:val="24"/>
    </w:rPr>
  </w:style>
  <w:style w:type="character" w:customStyle="1" w:styleId="46">
    <w:name w:val="批注主题 字符"/>
    <w:basedOn w:val="45"/>
    <w:link w:val="28"/>
    <w:semiHidden/>
    <w:qFormat/>
    <w:uiPriority w:val="99"/>
    <w:rPr>
      <w:rFonts w:ascii="Times New Roman" w:hAnsi="Times New Roman" w:eastAsia="宋体" w:cs="Times New Roman"/>
      <w:b/>
      <w:bCs/>
      <w:sz w:val="24"/>
      <w:szCs w:val="24"/>
    </w:rPr>
  </w:style>
  <w:style w:type="character" w:customStyle="1" w:styleId="47">
    <w:name w:val="批注框文本 字符"/>
    <w:basedOn w:val="24"/>
    <w:link w:val="1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48">
    <w:name w:val="List Paragraph"/>
    <w:basedOn w:val="1"/>
    <w:qFormat/>
    <w:uiPriority w:val="99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3" Type="http://schemas.openxmlformats.org/officeDocument/2006/relationships/fontTable" Target="fontTable.xml"/><Relationship Id="rId22" Type="http://schemas.openxmlformats.org/officeDocument/2006/relationships/customXml" Target="../customXml/item5.xml"/><Relationship Id="rId21" Type="http://schemas.openxmlformats.org/officeDocument/2006/relationships/customXml" Target="../customXml/item4.xml"/><Relationship Id="rId20" Type="http://schemas.openxmlformats.org/officeDocument/2006/relationships/customXml" Target="../customXml/item3.xml"/><Relationship Id="rId2" Type="http://schemas.openxmlformats.org/officeDocument/2006/relationships/settings" Target="settings.xml"/><Relationship Id="rId19" Type="http://schemas.openxmlformats.org/officeDocument/2006/relationships/customXml" Target="../customXml/item2.xml"/><Relationship Id="rId18" Type="http://schemas.openxmlformats.org/officeDocument/2006/relationships/numbering" Target="numbering.xml"/><Relationship Id="rId17" Type="http://schemas.openxmlformats.org/officeDocument/2006/relationships/customXml" Target="../customXml/item1.xml"/><Relationship Id="rId16" Type="http://schemas.openxmlformats.org/officeDocument/2006/relationships/image" Target="media/image3.jpeg"/><Relationship Id="rId15" Type="http://schemas.openxmlformats.org/officeDocument/2006/relationships/image" Target="media/image2.png"/><Relationship Id="rId14" Type="http://schemas.openxmlformats.org/officeDocument/2006/relationships/theme" Target="theme/theme1.xml"/><Relationship Id="rId13" Type="http://schemas.openxmlformats.org/officeDocument/2006/relationships/footer" Target="footer4.xml"/><Relationship Id="rId12" Type="http://schemas.openxmlformats.org/officeDocument/2006/relationships/header" Target="header5.xml"/><Relationship Id="rId11" Type="http://schemas.openxmlformats.org/officeDocument/2006/relationships/header" Target="header4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2050"/>
    <customShpInfo spid="_x0000_s2051"/>
    <customShpInfo spid="_x0000_s2052"/>
    <customShpInfo spid="_x0000_s2053"/>
    <customShpInfo spid="_x0000_s2054"/>
    <customShpInfo spid="_x0000_s2055"/>
    <customShpInfo spid="_x0000_s2056"/>
    <customShpInfo spid="_x0000_s2057"/>
    <customShpInfo spid="_x0000_s2058"/>
    <customShpInfo spid="_x0000_s2059"/>
    <customShpInfo spid="_x0000_s2060"/>
    <customShpInfo spid="_x0000_s2061"/>
    <customShpInfo spid="_x0000_s2062"/>
    <customShpInfo spid="_x0000_s2063"/>
    <customShpInfo spid="_x0000_s2064"/>
    <customShpInfo spid="_x0000_s2065"/>
    <customShpInfo spid="_x0000_s206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7EC23ACD928E41A6BE576098265A4E03</vt:lpwstr>
  </property>
</Properties>
</file>

<file path=customXml/item4.xml><?xml version="1.0" encoding="utf-8"?>
<Properties xmlns="http://schemas.openxmlformats.org/officeDocument/2006/extended-properties" xmlns:vt="http://schemas.openxmlformats.org/officeDocument/2006/docPropsVTypes">
  <Template>Normal.dotm</Template>
  <Company>csg</Company>
  <Pages>13</Pages>
  <Words>985</Words>
  <Characters>5618</Characters>
  <Lines>46</Lines>
  <Paragraphs>13</Paragraphs>
  <TotalTime>5</TotalTime>
  <ScaleCrop>false</ScaleCrop>
  <LinksUpToDate>false</LinksUpToDate>
  <CharactersWithSpaces>6590</CharactersWithSpaces>
  <Application>WPS Office_11.8.2.12085_F1E327BC-269C-435d-A152-05C5408002CA</Application>
  <DocSecurity>0</DocSecurity>
</Properties>
</file>

<file path=customXml/item5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2021-11-05T07:21:00Z</dcterms:created>
  <dc:creator>csg</dc:creator>
  <cp:lastModifiedBy>张杰</cp:lastModifiedBy>
  <dcterms:modified xsi:type="dcterms:W3CDTF">2024-04-08T06:29:04Z</dcterms:modified>
  <dc:title>超高压输电公司</dc:title>
  <cp:revision>2</cp:revision>
</cp:core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9B100CB-29F8-41F9-8CC7-6D275191AECA}">
  <ds:schemaRefs/>
</ds:datastoreItem>
</file>

<file path=customXml/itemProps3.xml><?xml version="1.0" encoding="utf-8"?>
<ds:datastoreItem xmlns:ds="http://schemas.openxmlformats.org/officeDocument/2006/customXml" ds:itemID="{b52cb1a8-3221-4683-b06d-b626c2a6c8a8}">
  <ds:schemaRefs/>
</ds:datastoreItem>
</file>

<file path=customXml/itemProps4.xml><?xml version="1.0" encoding="utf-8"?>
<ds:datastoreItem xmlns:ds="http://schemas.openxmlformats.org/officeDocument/2006/customXml" ds:itemID="{6890c423-892d-4eb3-b101-7c3775c36346}">
  <ds:schemaRefs/>
</ds:datastoreItem>
</file>

<file path=customXml/itemProps5.xml><?xml version="1.0" encoding="utf-8"?>
<ds:datastoreItem xmlns:ds="http://schemas.openxmlformats.org/officeDocument/2006/customXml" ds:itemID="{003ecfd9-ea40-4818-a470-14cf48a77b2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csg</Company>
  <Pages>6</Pages>
  <Words>985</Words>
  <Characters>5618</Characters>
  <Lines>46</Lines>
  <Paragraphs>13</Paragraphs>
  <TotalTime>7</TotalTime>
  <ScaleCrop>false</ScaleCrop>
  <LinksUpToDate>false</LinksUpToDate>
  <CharactersWithSpaces>6590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2021-11-05T07:21:00Z</dcterms:created>
  <dc:creator>csg</dc:creator>
  <cp:lastModifiedBy>刘淼</cp:lastModifiedBy>
  <cp:lastPrinted>2025-03-24T08:02:00Z</cp:lastPrinted>
  <dcterms:modified xsi:type="dcterms:W3CDTF">2025-10-30T07:04:13Z</dcterms:modified>
  <dc:title>超高压输电公司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D669AFF5C6B44F7AA576C06456339489</vt:lpwstr>
  </property>
</Properties>
</file>