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黑体" w:hAnsi="宋体" w:eastAsia="黑体"/>
          <w:b/>
          <w:bCs/>
          <w:sz w:val="52"/>
          <w:szCs w:val="52"/>
          <w:highlight w:val="none"/>
          <w:lang w:val="en-US" w:eastAsia="zh-CN"/>
        </w:rPr>
      </w:pPr>
      <w:r>
        <w:rPr>
          <w:rFonts w:ascii="微软雅黑" w:hAnsi="微软雅黑" w:eastAsia="微软雅黑"/>
          <w:b/>
          <w:sz w:val="5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-1304925</wp:posOffset>
            </wp:positionH>
            <wp:positionV relativeFrom="paragraph">
              <wp:posOffset>-914400</wp:posOffset>
            </wp:positionV>
            <wp:extent cx="8086725" cy="2921000"/>
            <wp:effectExtent l="0" t="0" r="9525" b="12700"/>
            <wp:wrapTight wrapText="bothSides">
              <wp:wrapPolygon>
                <wp:start x="0" y="0"/>
                <wp:lineTo x="0" y="21412"/>
                <wp:lineTo x="21575" y="21412"/>
                <wp:lineTo x="21575" y="0"/>
                <wp:lineTo x="0" y="0"/>
              </wp:wrapPolygon>
            </wp:wrapTight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8672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宋体" w:eastAsia="黑体"/>
          <w:b/>
          <w:bCs/>
          <w:sz w:val="52"/>
          <w:szCs w:val="52"/>
          <w:highlight w:val="none"/>
          <w:lang w:eastAsia="zh-CN"/>
        </w:rPr>
        <w:t>202</w:t>
      </w:r>
      <w:r>
        <w:rPr>
          <w:rFonts w:hint="eastAsia" w:ascii="黑体" w:hAnsi="宋体" w:eastAsia="黑体"/>
          <w:b/>
          <w:bCs/>
          <w:sz w:val="52"/>
          <w:szCs w:val="52"/>
          <w:highlight w:val="none"/>
          <w:lang w:val="en-US" w:eastAsia="zh-CN"/>
        </w:rPr>
        <w:t>5</w:t>
      </w:r>
      <w:r>
        <w:rPr>
          <w:rFonts w:hint="eastAsia" w:ascii="黑体" w:hAnsi="宋体" w:eastAsia="黑体"/>
          <w:b/>
          <w:bCs/>
          <w:sz w:val="52"/>
          <w:szCs w:val="52"/>
          <w:highlight w:val="none"/>
          <w:lang w:eastAsia="zh-CN"/>
        </w:rPr>
        <w:t>年南方电网数字电网集团信息通信科技有限公司通信物资采购</w:t>
      </w:r>
      <w:r>
        <w:rPr>
          <w:rFonts w:hint="eastAsia" w:ascii="黑体" w:hAnsi="宋体" w:eastAsia="黑体"/>
          <w:b/>
          <w:bCs/>
          <w:sz w:val="52"/>
          <w:szCs w:val="52"/>
          <w:highlight w:val="none"/>
          <w:lang w:val="en-US" w:eastAsia="zh-CN"/>
        </w:rPr>
        <w:t>项目</w:t>
      </w:r>
    </w:p>
    <w:p>
      <w:pPr>
        <w:widowControl w:val="0"/>
        <w:spacing w:after="0" w:line="360" w:lineRule="auto"/>
        <w:jc w:val="center"/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eastAsia="zh-CN"/>
        </w:rPr>
      </w:pPr>
      <w:r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val="en-US" w:eastAsia="zh-CN"/>
        </w:rPr>
        <w:t>微机综合保护装置采购</w:t>
      </w:r>
      <w:r>
        <w:rPr>
          <w:rFonts w:hint="eastAsia" w:ascii="黑体" w:hAnsi="宋体" w:eastAsia="黑体"/>
          <w:b/>
          <w:bCs/>
          <w:kern w:val="2"/>
          <w:sz w:val="52"/>
          <w:szCs w:val="52"/>
          <w:highlight w:val="none"/>
          <w:lang w:eastAsia="zh-CN"/>
        </w:rPr>
        <w:t>技术规范书</w:t>
      </w:r>
    </w:p>
    <w:p>
      <w:pPr>
        <w:pStyle w:val="6"/>
      </w:pPr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  <w:r>
        <w:rPr>
          <w:rFonts w:hint="eastAsia" w:hAnsi="Times New Roman"/>
          <w:b/>
          <w:sz w:val="36"/>
          <w:szCs w:val="20"/>
          <w:lang w:val="en-US" w:eastAsia="zh-CN"/>
        </w:rPr>
        <w:t xml:space="preserve">  </w:t>
      </w:r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</w:p>
    <w:p>
      <w:pPr>
        <w:spacing w:before="624" w:beforeLines="200" w:line="0" w:lineRule="atLeast"/>
        <w:ind w:firstLine="1807" w:firstLineChars="500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</w:p>
    <w:p>
      <w:pPr>
        <w:spacing w:before="624" w:beforeLines="200" w:line="0" w:lineRule="atLeast"/>
        <w:jc w:val="both"/>
        <w:rPr>
          <w:rFonts w:hint="eastAsia" w:hAnsi="Times New Roman"/>
          <w:b/>
          <w:sz w:val="36"/>
          <w:szCs w:val="20"/>
          <w:lang w:val="en-US" w:eastAsia="zh-CN"/>
        </w:rPr>
      </w:pPr>
      <w:bookmarkStart w:id="11" w:name="_GoBack"/>
      <w:bookmarkEnd w:id="11"/>
    </w:p>
    <w:p>
      <w:pPr>
        <w:ind w:firstLine="1807" w:firstLineChars="500"/>
        <w:jc w:val="both"/>
        <w:outlineLvl w:val="9"/>
        <w:rPr>
          <w:rFonts w:hint="eastAsia" w:ascii="黑体" w:hAnsi="黑体" w:eastAsia="黑体" w:cs="黑体"/>
          <w:b/>
          <w:bCs w:val="0"/>
          <w:kern w:val="0"/>
          <w:sz w:val="36"/>
          <w:szCs w:val="20"/>
          <w:highlight w:val="none"/>
          <w:lang w:val="en-US" w:eastAsia="zh-CN" w:bidi="ar-SA"/>
        </w:rPr>
      </w:pPr>
    </w:p>
    <w:p>
      <w:pPr>
        <w:spacing w:line="360" w:lineRule="auto"/>
        <w:jc w:val="center"/>
        <w:rPr>
          <w:rFonts w:ascii="宋体" w:hAnsi="宋体"/>
          <w:b/>
          <w:sz w:val="36"/>
          <w:szCs w:val="36"/>
          <w:highlight w:val="none"/>
        </w:rPr>
      </w:pPr>
    </w:p>
    <w:p>
      <w:pPr>
        <w:pStyle w:val="6"/>
      </w:pPr>
    </w:p>
    <w:p>
      <w:pPr>
        <w:pStyle w:val="7"/>
      </w:pPr>
    </w:p>
    <w:p/>
    <w:p>
      <w:pPr>
        <w:widowControl w:val="0"/>
        <w:spacing w:after="0" w:line="240" w:lineRule="auto"/>
        <w:jc w:val="center"/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</w:pP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南方电网数字电网集团信息通信科技有限公司</w:t>
      </w:r>
    </w:p>
    <w:p>
      <w:pPr>
        <w:widowControl w:val="0"/>
        <w:spacing w:after="0" w:line="240" w:lineRule="auto"/>
        <w:jc w:val="center"/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</w:pP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202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val="en-US" w:eastAsia="zh-CN"/>
        </w:rPr>
        <w:t>5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年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val="en-US" w:eastAsia="zh-CN"/>
        </w:rPr>
        <w:t>10</w:t>
      </w:r>
      <w:r>
        <w:rPr>
          <w:rFonts w:hint="eastAsia" w:ascii="黑体" w:hAnsi="黑体" w:eastAsia="黑体" w:cs="黑体"/>
          <w:b/>
          <w:kern w:val="2"/>
          <w:sz w:val="36"/>
          <w:szCs w:val="36"/>
          <w:highlight w:val="none"/>
          <w:lang w:eastAsia="zh-CN"/>
        </w:rPr>
        <w:t>月</w:t>
      </w:r>
    </w:p>
    <w:p>
      <w:pPr>
        <w:pStyle w:val="33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pStyle w:val="33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p>
      <w:pPr>
        <w:pStyle w:val="33"/>
        <w:tabs>
          <w:tab w:val="right" w:leader="dot" w:pos="8505"/>
        </w:tabs>
        <w:jc w:val="center"/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</w:pPr>
    </w:p>
    <w:sdt>
      <w:sdtPr>
        <w:rPr>
          <w:rFonts w:ascii="宋体" w:hAnsi="宋体" w:eastAsia="宋体" w:cs="Times New Roman"/>
          <w:kern w:val="2"/>
          <w:sz w:val="21"/>
          <w:szCs w:val="20"/>
          <w:lang w:val="en-US" w:eastAsia="zh-CN" w:bidi="ar-SA"/>
        </w:rPr>
        <w:id w:val="147479948"/>
        <w15:color w:val="DBDBDB"/>
        <w:docPartObj>
          <w:docPartGallery w:val="Table of Contents"/>
          <w:docPartUnique/>
        </w:docPartObj>
      </w:sdtPr>
      <w:sdtEndPr>
        <w:rPr>
          <w:rFonts w:hint="eastAsia" w:ascii="Times New Roman" w:hAnsi="Times New Roman" w:eastAsia="宋体" w:cs="Times New Roman"/>
          <w:b/>
          <w:bCs/>
          <w:kern w:val="44"/>
          <w:sz w:val="44"/>
          <w:szCs w:val="44"/>
          <w:lang w:val="en-US" w:eastAsia="zh-CN" w:bidi="ar-SA"/>
        </w:rPr>
      </w:sdtEndPr>
      <w:sdtContent>
        <w:p>
          <w:pPr>
            <w:pStyle w:val="33"/>
            <w:tabs>
              <w:tab w:val="right" w:leader="dot" w:pos="8505"/>
            </w:tabs>
            <w:jc w:val="center"/>
            <w:rPr>
              <w:rFonts w:hint="eastAsia" w:eastAsia="等线"/>
              <w:b/>
              <w:bCs/>
              <w:sz w:val="32"/>
              <w:szCs w:val="32"/>
              <w:lang w:val="en-US" w:eastAsia="zh-CN"/>
            </w:rPr>
          </w:pPr>
          <w:r>
            <w:rPr>
              <w:rFonts w:hint="eastAsia"/>
              <w:b/>
              <w:bCs/>
              <w:sz w:val="32"/>
              <w:szCs w:val="32"/>
              <w:lang w:val="en-US" w:eastAsia="zh-CN"/>
            </w:rPr>
            <w:t>目录</w:t>
          </w:r>
        </w:p>
        <w:p>
          <w:pPr>
            <w:pStyle w:val="33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TOC \o "1-2" \h \u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_Toc26893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第一章 总则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_Toc26893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3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_Toc9460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范围</w:t>
          </w:r>
          <w:r>
            <w:tab/>
          </w:r>
          <w:r>
            <w:fldChar w:fldCharType="begin"/>
          </w:r>
          <w:r>
            <w:instrText xml:space="preserve"> PAGEREF _Toc9460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3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_Toc5839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二、 </w:t>
          </w:r>
          <w:r>
            <w:rPr>
              <w:rFonts w:hint="eastAsia"/>
            </w:rPr>
            <w:t>引用标准</w:t>
          </w:r>
          <w:r>
            <w:tab/>
          </w:r>
          <w:r>
            <w:fldChar w:fldCharType="begin"/>
          </w:r>
          <w:r>
            <w:instrText xml:space="preserve"> PAGEREF _Toc5839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3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3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_Toc24314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二</w:t>
          </w:r>
          <w:r>
            <w:rPr>
              <w:rFonts w:hint="eastAsia"/>
              <w:b/>
            </w:rPr>
            <w:t>章 微机综合保护装置技术要求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_Toc24314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4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_Toc16882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  <w:lang w:val="en-US" w:eastAsia="zh-CN"/>
            </w:rPr>
            <w:t>CSR010</w:t>
          </w:r>
          <w:r>
            <w:tab/>
          </w:r>
          <w:r>
            <w:fldChar w:fldCharType="begin"/>
          </w:r>
          <w:r>
            <w:instrText xml:space="preserve"> PAGEREF _Toc16882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4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_Toc26771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二、 </w:t>
          </w:r>
          <w:r>
            <w:rPr>
              <w:rFonts w:hint="eastAsia"/>
            </w:rPr>
            <w:t>ST260E</w:t>
          </w:r>
          <w:r>
            <w:tab/>
          </w:r>
          <w:r>
            <w:fldChar w:fldCharType="begin"/>
          </w:r>
          <w:r>
            <w:instrText xml:space="preserve"> PAGEREF _Toc26771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5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_Toc16453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三、 </w:t>
          </w:r>
          <w:r>
            <w:rPr>
              <w:rFonts w:hint="eastAsia"/>
            </w:rPr>
            <w:t>TSP600</w:t>
          </w:r>
          <w:r>
            <w:tab/>
          </w:r>
          <w:r>
            <w:fldChar w:fldCharType="begin"/>
          </w:r>
          <w:r>
            <w:instrText xml:space="preserve"> PAGEREF _Toc16453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6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rFonts w:hint="eastAsia"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_Toc26591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  <w:lang w:eastAsia="zh-CN"/>
            </w:rPr>
            <w:t xml:space="preserve">四、 </w:t>
          </w:r>
          <w:r>
            <w:rPr>
              <w:rFonts w:hint="eastAsia"/>
              <w:lang w:eastAsia="zh-CN"/>
            </w:rPr>
            <w:t>MP180E</w:t>
          </w:r>
          <w:r>
            <w:tab/>
          </w:r>
          <w:r>
            <w:fldChar w:fldCharType="begin"/>
          </w:r>
          <w:r>
            <w:instrText xml:space="preserve"> PAGEREF _Toc26591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7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  <w:rPr>
              <w:rFonts w:hint="eastAsia"/>
            </w:rPr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_Toc28851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  <w:lang w:val="en-US" w:eastAsia="zh-CN"/>
            </w:rPr>
            <w:t xml:space="preserve">五、 </w:t>
          </w:r>
          <w:r>
            <w:rPr>
              <w:rFonts w:hint="eastAsia"/>
              <w:lang w:val="en-US" w:eastAsia="zh-CN"/>
            </w:rPr>
            <w:t>供货期要求</w:t>
          </w:r>
          <w:r>
            <w:tab/>
          </w:r>
          <w:r>
            <w:fldChar w:fldCharType="begin"/>
          </w:r>
          <w:r>
            <w:instrText xml:space="preserve"> PAGEREF _Toc28851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9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_Toc28851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  <w:lang w:val="en-US" w:eastAsia="zh-CN"/>
            </w:rPr>
            <w:t>六</w:t>
          </w:r>
          <w:r>
            <w:rPr>
              <w:rFonts w:hint="default"/>
              <w:lang w:val="en-US" w:eastAsia="zh-CN"/>
            </w:rPr>
            <w:t xml:space="preserve">、 </w:t>
          </w:r>
          <w:r>
            <w:rPr>
              <w:rFonts w:hint="eastAsia"/>
              <w:lang w:val="en-US" w:eastAsia="zh-CN"/>
            </w:rPr>
            <w:t>质保期要求</w:t>
          </w:r>
          <w:r>
            <w:tab/>
          </w:r>
          <w:r>
            <w:fldChar w:fldCharType="begin"/>
          </w:r>
          <w:r>
            <w:instrText xml:space="preserve"> PAGEREF _Toc28851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9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3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_Toc29760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三</w:t>
          </w:r>
          <w:r>
            <w:rPr>
              <w:rFonts w:hint="eastAsia"/>
              <w:b/>
            </w:rPr>
            <w:t>章 检验</w:t>
          </w:r>
          <w:r>
            <w:rPr>
              <w:b/>
            </w:rPr>
            <w:tab/>
          </w:r>
          <w:r>
            <w:rPr>
              <w:rFonts w:hint="eastAsia"/>
              <w:b/>
              <w:lang w:val="en-US" w:eastAsia="zh-CN"/>
            </w:rPr>
            <w:t>..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_Toc29760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10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_Toc30896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微机综合保护装置检验</w:t>
          </w:r>
          <w:r>
            <w:tab/>
          </w:r>
          <w:r>
            <w:fldChar w:fldCharType="begin"/>
          </w:r>
          <w:r>
            <w:instrText xml:space="preserve"> PAGEREF _Toc30896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10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3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_Toc17368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四</w:t>
          </w:r>
          <w:r>
            <w:rPr>
              <w:rFonts w:hint="eastAsia"/>
              <w:b/>
            </w:rPr>
            <w:t>章 验收与运输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_Toc17368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11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_Toc5507 </w:instrText>
          </w:r>
          <w:r>
            <w:rPr>
              <w:rFonts w:hint="eastAsia"/>
            </w:rPr>
            <w:fldChar w:fldCharType="separate"/>
          </w:r>
          <w:r>
            <w:rPr>
              <w:rFonts w:hint="default"/>
            </w:rPr>
            <w:t xml:space="preserve">一、 </w:t>
          </w:r>
          <w:r>
            <w:rPr>
              <w:rFonts w:hint="eastAsia"/>
            </w:rPr>
            <w:t>验收</w:t>
          </w:r>
          <w:r>
            <w:tab/>
          </w:r>
          <w:r>
            <w:fldChar w:fldCharType="begin"/>
          </w:r>
          <w:r>
            <w:instrText xml:space="preserve"> PAGEREF _Toc5507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11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4"/>
            <w:tabs>
              <w:tab w:val="right" w:leader="dot" w:pos="8505"/>
            </w:tabs>
          </w:pPr>
          <w:r>
            <w:rPr>
              <w:rFonts w:hint="eastAsia"/>
            </w:rPr>
            <w:fldChar w:fldCharType="begin"/>
          </w:r>
          <w:r>
            <w:rPr>
              <w:rFonts w:hint="eastAsia"/>
            </w:rPr>
            <w:instrText xml:space="preserve"> HYPERLINK \l _Toc21369 </w:instrText>
          </w:r>
          <w:r>
            <w:rPr>
              <w:rFonts w:hint="eastAsia"/>
            </w:rPr>
            <w:fldChar w:fldCharType="separate"/>
          </w:r>
          <w:r>
            <w:rPr>
              <w:rFonts w:hint="eastAsia"/>
            </w:rPr>
            <w:t>二、</w:t>
          </w:r>
          <w:r>
            <w:rPr>
              <w:rFonts w:hint="eastAsia"/>
              <w:lang w:val="en-US" w:eastAsia="zh-CN"/>
            </w:rPr>
            <w:t xml:space="preserve"> </w:t>
          </w:r>
          <w:r>
            <w:rPr>
              <w:rFonts w:hint="eastAsia"/>
            </w:rPr>
            <w:t>标志、运输</w:t>
          </w:r>
          <w:r>
            <w:tab/>
          </w:r>
          <w:r>
            <w:fldChar w:fldCharType="begin"/>
          </w:r>
          <w:r>
            <w:instrText xml:space="preserve"> PAGEREF _Toc21369 \h </w:instrText>
          </w:r>
          <w:r>
            <w:fldChar w:fldCharType="separate"/>
          </w:r>
          <w:r>
            <w:t xml:space="preserve">- </w:t>
          </w:r>
          <w:r>
            <w:rPr>
              <w:rFonts w:hint="eastAsia"/>
              <w:lang w:val="en-US" w:eastAsia="zh-CN"/>
            </w:rPr>
            <w:t>11</w:t>
          </w:r>
          <w:r>
            <w:t xml:space="preserve"> -</w:t>
          </w:r>
          <w:r>
            <w:fldChar w:fldCharType="end"/>
          </w:r>
          <w:r>
            <w:rPr>
              <w:rFonts w:hint="eastAsia"/>
            </w:rPr>
            <w:fldChar w:fldCharType="end"/>
          </w:r>
        </w:p>
        <w:p>
          <w:pPr>
            <w:pStyle w:val="33"/>
            <w:tabs>
              <w:tab w:val="right" w:leader="dot" w:pos="8505"/>
            </w:tabs>
            <w:rPr>
              <w:b/>
            </w:rPr>
          </w:pPr>
          <w:r>
            <w:rPr>
              <w:rFonts w:hint="eastAsia"/>
              <w:b/>
            </w:rPr>
            <w:fldChar w:fldCharType="begin"/>
          </w:r>
          <w:r>
            <w:rPr>
              <w:rFonts w:hint="eastAsia"/>
              <w:b/>
            </w:rPr>
            <w:instrText xml:space="preserve"> HYPERLINK \l _Toc2661 </w:instrText>
          </w:r>
          <w:r>
            <w:rPr>
              <w:rFonts w:hint="eastAsia"/>
              <w:b/>
            </w:rPr>
            <w:fldChar w:fldCharType="separate"/>
          </w:r>
          <w:r>
            <w:rPr>
              <w:rFonts w:hint="eastAsia"/>
              <w:b/>
            </w:rPr>
            <w:t>第</w:t>
          </w:r>
          <w:r>
            <w:rPr>
              <w:rFonts w:hint="eastAsia"/>
              <w:b/>
              <w:lang w:val="en-US" w:eastAsia="zh-CN"/>
            </w:rPr>
            <w:t>五</w:t>
          </w:r>
          <w:r>
            <w:rPr>
              <w:rFonts w:hint="eastAsia"/>
              <w:b/>
            </w:rPr>
            <w:t>章 售后服务</w:t>
          </w:r>
          <w:r>
            <w:rPr>
              <w:b/>
            </w:rPr>
            <w:tab/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PAGEREF _Toc2661 \h </w:instrText>
          </w:r>
          <w:r>
            <w:rPr>
              <w:b/>
            </w:rPr>
            <w:fldChar w:fldCharType="separate"/>
          </w:r>
          <w:r>
            <w:rPr>
              <w:b/>
            </w:rPr>
            <w:t xml:space="preserve">- </w:t>
          </w:r>
          <w:r>
            <w:rPr>
              <w:rFonts w:hint="eastAsia"/>
              <w:b/>
              <w:lang w:val="en-US" w:eastAsia="zh-CN"/>
            </w:rPr>
            <w:t>11</w:t>
          </w:r>
          <w:r>
            <w:rPr>
              <w:b/>
            </w:rPr>
            <w:t xml:space="preserve"> -</w:t>
          </w:r>
          <w:r>
            <w:rPr>
              <w:b/>
            </w:rPr>
            <w:fldChar w:fldCharType="end"/>
          </w:r>
          <w:r>
            <w:rPr>
              <w:rFonts w:hint="eastAsia"/>
              <w:b/>
            </w:rPr>
            <w:fldChar w:fldCharType="end"/>
          </w:r>
        </w:p>
        <w:p>
          <w:pPr>
            <w:pStyle w:val="2"/>
            <w:bidi w:val="0"/>
            <w:jc w:val="center"/>
            <w:outlineLvl w:val="9"/>
            <w:rPr>
              <w:rFonts w:hint="eastAsia"/>
            </w:rPr>
          </w:pPr>
          <w:r>
            <w:rPr>
              <w:rFonts w:hint="eastAsia"/>
              <w:b/>
            </w:rPr>
            <w:fldChar w:fldCharType="end"/>
          </w:r>
        </w:p>
      </w:sdtContent>
    </w:sdt>
    <w:p>
      <w:pPr>
        <w:rPr>
          <w:rFonts w:hint="eastAsia"/>
        </w:rPr>
      </w:pPr>
      <w:bookmarkStart w:id="0" w:name="_Toc26893"/>
      <w:r>
        <w:rPr>
          <w:rFonts w:hint="eastAsia"/>
        </w:rPr>
        <w:br w:type="page"/>
      </w:r>
    </w:p>
    <w:p>
      <w:pPr>
        <w:pStyle w:val="2"/>
        <w:bidi w:val="0"/>
        <w:jc w:val="center"/>
      </w:pPr>
      <w:r>
        <w:rPr>
          <w:rFonts w:hint="eastAsia"/>
        </w:rPr>
        <w:t>第一章 总则</w:t>
      </w:r>
      <w:bookmarkEnd w:id="0"/>
    </w:p>
    <w:p>
      <w:pPr>
        <w:pStyle w:val="3"/>
        <w:numPr>
          <w:ilvl w:val="0"/>
          <w:numId w:val="2"/>
        </w:numPr>
        <w:bidi w:val="0"/>
      </w:pPr>
      <w:bookmarkStart w:id="1" w:name="_Toc9460"/>
      <w:r>
        <w:rPr>
          <w:rFonts w:hint="eastAsia"/>
        </w:rPr>
        <w:t>范围</w:t>
      </w:r>
      <w:bookmarkEnd w:id="1"/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本规范规定了微机综合保护装置的分类、结构及型号、技术要求、检验与厂验、质量体系、技术文件等工程技术要求，还描述了微机综合保护装置的技术参数要求。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本规范适用于通信工程建设的设计、施工、监理、器材采购、参选文件和验收使用。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本规范适用于室内、外通信光、管道系统，包括长途网、本地网、城域网、驻地网和专用网等建设。</w:t>
      </w:r>
    </w:p>
    <w:p>
      <w:pPr>
        <w:pStyle w:val="3"/>
        <w:numPr>
          <w:ilvl w:val="0"/>
          <w:numId w:val="2"/>
        </w:numPr>
        <w:bidi w:val="0"/>
      </w:pPr>
      <w:bookmarkStart w:id="2" w:name="_Toc5839"/>
      <w:r>
        <w:rPr>
          <w:rFonts w:hint="eastAsia"/>
        </w:rPr>
        <w:t>引用标准</w:t>
      </w:r>
      <w:bookmarkEnd w:id="2"/>
    </w:p>
    <w:p>
      <w:pPr>
        <w:autoSpaceDE w:val="0"/>
        <w:autoSpaceDN w:val="0"/>
        <w:adjustRightInd w:val="0"/>
        <w:spacing w:line="360" w:lineRule="auto"/>
        <w:ind w:firstLine="420" w:firstLineChars="20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下列标准所规定的条文，通过在本规范中引用而构成为本规范的条文。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GB/T15145-2001《微机线路保护装置通用技术条件》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GB6162-85 《静态继电器及保护装置的电气干扰试验》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GB7261-87 《继电器及继电保护装置基本试验方法》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GB2887-89 《计算机站场地技术条件》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14258-93 《继电保护和安全自动化装置技术规程》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50062-92 《电力装置的继电保护和自动化装置设计规范》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DL/T 527-2002 《静态继电保护装置逆变电源技术》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IE870-5-103 《继电保护信息接口标准》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/T15145-94 《微机线路保护装置通用技术条件》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GB/T16435.1-1996《远动设备及系统和接口（电气特征）》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/T17626.2 《静电放电抗扰度试验》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/T17626.3 《射频电磁场辐射抗扰度试验》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GB/T17626.4 《电快速瞬变脉冲群抗扰度试验》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GB/T17626.5 《浪涌冲击抗扰度试验》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/T17626.6 《射频场感应的传导骚扰抗扰度试验》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GB/T17626.8 《工频磁场抗扰度试验》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>GB /T17626-1998《电磁兼容试验和测量技术》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GB/T14537-1993 《量度继电器和保护装置的冲击与碰撞试验》</w:t>
      </w:r>
    </w:p>
    <w:p>
      <w:pPr>
        <w:pStyle w:val="2"/>
        <w:bidi w:val="0"/>
        <w:rPr>
          <w:rFonts w:hint="eastAsia"/>
        </w:rPr>
      </w:pPr>
      <w:bookmarkStart w:id="3" w:name="_Toc24314"/>
      <w:r>
        <w:rPr>
          <w:rFonts w:hint="eastAsia"/>
        </w:rPr>
        <w:t>第</w:t>
      </w:r>
      <w:r>
        <w:rPr>
          <w:rFonts w:hint="eastAsia"/>
          <w:lang w:val="en-US" w:eastAsia="zh-CN"/>
        </w:rPr>
        <w:t>二</w:t>
      </w:r>
      <w:r>
        <w:rPr>
          <w:rFonts w:hint="eastAsia"/>
        </w:rPr>
        <w:t>章 微机综合保护装置技术要求</w:t>
      </w:r>
      <w:bookmarkEnd w:id="3"/>
    </w:p>
    <w:p>
      <w:pPr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一、CSR010技术要求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CSR010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工作环境条件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工作温度 -20°C~70°C存储温度 -40°C~ 85°C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相对湿度：5%~95%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大气压力：70 KPa~110KPa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海拔高度：不大于 3500m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交流电流： 5A/1A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工作频率： 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工作电源： DC48V，±20% 测试用电源自供电，由相电流互感器取电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电流回路 长期运行------2In、10s--------------10In、1s---------------20In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功率消耗：外部电源供电时平均功率不大于 2W自供电时不大于 1VA（装置启动功率不大于 0.2VA）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整定范围：相间电流： 0.10A ~ 99.99A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零序电流：0.01A ~ 5.99A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整定误差：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电流整定值误差： &lt; 3%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零序电流整定值误差： &lt; 0.5%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时间整定值误差： &lt; 40 mS 或 ±1%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反时限时间整定值误差：&lt; 40mS或±2%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开入回路：电压由装置内部提供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开出接点：触电输出点寿命 50000 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 1--RS-232，面板调试通讯接口，为可选配置</w:t>
      </w:r>
    </w:p>
    <w:p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 2--RS-485，背后端子总线接口，为可选配置</w:t>
      </w: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</w:p>
    <w:p>
      <w:pP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二、ST260E技术要求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ST260E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工作环境条件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工作温度 -20°C - 60°C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存储温度 -40°C - 85°C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相对湿度： 5% - 95%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大气压力： 70 KPa - 110KPa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海拔高度： 不大于 3500m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额定数据: 交流电流： 5A/1A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频率： 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装置电源: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辅助电源：48V 220V 可选自供电，由相电流互感器取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电流回路长期运行------2In、10s--------------10In、1s---------------40In 功率消耗：外部电源供电时平均功率不大于 2W自供电时不大于 1VA（装置启动功率不大于0.2VA）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定值最大整定范围：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相间电流 0~100A 级差 0.01A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 0~10A 级差 0.001A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保护动作误差：时间 0~600S 级差 0.01S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电流不超过± 3%或± 0.02In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动作时间：在 1.2 倍定值下所有保护固有动作时间不大于40ms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延时时间：不超过± 1% 或± 40ms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开入回路：电压类型可定制，电流消耗 2mA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开出接点：触点可连续通过 DC220V，5A 电流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通讯接口：以太网（10/100M 自适应）、RS-485，背后端子总线接口。</w:t>
      </w:r>
    </w:p>
    <w:p>
      <w:p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三、TSP600技术要求</w:t>
      </w:r>
    </w:p>
    <w:p>
      <w:pPr>
        <w:pStyle w:val="4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425" w:leftChars="0" w:hanging="425" w:firstLineChars="0"/>
        <w:textAlignment w:val="auto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TSP600</w:t>
      </w: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工作环境条件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工作温度： -20°C~70°C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存储温度： -40°C~ 85°C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相对湿度： 5%~95%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大气压力： 70 KPa~110KPa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海拔高度： 不大于 3500m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pStyle w:val="4"/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left="567" w:leftChars="0" w:hanging="567" w:firstLineChars="0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电气技术参数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额定数据: 交流电流： 5A/1A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工作频率：50Hz/60Hz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工作电源：第一组辅助电源输入范围：DC24V-265V，第二组辅助电源输入范围：DC24V-265V，自供电状态下，由相电流互感器取电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过载能力：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电流回路长期运行------2In、10s--------------10In、1s---------------20In 功率消耗：外部电源供电时平均功率不大于 2W，自供电时不大于 1VA（装置启动功率不大于 0.2VA）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测量范围：相间电流： 0.1~99.99A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零序电流：0.05~99.99A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测量精度：电流： &lt;0.5%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零序电流：&lt;0.2%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保护动作时间： 正常运行下，在 1.2 倍定值下所有保护固有动作时间不大于 40ms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开入回路：装置内部提供 DC24V 电源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开出接点：触电输出点寿命 50000 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通讯接口：通讯接口--RS-485，背后端子总线接口，为可选配置</w:t>
      </w:r>
    </w:p>
    <w:p>
      <w:pP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default" w:ascii="Arial" w:hAnsi="Arial" w:eastAsia="黑体" w:cs="Times New Roman"/>
          <w:b/>
          <w:kern w:val="2"/>
          <w:sz w:val="28"/>
          <w:szCs w:val="20"/>
          <w:lang w:val="en-US" w:eastAsia="zh-CN" w:bidi="ar-SA"/>
        </w:rPr>
      </w:pPr>
      <w:r>
        <w:rPr>
          <w:rFonts w:hint="eastAsia" w:ascii="Arial" w:hAnsi="Arial" w:eastAsia="黑体" w:cs="Times New Roman"/>
          <w:b/>
          <w:kern w:val="2"/>
          <w:sz w:val="28"/>
          <w:szCs w:val="20"/>
          <w:lang w:val="en-US" w:eastAsia="zh-CN" w:bidi="ar-SA"/>
        </w:rPr>
        <w:t>四、MP180E技术要求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textAlignment w:val="auto"/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1"/>
          <w:szCs w:val="21"/>
          <w:lang w:val="en-US" w:eastAsia="zh-CN"/>
        </w:rPr>
        <w:t>4.MP180E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4.1. 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工作环境温度：-20℃∽+50℃，24 小时内平均温度不超过+45℃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工作环境湿度：月平均最大相对湿度为 93%以下，机壳表面无凝露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工作环境： 没有导致金属或绝缘损坏的腐蚀性气体及较严重的尘埃和霉菌，无火灾、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爆炸危险的物质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储存、运输极限环境温度：-25℃∽+75℃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4.2装置电源：20V~265V AC/DC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4.3跳闸电压：48V DC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 xml:space="preserve">4.4额定电流：5A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  <w:t>4.5零序电流：5A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4.6功率消耗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直流回路：不大于 5W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交流电压回路：不大于 0.5VA/相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交流电流回路：不大于 0.5VA/相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4.7工作范围与精度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A、B、C 相保护电流： 0.5A-100A，±3%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A、B、C 相测量电流： 0.05A-6A，±0.5%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4.8输出接点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出口接点容量：16A，250VAC/30VDC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信号接点容量：5A，250VAC/30VDC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工作寿命：动作 100,000 次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4.9绝缘电阻、介质强度和冲击电压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绝缘电阻：≥50MΩ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介质强度：2KV，50HZ，1min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 冲击电压：5KV，(1.2/50)µs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4.10振动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IEC60255-21-1 中 3.2.1、3.2.2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4.11冲击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GB/T14537-1993 中 4.2.1、4.2.2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4.12碰撞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符合 GB/T14537-1993 中 4.3 的有关规定。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4.13抗干扰性能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●辐射电磁场抗扰度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3 级的要求。装置能承受工作频带以外 10V/m 强度的射频辐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射电磁场的骚扰不发生错误动作和损坏，并能正常工作。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●电快速瞬变脉冲群抗扰度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级的要求。装置能承受电源回路 4kV,工频量及信号回路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2kV 传导性电快速瞬变脉冲群的骚扰而不发生错误动作和损坏，并能正常工作。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●振荡波抗扰度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级的要求。在装置的信号输入回路和交流电源回路，施加共模电压 2.5kV、差模电压 1.25kV 的抗震荡波干扰，装置能正常工作。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●浪涌抗扰度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级的要求。装置电源回路施加共摸对地 4kV、差模 2kV 浪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涌干扰电压和 1.2/50μs 波形情况下，装置能正常工作。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●静电放电抗扰度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级的要求。装置承受加在其外壳和人员操作部分上的 8kV直接静电放电以及邻近设备的间接静电放电能正常工作，不发生错误动作和损坏，各项指标正常。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●工频磁场和阻尼振荡磁场抗扰度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4 级的要求。装置在 100A/m 工频磁场和 100A/m 阻尼振荡磁场条件下能正常工作，各项性能指标正常。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●射频传导骚扰抗扰度及射频电磁场辐射抗扰度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装置在正常工作条件下，能承受频率为 150KHz-80MHz、电平为 10V射频传导骚扰，频率为 80MHz-1GHz 及 1.4GHz-2.7GHz、场强为 10V/m 的射频电磁场辐射而不发生错误动作和损坏。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●电压暂降和短时中断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>满足 GB/T15153.1-1998 中 2 级的要求。在无后备电源时，电源电压ΔU 为 100%，电压中断为 50ms 的条件下，装置能正常工作，不发生死机、错误动作或损坏，电源电压恢复后存储数据无变化，工作正常。</w:t>
      </w:r>
    </w:p>
    <w:p>
      <w:pPr>
        <w:pStyle w:val="6"/>
        <w:rPr>
          <w:rFonts w:hint="default"/>
          <w:lang w:val="en-US" w:eastAsia="zh-CN"/>
        </w:rPr>
      </w:pPr>
    </w:p>
    <w:p>
      <w:pPr>
        <w:rPr>
          <w:rFonts w:hint="eastAsia"/>
          <w:lang w:val="en-US" w:eastAsia="zh-CN"/>
        </w:rPr>
      </w:pPr>
      <w:bookmarkStart w:id="4" w:name="_Toc26591"/>
      <w:bookmarkStart w:id="5" w:name="_Toc29760"/>
      <w:r>
        <w:rPr>
          <w:rFonts w:hint="eastAsia"/>
          <w:lang w:val="en-US" w:eastAsia="zh-CN"/>
        </w:rPr>
        <w:br w:type="page"/>
      </w:r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五、</w:t>
      </w:r>
      <w:r>
        <w:rPr>
          <w:rFonts w:hint="eastAsia"/>
          <w:lang w:eastAsia="zh-CN"/>
        </w:rPr>
        <w:t>供货期要求</w:t>
      </w:r>
      <w:bookmarkEnd w:id="4"/>
    </w:p>
    <w:p>
      <w:pPr>
        <w:autoSpaceDE w:val="0"/>
        <w:autoSpaceDN w:val="0"/>
        <w:adjustRightInd w:val="0"/>
        <w:spacing w:line="360" w:lineRule="auto"/>
        <w:ind w:firstLine="420"/>
        <w:jc w:val="left"/>
        <w:rPr>
          <w:rFonts w:hint="eastAsia" w:ascii="宋体" w:hAnsi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 w:val="21"/>
          <w:szCs w:val="21"/>
          <w:lang w:val="en-US" w:eastAsia="zh-CN"/>
        </w:rPr>
        <w:t>本次招标要求正常供货期为7天，应急供货期为3天。</w:t>
      </w:r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</w:pPr>
      <w:bookmarkStart w:id="6" w:name="_Toc28851"/>
    </w:p>
    <w:p>
      <w:pPr>
        <w:pStyle w:val="3"/>
        <w:numPr>
          <w:ilvl w:val="0"/>
          <w:numId w:val="0"/>
        </w:numPr>
        <w:bidi w:val="0"/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六、质保期要求</w:t>
      </w:r>
      <w:bookmarkEnd w:id="6"/>
    </w:p>
    <w:p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ind w:leftChars="0"/>
        <w:jc w:val="left"/>
        <w:rPr>
          <w:rFonts w:hint="eastAsia" w:ascii="宋体" w:hAnsi="宋体"/>
          <w:b w:val="0"/>
          <w:bCs/>
          <w:sz w:val="21"/>
          <w:szCs w:val="21"/>
          <w:lang w:val="en-US" w:eastAsia="zh-CN"/>
        </w:rPr>
      </w:pPr>
      <w:r>
        <w:rPr>
          <w:rFonts w:hint="eastAsia" w:ascii="宋体" w:hAnsi="宋体"/>
          <w:b w:val="0"/>
          <w:bCs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/>
          <w:b w:val="0"/>
          <w:bCs/>
          <w:sz w:val="21"/>
          <w:szCs w:val="21"/>
          <w:highlight w:val="none"/>
          <w:lang w:val="en-US" w:eastAsia="zh-CN"/>
        </w:rPr>
        <w:t xml:space="preserve"> 质保期要求产品到货验收通过后2年。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bidi w:val="0"/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三</w:t>
      </w:r>
      <w:r>
        <w:rPr>
          <w:rFonts w:hint="eastAsia"/>
        </w:rPr>
        <w:t>章 检验</w:t>
      </w:r>
      <w:bookmarkEnd w:id="5"/>
    </w:p>
    <w:p>
      <w:pPr>
        <w:pStyle w:val="3"/>
        <w:numPr>
          <w:ilvl w:val="3"/>
          <w:numId w:val="4"/>
        </w:numPr>
        <w:bidi w:val="0"/>
      </w:pPr>
      <w:r>
        <w:rPr>
          <w:rFonts w:hint="eastAsia"/>
        </w:rPr>
        <w:t>微机综合保护装置</w:t>
      </w:r>
    </w:p>
    <w:p>
      <w:pPr>
        <w:pStyle w:val="26"/>
        <w:numPr>
          <w:ilvl w:val="0"/>
          <w:numId w:val="5"/>
        </w:num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ind w:firstLineChars="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产品需经生产厂</w:t>
      </w:r>
      <w:r>
        <w:rPr>
          <w:rFonts w:hint="eastAsia" w:ascii="宋体" w:hAnsi="宋体"/>
          <w:szCs w:val="44"/>
          <w:lang w:val="en-US" w:eastAsia="zh-CN"/>
        </w:rPr>
        <w:t>家</w:t>
      </w:r>
      <w:r>
        <w:rPr>
          <w:rFonts w:hint="eastAsia" w:ascii="宋体" w:hAnsi="宋体"/>
          <w:szCs w:val="44"/>
        </w:rPr>
        <w:t>质量检验部门检验合格并附有质量合格证方可出厂。</w:t>
      </w:r>
    </w:p>
    <w:p>
      <w:pPr>
        <w:pStyle w:val="26"/>
        <w:numPr>
          <w:ilvl w:val="0"/>
          <w:numId w:val="6"/>
        </w:num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ind w:firstLineChars="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出厂检验</w:t>
      </w:r>
    </w:p>
    <w:p>
      <w:pPr>
        <w:tabs>
          <w:tab w:val="left" w:pos="720"/>
          <w:tab w:val="left" w:pos="2115"/>
        </w:tabs>
        <w:autoSpaceDE w:val="0"/>
        <w:autoSpaceDN w:val="0"/>
        <w:adjustRightInd w:val="0"/>
        <w:spacing w:line="360" w:lineRule="auto"/>
        <w:ind w:firstLine="420" w:firstLineChars="20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1）出厂检验项目</w:t>
      </w:r>
      <w:r>
        <w:rPr>
          <w:rFonts w:hint="eastAsia" w:ascii="宋体" w:hAnsi="宋体"/>
          <w:szCs w:val="21"/>
        </w:rPr>
        <w:t>GB/T15145-2001《微机线路保护装置通用技术条件》</w:t>
      </w:r>
      <w:r>
        <w:rPr>
          <w:rFonts w:hint="eastAsia" w:ascii="宋体" w:hAnsi="宋体"/>
          <w:szCs w:val="44"/>
        </w:rPr>
        <w:t>检验项目规定的试验。</w:t>
      </w:r>
    </w:p>
    <w:p>
      <w:pPr>
        <w:autoSpaceDE w:val="0"/>
        <w:autoSpaceDN w:val="0"/>
        <w:adjustRightInd w:val="0"/>
        <w:spacing w:line="360" w:lineRule="auto"/>
        <w:ind w:firstLine="420" w:firstLineChars="200"/>
        <w:rPr>
          <w:rFonts w:hint="eastAsia" w:ascii="宋体" w:hAnsi="宋体"/>
          <w:szCs w:val="44"/>
          <w:lang w:eastAsia="zh-CN"/>
        </w:rPr>
      </w:pPr>
      <w:r>
        <w:rPr>
          <w:rFonts w:hint="eastAsia" w:ascii="宋体" w:hAnsi="宋体"/>
          <w:szCs w:val="44"/>
        </w:rPr>
        <w:t>2）</w:t>
      </w:r>
      <w:r>
        <w:rPr>
          <w:rFonts w:hint="eastAsia" w:ascii="宋体" w:hAnsi="宋体"/>
          <w:szCs w:val="44"/>
          <w:lang w:val="en-US" w:eastAsia="zh-CN"/>
        </w:rPr>
        <w:t>试验项目</w:t>
      </w:r>
      <w:r>
        <w:rPr>
          <w:rFonts w:hint="eastAsia" w:ascii="宋体" w:hAnsi="宋体"/>
          <w:szCs w:val="44"/>
        </w:rPr>
        <w:t>按</w:t>
      </w:r>
      <w:r>
        <w:rPr>
          <w:rFonts w:hint="eastAsia" w:ascii="宋体" w:hAnsi="宋体"/>
          <w:szCs w:val="44"/>
          <w:lang w:eastAsia="zh-CN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GB7261-87 《继电器及继电保护装置基本试验方法》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/T17626.2 《静电放电抗扰度试验》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/T17626.3 《射频电磁场辐射抗扰度试验》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GB/T17626.4 《电快速瞬变脉冲群抗扰度试验》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GB/T17626.5 《浪涌冲击抗扰度试验》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/T17626.6 《射频场感应的传导骚扰抗扰度试验》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GB/T17626.8 《工频磁场抗扰度试验》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 /T17626-1998《电磁兼容试验和测量技术》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GB/T14537-1993 《量度继电器和保护装置的冲击与碰撞试验》</w:t>
      </w:r>
    </w:p>
    <w:p>
      <w:pPr>
        <w:autoSpaceDE w:val="0"/>
        <w:autoSpaceDN w:val="0"/>
        <w:adjustRightInd w:val="0"/>
        <w:spacing w:line="360" w:lineRule="auto"/>
        <w:ind w:firstLine="539" w:firstLineChars="257"/>
        <w:rPr>
          <w:rFonts w:hint="eastAsia" w:ascii="宋体" w:hAnsi="宋体" w:eastAsia="宋体"/>
          <w:szCs w:val="21"/>
        </w:rPr>
      </w:pPr>
      <w:r>
        <w:rPr>
          <w:rFonts w:hint="eastAsia" w:ascii="宋体" w:hAnsi="宋体" w:eastAsia="宋体"/>
          <w:szCs w:val="21"/>
        </w:rPr>
        <w:t>进行，采用一次正常抽样方案</w:t>
      </w:r>
      <w:r>
        <w:rPr>
          <w:rFonts w:hint="eastAsia" w:ascii="宋体" w:hAnsi="宋体" w:eastAsia="宋体"/>
          <w:szCs w:val="21"/>
          <w:lang w:eastAsia="zh-CN"/>
        </w:rPr>
        <w:t>。</w:t>
      </w:r>
    </w:p>
    <w:p>
      <w:pPr>
        <w:pStyle w:val="2"/>
        <w:bidi w:val="0"/>
        <w:rPr>
          <w:rFonts w:hint="eastAsia"/>
        </w:rPr>
      </w:pPr>
      <w:bookmarkStart w:id="7" w:name="_Toc17368"/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bidi w:val="0"/>
      </w:pPr>
      <w:r>
        <w:rPr>
          <w:rFonts w:hint="eastAsia"/>
        </w:rPr>
        <w:t>第</w:t>
      </w:r>
      <w:r>
        <w:rPr>
          <w:rFonts w:hint="eastAsia"/>
          <w:lang w:val="en-US" w:eastAsia="zh-CN"/>
        </w:rPr>
        <w:t>四</w:t>
      </w:r>
      <w:r>
        <w:rPr>
          <w:rFonts w:hint="eastAsia"/>
        </w:rPr>
        <w:t>章 验收与运输</w:t>
      </w:r>
      <w:bookmarkEnd w:id="7"/>
    </w:p>
    <w:p>
      <w:pPr>
        <w:pStyle w:val="3"/>
        <w:numPr>
          <w:ilvl w:val="0"/>
          <w:numId w:val="7"/>
        </w:numPr>
        <w:bidi w:val="0"/>
      </w:pPr>
      <w:bookmarkStart w:id="8" w:name="_Toc5507"/>
      <w:r>
        <w:rPr>
          <w:rFonts w:hint="eastAsia"/>
        </w:rPr>
        <w:t>验收</w:t>
      </w:r>
      <w:bookmarkEnd w:id="8"/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1. 微机综合保护装置运抵仓库或施工现场后，买方或最终用户进行验收，验收的检测项目将由买方和最终用户在技术规范书中任意选择</w:t>
      </w:r>
      <w:r>
        <w:rPr>
          <w:rFonts w:hint="eastAsia" w:ascii="宋体" w:hAnsi="宋体"/>
          <w:szCs w:val="44"/>
          <w:lang w:eastAsia="zh-CN"/>
        </w:rPr>
        <w:t>，</w:t>
      </w:r>
      <w:r>
        <w:rPr>
          <w:rFonts w:hint="eastAsia" w:ascii="宋体" w:hAnsi="宋体"/>
          <w:szCs w:val="44"/>
          <w:lang w:val="en-US" w:eastAsia="zh-CN"/>
        </w:rPr>
        <w:t>按相关要求</w:t>
      </w:r>
      <w:r>
        <w:rPr>
          <w:rFonts w:hint="eastAsia" w:ascii="宋体" w:hAnsi="宋体"/>
          <w:szCs w:val="44"/>
        </w:rPr>
        <w:t>进行检查，如指标合格、无损坏则由买方、最终用户和供货方签字，但并不免除卖方所交货物质量的责任。</w:t>
      </w:r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3.在上述检测中，若发生任一指标不符合技术规范书要求，卖方应在两个月内更换不合格产品，所有费用由卖方负担。</w:t>
      </w:r>
    </w:p>
    <w:p>
      <w:pPr>
        <w:pStyle w:val="3"/>
        <w:bidi w:val="0"/>
      </w:pPr>
      <w:bookmarkStart w:id="9" w:name="_Toc21369"/>
      <w:r>
        <w:rPr>
          <w:rFonts w:hint="eastAsia"/>
        </w:rPr>
        <w:t>二、标志、运输</w:t>
      </w:r>
      <w:bookmarkEnd w:id="9"/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1.标志</w:t>
      </w:r>
    </w:p>
    <w:p>
      <w:pPr>
        <w:autoSpaceDE w:val="0"/>
        <w:autoSpaceDN w:val="0"/>
        <w:adjustRightInd w:val="0"/>
        <w:spacing w:line="360" w:lineRule="auto"/>
        <w:ind w:left="0" w:leftChars="0" w:firstLine="420" w:firstLineChars="200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产品上应有下列明显标志：产品名称，产品标色</w:t>
      </w:r>
      <w:r>
        <w:rPr>
          <w:rFonts w:ascii="宋体" w:hAnsi="宋体"/>
          <w:szCs w:val="44"/>
        </w:rPr>
        <w:t>(</w:t>
      </w:r>
      <w:r>
        <w:rPr>
          <w:rFonts w:hint="eastAsia" w:ascii="宋体" w:hAnsi="宋体"/>
          <w:szCs w:val="44"/>
        </w:rPr>
        <w:t>记</w:t>
      </w:r>
      <w:r>
        <w:rPr>
          <w:rFonts w:ascii="宋体" w:hAnsi="宋体"/>
          <w:szCs w:val="44"/>
        </w:rPr>
        <w:t>)</w:t>
      </w:r>
      <w:r>
        <w:rPr>
          <w:rFonts w:hint="eastAsia" w:ascii="宋体" w:hAnsi="宋体"/>
          <w:szCs w:val="44"/>
        </w:rPr>
        <w:t>、本标准号，生产厂名(或商标)，</w:t>
      </w:r>
    </w:p>
    <w:p>
      <w:pPr>
        <w:autoSpaceDE w:val="0"/>
        <w:autoSpaceDN w:val="0"/>
        <w:adjustRightInd w:val="0"/>
        <w:spacing w:line="360" w:lineRule="auto"/>
        <w:rPr>
          <w:rFonts w:hint="default" w:ascii="宋体" w:hAnsi="宋体" w:eastAsia="宋体"/>
          <w:szCs w:val="44"/>
          <w:lang w:val="en-US" w:eastAsia="zh-CN"/>
        </w:rPr>
      </w:pPr>
      <w:r>
        <w:rPr>
          <w:rFonts w:hint="eastAsia" w:ascii="宋体" w:hAnsi="宋体"/>
          <w:szCs w:val="44"/>
        </w:rPr>
        <w:t>生产日期。</w:t>
      </w:r>
    </w:p>
    <w:p>
      <w:pPr>
        <w:tabs>
          <w:tab w:val="left" w:pos="576"/>
          <w:tab w:val="left" w:pos="1695"/>
        </w:tabs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2.运输</w:t>
      </w:r>
    </w:p>
    <w:p>
      <w:pPr>
        <w:tabs>
          <w:tab w:val="left" w:pos="900"/>
        </w:tabs>
        <w:autoSpaceDE w:val="0"/>
        <w:autoSpaceDN w:val="0"/>
        <w:adjustRightInd w:val="0"/>
        <w:spacing w:line="360" w:lineRule="auto"/>
        <w:ind w:left="0" w:leftChars="0" w:firstLine="420" w:firstLineChars="200"/>
        <w:rPr>
          <w:rFonts w:ascii="宋体" w:hAnsi="宋体"/>
          <w:szCs w:val="44"/>
          <w:highlight w:val="none"/>
        </w:rPr>
      </w:pPr>
      <w:r>
        <w:rPr>
          <w:rFonts w:hint="eastAsia" w:ascii="宋体" w:hAnsi="宋体"/>
          <w:szCs w:val="44"/>
          <w:highlight w:val="none"/>
        </w:rPr>
        <w:t>产品在装卸运输时，不得受剧烈撞击、抛摔和重压</w:t>
      </w:r>
      <w:r>
        <w:rPr>
          <w:rFonts w:hint="eastAsia" w:ascii="宋体" w:hAnsi="宋体"/>
          <w:szCs w:val="44"/>
          <w:highlight w:val="none"/>
          <w:lang w:eastAsia="zh-CN"/>
        </w:rPr>
        <w:t>，</w:t>
      </w:r>
      <w:r>
        <w:rPr>
          <w:rFonts w:hint="eastAsia" w:ascii="宋体" w:hAnsi="宋体"/>
          <w:szCs w:val="44"/>
          <w:highlight w:val="none"/>
          <w:lang w:val="en-US" w:eastAsia="zh-CN"/>
        </w:rPr>
        <w:t>产品运达买方指定位置后，由卖方负责卸货</w:t>
      </w:r>
      <w:r>
        <w:rPr>
          <w:rFonts w:hint="eastAsia" w:ascii="宋体" w:hAnsi="宋体"/>
          <w:szCs w:val="44"/>
          <w:highlight w:val="none"/>
        </w:rPr>
        <w:t>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</w:p>
    <w:p>
      <w:pPr>
        <w:pStyle w:val="2"/>
        <w:bidi w:val="0"/>
      </w:pPr>
      <w:bookmarkStart w:id="10" w:name="_Toc2661"/>
      <w:r>
        <w:rPr>
          <w:rFonts w:hint="eastAsia"/>
        </w:rPr>
        <w:t>第</w:t>
      </w:r>
      <w:r>
        <w:rPr>
          <w:rFonts w:hint="eastAsia"/>
          <w:lang w:val="en-US" w:eastAsia="zh-CN"/>
        </w:rPr>
        <w:t>五</w:t>
      </w:r>
      <w:r>
        <w:rPr>
          <w:rFonts w:hint="eastAsia"/>
        </w:rPr>
        <w:t>章 售后服务</w:t>
      </w:r>
      <w:bookmarkEnd w:id="10"/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 w:cstheme="minorBidi"/>
          <w:szCs w:val="22"/>
        </w:rPr>
        <w:t>1</w:t>
      </w:r>
      <w:r>
        <w:rPr>
          <w:rFonts w:hint="eastAsia" w:ascii="宋体" w:hAnsi="宋体"/>
          <w:szCs w:val="44"/>
        </w:rPr>
        <w:t>、质保期按产品到货</w:t>
      </w:r>
      <w:r>
        <w:rPr>
          <w:rFonts w:hint="eastAsia" w:ascii="宋体" w:hAnsi="宋体"/>
          <w:szCs w:val="44"/>
          <w:lang w:val="en-US" w:eastAsia="zh-CN"/>
        </w:rPr>
        <w:t>验收通过之日</w:t>
      </w:r>
      <w:r>
        <w:rPr>
          <w:rFonts w:hint="eastAsia" w:ascii="宋体" w:hAnsi="宋体"/>
          <w:szCs w:val="44"/>
        </w:rPr>
        <w:t>算起两年</w:t>
      </w:r>
      <w:r>
        <w:rPr>
          <w:rFonts w:hint="eastAsia" w:ascii="宋体" w:hAnsi="宋体"/>
          <w:szCs w:val="44"/>
          <w:lang w:eastAsia="zh-CN"/>
        </w:rPr>
        <w:t>，</w:t>
      </w:r>
      <w:r>
        <w:rPr>
          <w:rFonts w:hint="eastAsia" w:ascii="宋体" w:hAnsi="宋体"/>
          <w:szCs w:val="44"/>
        </w:rPr>
        <w:t>质保期间，因产品质量问题而发生损坏，或不能正常工作时，投标方应免费为招标方修理或更换产品。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szCs w:val="44"/>
        </w:rPr>
      </w:pPr>
      <w:r>
        <w:rPr>
          <w:rFonts w:hint="eastAsia" w:ascii="宋体" w:hAnsi="宋体"/>
          <w:szCs w:val="44"/>
        </w:rPr>
        <w:t>2、在质保期满后，产品出现问题，投标方仍应配合招标方的完成产品的修理和原因分析；投标方按用户要求及时提供维护中所需的各种修理零配件和备件，投标方不能因为</w:t>
      </w:r>
      <w:r>
        <w:rPr>
          <w:rFonts w:hint="eastAsia" w:ascii="宋体" w:hAnsi="宋体"/>
          <w:szCs w:val="44"/>
          <w:lang w:val="en-US" w:eastAsia="zh-CN"/>
        </w:rPr>
        <w:t>产品</w:t>
      </w:r>
      <w:r>
        <w:rPr>
          <w:rFonts w:hint="eastAsia" w:ascii="宋体" w:hAnsi="宋体"/>
          <w:szCs w:val="44"/>
        </w:rPr>
        <w:t>停产而拒绝提供备品备件。</w:t>
      </w:r>
    </w:p>
    <w:p>
      <w:pPr>
        <w:autoSpaceDE w:val="0"/>
        <w:autoSpaceDN w:val="0"/>
        <w:adjustRightInd w:val="0"/>
        <w:spacing w:line="360" w:lineRule="auto"/>
      </w:pPr>
      <w:r>
        <w:rPr>
          <w:rFonts w:hint="eastAsia" w:ascii="宋体" w:hAnsi="宋体"/>
          <w:szCs w:val="44"/>
        </w:rPr>
        <w:t>3、对于产品一般问题，投标方提供24小时电话热线支持；对于产品重大问题，投标方应提供2 小时内到现场服务。</w:t>
      </w:r>
    </w:p>
    <w:sectPr>
      <w:footerReference r:id="rId3" w:type="default"/>
      <w:footerReference r:id="rId4" w:type="even"/>
      <w:pgSz w:w="11907" w:h="16840"/>
      <w:pgMar w:top="1418" w:right="1701" w:bottom="1418" w:left="1701" w:header="851" w:footer="851" w:gutter="0"/>
      <w:pgNumType w:fmt="numberInDash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47650" cy="131445"/>
              <wp:effectExtent l="0" t="0" r="1270" b="0"/>
              <wp:wrapNone/>
              <wp:docPr id="87" name="文本框 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7650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1"/>
                            <w:rPr>
                              <w:rStyle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18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18"/>
                            </w:rPr>
                            <w:t>- 12 -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0.35pt;width:19.5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V7FI4NAAAAADAQAADwAAAAAAAAABACAAAAAiAAAAZHJz&#10;L2Rvd25yZXYueG1sUEsBAhQAFAAAAAgAh07iQCVfDhwMAgAABAQAAA4AAAAAAAAAAQAgAAAAHwEA&#10;AGRycy9lMm9Eb2MueG1sUEsFBgAAAAAGAAYAWQEAAJ0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rPr>
                        <w:rStyle w:val="18"/>
                      </w:rPr>
                    </w:pPr>
                    <w:r>
                      <w:fldChar w:fldCharType="begin"/>
                    </w:r>
                    <w:r>
                      <w:rPr>
                        <w:rStyle w:val="18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18"/>
                      </w:rPr>
                      <w:t>- 12 -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framePr w:wrap="around" w:vAnchor="text" w:hAnchor="margin" w:xAlign="center" w:y="1"/>
      <w:rPr>
        <w:rStyle w:val="18"/>
      </w:rPr>
    </w:pPr>
    <w:r>
      <w:fldChar w:fldCharType="begin"/>
    </w:r>
    <w:r>
      <w:rPr>
        <w:rStyle w:val="18"/>
      </w:rPr>
      <w:instrText xml:space="preserve">PAGE  </w:instrText>
    </w:r>
    <w:r>
      <w:fldChar w:fldCharType="end"/>
    </w:r>
  </w:p>
  <w:p>
    <w:pPr>
      <w:pStyle w:val="1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31562C"/>
    <w:multiLevelType w:val="multilevel"/>
    <w:tmpl w:val="0531562C"/>
    <w:lvl w:ilvl="0" w:tentative="0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9163503"/>
    <w:multiLevelType w:val="multilevel"/>
    <w:tmpl w:val="09163503"/>
    <w:lvl w:ilvl="0" w:tentative="0">
      <w:start w:val="11"/>
      <w:numFmt w:val="decimal"/>
      <w:lvlText w:val="%1、"/>
      <w:lvlJc w:val="left"/>
      <w:pPr>
        <w:ind w:left="390" w:hanging="390"/>
      </w:pPr>
      <w:rPr>
        <w:rFonts w:hint="default" w:ascii="Times New Roman" w:hAnsi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japaneseCounting"/>
      <w:lvlText w:val="%4、"/>
      <w:lvlJc w:val="left"/>
      <w:pPr>
        <w:ind w:left="720" w:hanging="7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996E0A"/>
    <w:multiLevelType w:val="multilevel"/>
    <w:tmpl w:val="0B996E0A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3">
    <w:nsid w:val="221F2679"/>
    <w:multiLevelType w:val="multilevel"/>
    <w:tmpl w:val="221F267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2D3F81E"/>
    <w:multiLevelType w:val="multilevel"/>
    <w:tmpl w:val="22D3F81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5">
    <w:nsid w:val="74664743"/>
    <w:multiLevelType w:val="multilevel"/>
    <w:tmpl w:val="74664743"/>
    <w:lvl w:ilvl="0" w:tentative="0">
      <w:start w:val="2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3"/>
      <w:numFmt w:val="decimal"/>
      <w:lvlText w:val="%3）"/>
      <w:lvlJc w:val="left"/>
      <w:pPr>
        <w:ind w:left="420" w:hanging="42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7B7F1C64"/>
    <w:multiLevelType w:val="multilevel"/>
    <w:tmpl w:val="7B7F1C64"/>
    <w:lvl w:ilvl="0" w:tentative="0">
      <w:start w:val="1"/>
      <w:numFmt w:val="japaneseCounting"/>
      <w:lvlText w:val="%1、"/>
      <w:lvlJc w:val="left"/>
      <w:pPr>
        <w:ind w:left="510" w:hanging="51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F88"/>
    <w:rsid w:val="00000E0A"/>
    <w:rsid w:val="00002A59"/>
    <w:rsid w:val="000F4963"/>
    <w:rsid w:val="00110E0E"/>
    <w:rsid w:val="0015482E"/>
    <w:rsid w:val="00164814"/>
    <w:rsid w:val="00186ABC"/>
    <w:rsid w:val="001E78E2"/>
    <w:rsid w:val="00217BCC"/>
    <w:rsid w:val="0027203C"/>
    <w:rsid w:val="0029221B"/>
    <w:rsid w:val="00296E6B"/>
    <w:rsid w:val="002E7645"/>
    <w:rsid w:val="002F1875"/>
    <w:rsid w:val="00301781"/>
    <w:rsid w:val="003050DD"/>
    <w:rsid w:val="00342AB2"/>
    <w:rsid w:val="00364D21"/>
    <w:rsid w:val="00382947"/>
    <w:rsid w:val="003E737E"/>
    <w:rsid w:val="003F1F88"/>
    <w:rsid w:val="00470353"/>
    <w:rsid w:val="004933C6"/>
    <w:rsid w:val="004B6E6A"/>
    <w:rsid w:val="004E14B4"/>
    <w:rsid w:val="00592E55"/>
    <w:rsid w:val="00676523"/>
    <w:rsid w:val="006C174E"/>
    <w:rsid w:val="006E2FBD"/>
    <w:rsid w:val="00787698"/>
    <w:rsid w:val="007B6018"/>
    <w:rsid w:val="007C5445"/>
    <w:rsid w:val="007E2746"/>
    <w:rsid w:val="00801772"/>
    <w:rsid w:val="008A514D"/>
    <w:rsid w:val="008A51E9"/>
    <w:rsid w:val="00970A6B"/>
    <w:rsid w:val="009D4B39"/>
    <w:rsid w:val="00A11836"/>
    <w:rsid w:val="00A238AE"/>
    <w:rsid w:val="00A57281"/>
    <w:rsid w:val="00A85E86"/>
    <w:rsid w:val="00B1704F"/>
    <w:rsid w:val="00B845AE"/>
    <w:rsid w:val="00B9735D"/>
    <w:rsid w:val="00BD2BF6"/>
    <w:rsid w:val="00BF723A"/>
    <w:rsid w:val="00C07010"/>
    <w:rsid w:val="00CC09FF"/>
    <w:rsid w:val="00CE2EEE"/>
    <w:rsid w:val="00D529B5"/>
    <w:rsid w:val="00DC3A1D"/>
    <w:rsid w:val="00E04910"/>
    <w:rsid w:val="00E5747D"/>
    <w:rsid w:val="00EB6B9B"/>
    <w:rsid w:val="00ED7F4B"/>
    <w:rsid w:val="00F25539"/>
    <w:rsid w:val="00F72836"/>
    <w:rsid w:val="03A0455D"/>
    <w:rsid w:val="069417FC"/>
    <w:rsid w:val="06BF513A"/>
    <w:rsid w:val="0EF025AF"/>
    <w:rsid w:val="18CA612A"/>
    <w:rsid w:val="1A961B54"/>
    <w:rsid w:val="1F81157D"/>
    <w:rsid w:val="214833BE"/>
    <w:rsid w:val="24DE343F"/>
    <w:rsid w:val="2F933F0A"/>
    <w:rsid w:val="30505406"/>
    <w:rsid w:val="3202110F"/>
    <w:rsid w:val="33F377DB"/>
    <w:rsid w:val="3AAC0C28"/>
    <w:rsid w:val="3D5E2316"/>
    <w:rsid w:val="401E496D"/>
    <w:rsid w:val="437550BC"/>
    <w:rsid w:val="47327934"/>
    <w:rsid w:val="484C5837"/>
    <w:rsid w:val="4FEB7D35"/>
    <w:rsid w:val="51B17512"/>
    <w:rsid w:val="53282859"/>
    <w:rsid w:val="5E967E3E"/>
    <w:rsid w:val="61A70329"/>
    <w:rsid w:val="65020CAF"/>
    <w:rsid w:val="66A84C6B"/>
    <w:rsid w:val="68D31365"/>
    <w:rsid w:val="6BD83FB6"/>
    <w:rsid w:val="6CA87BDC"/>
    <w:rsid w:val="752A11A4"/>
    <w:rsid w:val="76297A8D"/>
    <w:rsid w:val="79C76D1A"/>
    <w:rsid w:val="7CD2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0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0" w:semiHidden="0" w:name="toc 2"/>
    <w:lsdException w:qFormat="1" w:unhideWhenUsed="0" w:uiPriority="0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9"/>
    <w:pPr>
      <w:keepNext/>
      <w:keepLines/>
      <w:spacing w:before="340" w:after="330" w:line="578" w:lineRule="auto"/>
      <w:jc w:val="center"/>
      <w:outlineLvl w:val="0"/>
    </w:pPr>
    <w:rPr>
      <w:rFonts w:ascii="Times New Roman" w:hAnsi="Times New Roman" w:eastAsia="宋体"/>
      <w:b/>
      <w:bCs/>
      <w:kern w:val="44"/>
      <w:sz w:val="32"/>
      <w:szCs w:val="44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黑体"/>
      <w:b/>
      <w:sz w:val="28"/>
    </w:rPr>
  </w:style>
  <w:style w:type="paragraph" w:styleId="4">
    <w:name w:val="heading 3"/>
    <w:basedOn w:val="1"/>
    <w:next w:val="1"/>
    <w:unhideWhenUsed/>
    <w:qFormat/>
    <w:uiPriority w:val="0"/>
    <w:pPr>
      <w:numPr>
        <w:ilvl w:val="2"/>
        <w:numId w:val="1"/>
      </w:numPr>
      <w:spacing w:before="50" w:beforeLines="50" w:after="50" w:afterLines="50"/>
      <w:ind w:left="720" w:hanging="720"/>
      <w:outlineLvl w:val="2"/>
    </w:pPr>
    <w:rPr>
      <w:rFonts w:ascii="Times New Roman" w:hAnsi="Times New Roman" w:eastAsia="宋体" w:cs="Times New Roman"/>
      <w:sz w:val="28"/>
    </w:rPr>
  </w:style>
  <w:style w:type="paragraph" w:styleId="5">
    <w:name w:val="heading 4"/>
    <w:next w:val="1"/>
    <w:link w:val="27"/>
    <w:unhideWhenUsed/>
    <w:qFormat/>
    <w:uiPriority w:val="9"/>
    <w:pPr>
      <w:keepNext/>
      <w:keepLines/>
      <w:spacing w:after="3" w:line="259" w:lineRule="auto"/>
      <w:ind w:left="10" w:right="269" w:hanging="10"/>
      <w:jc w:val="center"/>
      <w:outlineLvl w:val="3"/>
    </w:pPr>
    <w:rPr>
      <w:rFonts w:ascii="微软雅黑" w:hAnsi="微软雅黑" w:eastAsia="微软雅黑" w:cs="微软雅黑"/>
      <w:color w:val="000000"/>
      <w:kern w:val="2"/>
      <w:sz w:val="20"/>
      <w:szCs w:val="22"/>
      <w:lang w:val="en-US" w:eastAsia="zh-CN" w:bidi="ar-SA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7"/>
    <w:next w:val="7"/>
    <w:qFormat/>
    <w:uiPriority w:val="0"/>
    <w:pPr>
      <w:widowControl w:val="0"/>
      <w:adjustRightInd w:val="0"/>
      <w:spacing w:before="156" w:after="0" w:line="312" w:lineRule="atLeast"/>
      <w:jc w:val="both"/>
      <w:textAlignment w:val="baseline"/>
    </w:pPr>
    <w:rPr>
      <w:rFonts w:ascii="宋体" w:hAnsi="Times New Roman"/>
      <w:sz w:val="24"/>
      <w:szCs w:val="20"/>
    </w:rPr>
  </w:style>
  <w:style w:type="paragraph" w:styleId="7">
    <w:name w:val="Title"/>
    <w:basedOn w:val="1"/>
    <w:next w:val="1"/>
    <w:qFormat/>
    <w:uiPriority w:val="0"/>
    <w:pPr>
      <w:widowControl w:val="0"/>
      <w:spacing w:before="240" w:after="60" w:line="240" w:lineRule="auto"/>
      <w:jc w:val="center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8">
    <w:name w:val="toc 3"/>
    <w:basedOn w:val="1"/>
    <w:next w:val="1"/>
    <w:qFormat/>
    <w:uiPriority w:val="0"/>
    <w:pPr>
      <w:ind w:left="840" w:leftChars="40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paragraph" w:styleId="9">
    <w:name w:val="Plain Text"/>
    <w:basedOn w:val="1"/>
    <w:link w:val="24"/>
    <w:qFormat/>
    <w:uiPriority w:val="0"/>
    <w:rPr>
      <w:rFonts w:ascii="Courier New" w:hAnsi="Courier New" w:cstheme="minorBidi"/>
      <w:szCs w:val="22"/>
    </w:rPr>
  </w:style>
  <w:style w:type="paragraph" w:styleId="10">
    <w:name w:val="Balloon Text"/>
    <w:basedOn w:val="1"/>
    <w:link w:val="29"/>
    <w:semiHidden/>
    <w:unhideWhenUsed/>
    <w:qFormat/>
    <w:uiPriority w:val="99"/>
    <w:rPr>
      <w:sz w:val="18"/>
      <w:szCs w:val="18"/>
    </w:rPr>
  </w:style>
  <w:style w:type="paragraph" w:styleId="11">
    <w:name w:val="footer"/>
    <w:basedOn w:val="1"/>
    <w:link w:val="2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uiPriority w:val="39"/>
    <w:pPr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paragraph" w:styleId="14">
    <w:name w:val="toc 2"/>
    <w:basedOn w:val="1"/>
    <w:next w:val="1"/>
    <w:qFormat/>
    <w:uiPriority w:val="0"/>
    <w:pPr>
      <w:ind w:left="420" w:leftChars="20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zh-TW"/>
    </w:rPr>
  </w:style>
  <w:style w:type="table" w:styleId="16">
    <w:name w:val="Table Grid"/>
    <w:basedOn w:val="15"/>
    <w:qFormat/>
    <w:uiPriority w:val="5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page number"/>
    <w:basedOn w:val="17"/>
    <w:qFormat/>
    <w:uiPriority w:val="0"/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页眉 Char1"/>
    <w:basedOn w:val="17"/>
    <w:link w:val="12"/>
    <w:qFormat/>
    <w:uiPriority w:val="99"/>
    <w:rPr>
      <w:sz w:val="18"/>
      <w:szCs w:val="18"/>
    </w:rPr>
  </w:style>
  <w:style w:type="character" w:customStyle="1" w:styleId="21">
    <w:name w:val="页脚 Char1"/>
    <w:basedOn w:val="17"/>
    <w:link w:val="11"/>
    <w:qFormat/>
    <w:uiPriority w:val="99"/>
    <w:rPr>
      <w:sz w:val="18"/>
      <w:szCs w:val="18"/>
    </w:rPr>
  </w:style>
  <w:style w:type="character" w:customStyle="1" w:styleId="22">
    <w:name w:val="页眉 Char"/>
    <w:semiHidden/>
    <w:qFormat/>
    <w:locked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23">
    <w:name w:val="页脚 Char"/>
    <w:semiHidden/>
    <w:qFormat/>
    <w:locked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24">
    <w:name w:val="纯文本 Char"/>
    <w:link w:val="9"/>
    <w:qFormat/>
    <w:uiPriority w:val="0"/>
    <w:rPr>
      <w:rFonts w:ascii="Courier New" w:hAnsi="Courier New" w:eastAsia="宋体"/>
    </w:rPr>
  </w:style>
  <w:style w:type="character" w:customStyle="1" w:styleId="25">
    <w:name w:val="纯文本 字符"/>
    <w:basedOn w:val="17"/>
    <w:semiHidden/>
    <w:qFormat/>
    <w:uiPriority w:val="99"/>
    <w:rPr>
      <w:rFonts w:hAnsi="Courier New" w:cs="Courier New" w:asciiTheme="minorEastAsia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标题 4 Char"/>
    <w:basedOn w:val="17"/>
    <w:link w:val="5"/>
    <w:qFormat/>
    <w:uiPriority w:val="9"/>
    <w:rPr>
      <w:rFonts w:ascii="微软雅黑" w:hAnsi="微软雅黑" w:eastAsia="微软雅黑" w:cs="微软雅黑"/>
      <w:color w:val="000000"/>
      <w:sz w:val="20"/>
    </w:rPr>
  </w:style>
  <w:style w:type="table" w:customStyle="1" w:styleId="28">
    <w:name w:val="TableGrid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9">
    <w:name w:val="批注框文本 Char"/>
    <w:basedOn w:val="17"/>
    <w:link w:val="10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0">
    <w:name w:val="标题 1 Char"/>
    <w:basedOn w:val="17"/>
    <w:link w:val="2"/>
    <w:qFormat/>
    <w:uiPriority w:val="9"/>
    <w:rPr>
      <w:rFonts w:ascii="Times New Roman" w:hAnsi="Times New Roman" w:eastAsia="宋体" w:cs="Times New Roman"/>
      <w:b/>
      <w:bCs/>
      <w:kern w:val="44"/>
      <w:sz w:val="32"/>
      <w:szCs w:val="44"/>
    </w:rPr>
  </w:style>
  <w:style w:type="character" w:customStyle="1" w:styleId="31">
    <w:name w:val="正文文本_"/>
    <w:link w:val="32"/>
    <w:qFormat/>
    <w:uiPriority w:val="0"/>
    <w:rPr>
      <w:rFonts w:ascii="MingLiU" w:hAnsi="MingLiU" w:eastAsia="MingLiU" w:cs="MingLiU"/>
      <w:sz w:val="20"/>
      <w:szCs w:val="20"/>
      <w:shd w:val="clear" w:color="auto" w:fill="FFFFFF"/>
    </w:rPr>
  </w:style>
  <w:style w:type="paragraph" w:customStyle="1" w:styleId="32">
    <w:name w:val="正文文本1"/>
    <w:basedOn w:val="1"/>
    <w:link w:val="31"/>
    <w:qFormat/>
    <w:uiPriority w:val="0"/>
    <w:pPr>
      <w:shd w:val="clear" w:color="auto" w:fill="FFFFFF"/>
      <w:spacing w:before="240" w:line="408" w:lineRule="exact"/>
      <w:ind w:hanging="480"/>
      <w:jc w:val="distribute"/>
    </w:pPr>
    <w:rPr>
      <w:rFonts w:ascii="MingLiU" w:hAnsi="MingLiU" w:eastAsia="MingLiU" w:cs="MingLiU"/>
      <w:sz w:val="20"/>
    </w:rPr>
  </w:style>
  <w:style w:type="paragraph" w:customStyle="1" w:styleId="33">
    <w:name w:val="WPSOffice手动目录 1"/>
    <w:qFormat/>
    <w:uiPriority w:val="0"/>
    <w:pPr>
      <w:ind w:leftChars="0"/>
    </w:pPr>
    <w:rPr>
      <w:rFonts w:asciiTheme="minorHAnsi" w:hAnsiTheme="minorHAnsi" w:eastAsiaTheme="minorEastAsia" w:cstheme="minorBidi"/>
      <w:sz w:val="20"/>
      <w:szCs w:val="20"/>
    </w:rPr>
  </w:style>
  <w:style w:type="paragraph" w:customStyle="1" w:styleId="34">
    <w:name w:val="WPSOffice手动目录 2"/>
    <w:qFormat/>
    <w:uiPriority w:val="0"/>
    <w:pPr>
      <w:ind w:leftChars="200"/>
    </w:pPr>
    <w:rPr>
      <w:rFonts w:asciiTheme="minorHAnsi" w:hAnsiTheme="minorHAnsi" w:eastAsiaTheme="minorEastAsia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D0F378-0F1F-45FA-88DB-D56870FA6E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2993</Words>
  <Characters>3372</Characters>
  <Lines>71</Lines>
  <Paragraphs>20</Paragraphs>
  <TotalTime>1</TotalTime>
  <ScaleCrop>false</ScaleCrop>
  <LinksUpToDate>false</LinksUpToDate>
  <CharactersWithSpaces>3612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2018-01-19T02:54:00Z</dcterms:created>
  <dc:creator>行政部公用2</dc:creator>
  <cp:lastModifiedBy>SuperAdmin</cp:lastModifiedBy>
  <cp:lastPrinted>2025-05-07T03:02:00Z</cp:lastPrinted>
  <dcterms:modified xsi:type="dcterms:W3CDTF">2025-11-05T01:38:32Z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A5DB8F0A7F1E4C02A5D15ED76B5384A9</vt:lpwstr>
  </property>
  <property fmtid="{D5CDD505-2E9C-101B-9397-08002B2CF9AE}" pid="4" name="KSOTemplateDocerSaveRecord">
    <vt:lpwstr>eyJoZGlkIjoiMDIxNDM0NjE3MWY5MTY3ZDY4NTA5YmI5ZWFkM2FkMTQiLCJ1c2VySWQiOiIyNTYzNzQwMDIifQ==</vt:lpwstr>
  </property>
</Properties>
</file>