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附件：南方电网供应链集团有限公司2025年金融经济数据终端采购项目技术要求</w:t>
      </w:r>
    </w:p>
    <w:p>
      <w:pPr>
        <w:rPr>
          <w:rFonts w:hint="eastAsia" w:ascii="仿宋_GB2312" w:hAnsi="仿宋_GB2312" w:eastAsia="仿宋_GB2312" w:cs="仿宋_GB2312"/>
          <w:lang w:val="en-US" w:eastAsia="zh-CN"/>
        </w:rPr>
      </w:pPr>
    </w:p>
    <w:p>
      <w:pPr>
        <w:rPr>
          <w:rFonts w:hint="eastAsia" w:ascii="仿宋_GB2312" w:hAnsi="仿宋_GB2312" w:eastAsia="仿宋_GB2312" w:cs="仿宋_GB2312"/>
          <w:lang w:val="en-US" w:eastAsia="zh-CN"/>
        </w:rPr>
      </w:pPr>
      <w:bookmarkStart w:id="0" w:name="_GoBack"/>
      <w:bookmarkEnd w:id="0"/>
    </w:p>
    <w:p>
      <w:pPr>
        <w:keepNext w:val="0"/>
        <w:keepLines w:val="0"/>
        <w:pageBreakBefore w:val="0"/>
        <w:kinsoku/>
        <w:wordWrap/>
        <w:overflowPunct/>
        <w:topLinePunct w:val="0"/>
        <w:autoSpaceDE/>
        <w:autoSpaceDN/>
        <w:bidi w:val="0"/>
        <w:adjustRightInd/>
        <w:snapToGrid/>
        <w:spacing w:line="480" w:lineRule="exac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支持移动端平台</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bCs/>
          <w:sz w:val="32"/>
          <w:szCs w:val="32"/>
        </w:rPr>
      </w:pPr>
      <w:r>
        <w:rPr>
          <w:rFonts w:hint="eastAsia" w:ascii="仿宋_GB2312" w:hAnsi="仿宋_GB2312" w:eastAsia="仿宋_GB2312" w:cs="仿宋_GB2312"/>
          <w:kern w:val="0"/>
          <w:sz w:val="32"/>
          <w:szCs w:val="32"/>
        </w:rPr>
        <w:t>金融终端软件支持移动端平台（Android、iOS及以上两者系统的平板）。</w:t>
      </w:r>
    </w:p>
    <w:p>
      <w:pPr>
        <w:keepNext w:val="0"/>
        <w:keepLines w:val="0"/>
        <w:pageBreakBefore w:val="0"/>
        <w:numPr>
          <w:ilvl w:val="0"/>
          <w:numId w:val="1"/>
        </w:numPr>
        <w:kinsoku/>
        <w:wordWrap/>
        <w:overflowPunct/>
        <w:topLinePunct w:val="0"/>
        <w:autoSpaceDE/>
        <w:autoSpaceDN/>
        <w:bidi w:val="0"/>
        <w:adjustRightInd/>
        <w:snapToGrid/>
        <w:spacing w:line="480" w:lineRule="exact"/>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股票数据</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金融终端软件提供的股票数据需覆盖国内外主要交易所上市股票，内容包括实时行情、历史行情、基本资料、公司财务数据、公司事件、财经资讯等内容，需要具备行情图表工具、各类专题统计等功能。</w:t>
      </w:r>
    </w:p>
    <w:p>
      <w:pPr>
        <w:keepNext w:val="0"/>
        <w:keepLines w:val="0"/>
        <w:pageBreakBefore w:val="0"/>
        <w:numPr>
          <w:ilvl w:val="0"/>
          <w:numId w:val="1"/>
        </w:numPr>
        <w:kinsoku/>
        <w:wordWrap/>
        <w:overflowPunct/>
        <w:topLinePunct w:val="0"/>
        <w:autoSpaceDE/>
        <w:autoSpaceDN/>
        <w:bidi w:val="0"/>
        <w:adjustRightInd/>
        <w:snapToGrid/>
        <w:spacing w:line="480" w:lineRule="exact"/>
        <w:ind w:left="0" w:leftChars="0" w:firstLine="0" w:firstLineChars="0"/>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债券数据</w:t>
      </w:r>
    </w:p>
    <w:p>
      <w:pPr>
        <w:keepNext w:val="0"/>
        <w:keepLines w:val="0"/>
        <w:pageBreakBefore w:val="0"/>
        <w:widowControl/>
        <w:numPr>
          <w:ilvl w:val="0"/>
          <w:numId w:val="2"/>
        </w:numPr>
        <w:kinsoku/>
        <w:wordWrap/>
        <w:overflowPunct/>
        <w:topLinePunct w:val="0"/>
        <w:autoSpaceDE/>
        <w:autoSpaceDN/>
        <w:bidi w:val="0"/>
        <w:adjustRightInd/>
        <w:snapToGrid/>
        <w:spacing w:line="480" w:lineRule="exac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金融终端软件提供的债券信息需涵盖国内公开发行的债券、私募债、资产证券化ABS、ABN产品和中资海外债，数据包括多来源债券市场行情数据、债券发行条款、发债主体背景资料、财务数据、债券公告、信用评级、第三方债券估值等。</w:t>
      </w:r>
    </w:p>
    <w:p>
      <w:pPr>
        <w:keepNext w:val="0"/>
        <w:keepLines w:val="0"/>
        <w:pageBreakBefore w:val="0"/>
        <w:widowControl/>
        <w:numPr>
          <w:ilvl w:val="0"/>
          <w:numId w:val="2"/>
        </w:numPr>
        <w:kinsoku/>
        <w:wordWrap/>
        <w:overflowPunct/>
        <w:topLinePunct w:val="0"/>
        <w:autoSpaceDE/>
        <w:autoSpaceDN/>
        <w:bidi w:val="0"/>
        <w:adjustRightInd/>
        <w:snapToGrid/>
        <w:spacing w:line="480" w:lineRule="exact"/>
        <w:ind w:left="0" w:leftChars="0" w:firstLine="0" w:firstLineChars="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债券市场行情数据包括：国内货币经纪商报价、CFETS报价、X-BOND报价、机构报价和证券交易所行情（行情界面包括竞价系统、上证固收平台行情与交易所做市行情），债券实时成交统计，票据行情报价，债券收益计算器、收益率曲线、利差曲线、行情图表工具、各类专题统计等功能。</w:t>
      </w:r>
    </w:p>
    <w:p>
      <w:pPr>
        <w:keepNext w:val="0"/>
        <w:keepLines w:val="0"/>
        <w:pageBreakBefore w:val="0"/>
        <w:widowControl/>
        <w:numPr>
          <w:ilvl w:val="0"/>
          <w:numId w:val="2"/>
        </w:numPr>
        <w:kinsoku/>
        <w:wordWrap/>
        <w:overflowPunct/>
        <w:topLinePunct w:val="0"/>
        <w:autoSpaceDE/>
        <w:autoSpaceDN/>
        <w:bidi w:val="0"/>
        <w:adjustRightInd/>
        <w:snapToGrid/>
        <w:spacing w:line="480" w:lineRule="exact"/>
        <w:ind w:left="0" w:leftChars="0" w:firstLine="0" w:firstLineChars="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提供中资海外债信息及香港做市商报价信息。</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能提供富时债券指数和iBoxx债券指数信息最佳。</w:t>
      </w:r>
    </w:p>
    <w:p>
      <w:pPr>
        <w:keepNext w:val="0"/>
        <w:keepLines w:val="0"/>
        <w:pageBreakBefore w:val="0"/>
        <w:widowControl/>
        <w:numPr>
          <w:ilvl w:val="0"/>
          <w:numId w:val="1"/>
        </w:numPr>
        <w:kinsoku/>
        <w:wordWrap/>
        <w:overflowPunct/>
        <w:topLinePunct w:val="0"/>
        <w:autoSpaceDE/>
        <w:autoSpaceDN/>
        <w:bidi w:val="0"/>
        <w:adjustRightInd/>
        <w:snapToGrid/>
        <w:spacing w:line="480" w:lineRule="exact"/>
        <w:ind w:left="0" w:leftChars="0" w:firstLine="0" w:firstLineChars="0"/>
        <w:textAlignment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基金数据</w:t>
      </w:r>
    </w:p>
    <w:p>
      <w:pPr>
        <w:keepNext w:val="0"/>
        <w:keepLines w:val="0"/>
        <w:pageBreakBefore w:val="0"/>
        <w:widowControl/>
        <w:numPr>
          <w:ilvl w:val="0"/>
          <w:numId w:val="3"/>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金融终端软件提供的基金信息需涵盖公募基金、私募基金、券商资管产品、信托等各类产品，数据包含交易行情、净值、份额、分红、资产配置、投资组合分析等。</w:t>
      </w:r>
    </w:p>
    <w:p>
      <w:pPr>
        <w:keepNext w:val="0"/>
        <w:keepLines w:val="0"/>
        <w:pageBreakBefore w:val="0"/>
        <w:widowControl/>
        <w:numPr>
          <w:ilvl w:val="0"/>
          <w:numId w:val="3"/>
        </w:numPr>
        <w:kinsoku/>
        <w:wordWrap/>
        <w:overflowPunct/>
        <w:topLinePunct w:val="0"/>
        <w:autoSpaceDE/>
        <w:autoSpaceDN/>
        <w:bidi w:val="0"/>
        <w:adjustRightInd/>
        <w:snapToGrid/>
        <w:spacing w:line="480" w:lineRule="exact"/>
        <w:ind w:left="0" w:leftChars="0" w:firstLine="0" w:firstLineChars="0"/>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提供多维度的基金业绩评价功能，涵盖收益排名、绝对收益、风险调整收益等指标。</w:t>
      </w:r>
    </w:p>
    <w:p>
      <w:pPr>
        <w:keepNext w:val="0"/>
        <w:keepLines w:val="0"/>
        <w:pageBreakBefore w:val="0"/>
        <w:widowControl/>
        <w:numPr>
          <w:ilvl w:val="0"/>
          <w:numId w:val="3"/>
        </w:numPr>
        <w:kinsoku/>
        <w:wordWrap/>
        <w:overflowPunct/>
        <w:topLinePunct w:val="0"/>
        <w:autoSpaceDE/>
        <w:autoSpaceDN/>
        <w:bidi w:val="0"/>
        <w:adjustRightInd/>
        <w:snapToGrid/>
        <w:spacing w:line="480" w:lineRule="exact"/>
        <w:ind w:left="0" w:leftChars="0" w:firstLine="0" w:firstLineChars="0"/>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提供基金筛选、基金比较、基金经理比较、基金公司比较、基金基础数据库等功能。</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4）</w:t>
      </w:r>
      <w:r>
        <w:rPr>
          <w:rFonts w:hint="eastAsia" w:ascii="仿宋_GB2312" w:hAnsi="仿宋_GB2312" w:eastAsia="仿宋_GB2312" w:cs="仿宋_GB2312"/>
          <w:kern w:val="0"/>
          <w:sz w:val="32"/>
          <w:szCs w:val="32"/>
        </w:rPr>
        <w:t>提供智能化基金筛选功能与ETF投资策略分析功能。</w:t>
      </w:r>
    </w:p>
    <w:p>
      <w:pPr>
        <w:keepNext w:val="0"/>
        <w:keepLines w:val="0"/>
        <w:pageBreakBefore w:val="0"/>
        <w:widowControl/>
        <w:numPr>
          <w:ilvl w:val="0"/>
          <w:numId w:val="1"/>
        </w:numPr>
        <w:kinsoku/>
        <w:wordWrap/>
        <w:overflowPunct/>
        <w:topLinePunct w:val="0"/>
        <w:autoSpaceDE/>
        <w:autoSpaceDN/>
        <w:bidi w:val="0"/>
        <w:adjustRightInd/>
        <w:snapToGrid/>
        <w:spacing w:line="480" w:lineRule="exact"/>
        <w:ind w:left="0" w:leftChars="0" w:firstLine="0" w:firstLineChars="0"/>
        <w:textAlignment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lang w:val="en-US" w:eastAsia="zh-CN"/>
        </w:rPr>
        <w:t>期货</w:t>
      </w:r>
      <w:r>
        <w:rPr>
          <w:rFonts w:hint="eastAsia" w:ascii="仿宋_GB2312" w:hAnsi="仿宋_GB2312" w:eastAsia="仿宋_GB2312" w:cs="仿宋_GB2312"/>
          <w:b/>
          <w:bCs/>
          <w:kern w:val="0"/>
          <w:sz w:val="32"/>
          <w:szCs w:val="32"/>
        </w:rPr>
        <w:t>数据</w:t>
      </w:r>
    </w:p>
    <w:p>
      <w:pPr>
        <w:keepNext w:val="0"/>
        <w:keepLines w:val="0"/>
        <w:pageBreakBefore w:val="0"/>
        <w:widowControl/>
        <w:numPr>
          <w:ilvl w:val="0"/>
          <w:numId w:val="4"/>
        </w:numPr>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金融终端软件提供的商品数据服务需覆盖国内外主要期货交易所的实时行情及日行情数据，包括能源化工、金属、农产品、金融等品种，期货品种数量不低于50个。数据来源需涵盖内地5家期货交易所、上期国际能源交易中心及海外主要期货交易所（如CME、ICE、LME等）。</w:t>
      </w:r>
    </w:p>
    <w:p>
      <w:pPr>
        <w:keepNext w:val="0"/>
        <w:keepLines w:val="0"/>
        <w:pageBreakBefore w:val="0"/>
        <w:widowControl/>
        <w:numPr>
          <w:numId w:val="0"/>
        </w:numPr>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提供期货合约套利分析及板块追逐功能。</w:t>
      </w:r>
    </w:p>
    <w:p>
      <w:pPr>
        <w:keepNext w:val="0"/>
        <w:keepLines w:val="0"/>
        <w:pageBreakBefore w:val="0"/>
        <w:widowControl/>
        <w:numPr>
          <w:ilvl w:val="0"/>
          <w:numId w:val="1"/>
        </w:numPr>
        <w:kinsoku/>
        <w:wordWrap/>
        <w:overflowPunct/>
        <w:topLinePunct w:val="0"/>
        <w:autoSpaceDE/>
        <w:autoSpaceDN/>
        <w:bidi w:val="0"/>
        <w:adjustRightInd/>
        <w:snapToGrid/>
        <w:spacing w:line="480" w:lineRule="exact"/>
        <w:ind w:left="0" w:leftChars="0" w:firstLine="0" w:firstLineChars="0"/>
        <w:textAlignment w:val="center"/>
        <w:rPr>
          <w:rFonts w:hint="eastAsia" w:ascii="仿宋_GB2312" w:hAnsi="仿宋_GB2312" w:eastAsia="仿宋_GB2312" w:cs="仿宋_GB2312"/>
          <w:b/>
          <w:bCs/>
          <w:kern w:val="0"/>
          <w:sz w:val="32"/>
          <w:szCs w:val="32"/>
          <w:lang w:val="en-US" w:eastAsia="zh-CN"/>
        </w:rPr>
      </w:pPr>
      <w:r>
        <w:rPr>
          <w:rFonts w:hint="eastAsia" w:ascii="仿宋_GB2312" w:hAnsi="仿宋_GB2312" w:eastAsia="仿宋_GB2312" w:cs="仿宋_GB2312"/>
          <w:b/>
          <w:bCs/>
          <w:kern w:val="0"/>
          <w:sz w:val="32"/>
          <w:szCs w:val="32"/>
          <w:lang w:val="en-US" w:eastAsia="zh-CN"/>
        </w:rPr>
        <w:t>外汇数据</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金融终端软件需提供全面的外汇数据服务，包括CFETS人民币汇率（即期、掉期、远期等实时行情、收盘价）、离岸人民币汇率（即期、掉期、远期等实时行情、收盘价）、无本金交割远期NDF、外汇期货、期权、CNH HIBOR定盘价、国际交叉汇率等。</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2</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拥有全球经济日历以及外汇日历综合查询功能。</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3</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拥有外汇价差分析功能。</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4</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具外汇牌价查询功能，并可查看历史行情，提供的外汇牌价家数越多越佳。</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5</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外汇计算器功能，包括远期汇率计算器以及利率平价计算器等，简化计算外汇交易收益情况。</w:t>
      </w:r>
    </w:p>
    <w:p>
      <w:pPr>
        <w:keepNext w:val="0"/>
        <w:keepLines w:val="0"/>
        <w:pageBreakBefore w:val="0"/>
        <w:widowControl/>
        <w:numPr>
          <w:numId w:val="0"/>
        </w:numPr>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lang w:val="en-US" w:eastAsia="zh-CN"/>
        </w:rPr>
        <w:t>7.</w:t>
      </w:r>
      <w:r>
        <w:rPr>
          <w:rFonts w:hint="eastAsia" w:ascii="仿宋_GB2312" w:hAnsi="仿宋_GB2312" w:eastAsia="仿宋_GB2312" w:cs="仿宋_GB2312"/>
          <w:b/>
          <w:bCs/>
          <w:kern w:val="0"/>
          <w:sz w:val="32"/>
          <w:szCs w:val="32"/>
        </w:rPr>
        <w:t>企业数据库</w:t>
      </w:r>
    </w:p>
    <w:p>
      <w:pPr>
        <w:keepNext w:val="0"/>
        <w:keepLines w:val="0"/>
        <w:pageBreakBefore w:val="0"/>
        <w:widowControl/>
        <w:numPr>
          <w:ilvl w:val="0"/>
          <w:numId w:val="0"/>
        </w:numPr>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金融终端软件需有企业信息库模块，覆盖国内外公司主体，其中包含国内上市与非上市公司、政府机关及事业单位、个体工商户等。企业图谱可拓展受益人、股权结构、疑似关系、融资图谱、关联方等。</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lang w:val="en-US" w:eastAsia="zh-CN"/>
        </w:rPr>
        <w:t>8.</w:t>
      </w:r>
      <w:r>
        <w:rPr>
          <w:rFonts w:hint="eastAsia" w:ascii="仿宋_GB2312" w:hAnsi="仿宋_GB2312" w:eastAsia="仿宋_GB2312" w:cs="仿宋_GB2312"/>
          <w:b/>
          <w:bCs/>
          <w:kern w:val="0"/>
          <w:sz w:val="32"/>
          <w:szCs w:val="32"/>
        </w:rPr>
        <w:t>新闻资讯</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金融终端软件需提供实时资讯、每日简报、负面资讯、公司公告、法律法规等，并提供高度自定义化的资讯订阅功能</w:t>
      </w:r>
      <w:r>
        <w:rPr>
          <w:rFonts w:hint="eastAsia" w:ascii="仿宋_GB2312" w:hAnsi="仿宋_GB2312" w:eastAsia="仿宋_GB2312" w:cs="仿宋_GB2312"/>
          <w:kern w:val="0"/>
          <w:sz w:val="32"/>
          <w:szCs w:val="32"/>
          <w:lang w:eastAsia="zh-CN"/>
        </w:rPr>
        <w:t>。</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rPr>
        <w:t>7×24×365滚动资讯，实时跟踪主流财经媒体、行业网站、上市公司网站的资讯发布</w:t>
      </w:r>
      <w:r>
        <w:rPr>
          <w:rFonts w:hint="eastAsia" w:ascii="仿宋_GB2312" w:hAnsi="仿宋_GB2312" w:eastAsia="仿宋_GB2312" w:cs="仿宋_GB2312"/>
          <w:kern w:val="0"/>
          <w:sz w:val="32"/>
          <w:szCs w:val="32"/>
          <w:lang w:eastAsia="zh-CN"/>
        </w:rPr>
        <w:t>。</w:t>
      </w:r>
    </w:p>
    <w:p>
      <w:pPr>
        <w:keepNext w:val="0"/>
        <w:keepLines w:val="0"/>
        <w:pageBreakBefore w:val="0"/>
        <w:widowControl/>
        <w:numPr>
          <w:ilvl w:val="0"/>
          <w:numId w:val="4"/>
        </w:numPr>
        <w:kinsoku/>
        <w:wordWrap/>
        <w:overflowPunct/>
        <w:topLinePunct w:val="0"/>
        <w:autoSpaceDE/>
        <w:autoSpaceDN/>
        <w:bidi w:val="0"/>
        <w:adjustRightInd/>
        <w:snapToGrid/>
        <w:spacing w:line="480" w:lineRule="exact"/>
        <w:ind w:left="0" w:leftChars="0" w:firstLine="0" w:firstLineChars="0"/>
        <w:textAlignment w:val="center"/>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rPr>
        <w:t>终端具备音视频会议、线上路演和AI会议总结功能</w:t>
      </w:r>
      <w:r>
        <w:rPr>
          <w:rFonts w:hint="eastAsia" w:ascii="仿宋_GB2312" w:hAnsi="仿宋_GB2312" w:eastAsia="仿宋_GB2312" w:cs="仿宋_GB2312"/>
          <w:kern w:val="0"/>
          <w:sz w:val="32"/>
          <w:szCs w:val="32"/>
          <w:lang w:eastAsia="zh-CN"/>
        </w:rPr>
        <w:t>。</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b/>
          <w:bCs/>
          <w:kern w:val="0"/>
          <w:sz w:val="32"/>
          <w:szCs w:val="32"/>
          <w:lang w:val="en-US" w:eastAsia="zh-CN"/>
        </w:rPr>
      </w:pPr>
      <w:r>
        <w:rPr>
          <w:rFonts w:hint="eastAsia" w:ascii="仿宋_GB2312" w:hAnsi="仿宋_GB2312" w:eastAsia="仿宋_GB2312" w:cs="仿宋_GB2312"/>
          <w:b/>
          <w:bCs/>
          <w:kern w:val="0"/>
          <w:sz w:val="32"/>
          <w:szCs w:val="32"/>
          <w:lang w:val="en-US" w:eastAsia="zh-CN"/>
        </w:rPr>
        <w:t>9.</w:t>
      </w:r>
      <w:r>
        <w:rPr>
          <w:rFonts w:hint="eastAsia" w:ascii="仿宋_GB2312" w:hAnsi="仿宋_GB2312" w:eastAsia="仿宋_GB2312" w:cs="仿宋_GB2312"/>
          <w:b/>
          <w:bCs/>
          <w:kern w:val="0"/>
          <w:sz w:val="32"/>
          <w:szCs w:val="32"/>
        </w:rPr>
        <w:t>风控</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金融终端软件需有风险指标信息模块，提供包括市场事件监控、企业负面资讯等公司风险相关信息，企业风险概览、舆情风险、司法风险、违规处罚、高管风险等。</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10.</w:t>
      </w:r>
      <w:r>
        <w:rPr>
          <w:rFonts w:hint="eastAsia" w:ascii="仿宋_GB2312" w:hAnsi="仿宋_GB2312" w:eastAsia="仿宋_GB2312" w:cs="仿宋_GB2312"/>
          <w:b/>
          <w:bCs/>
          <w:sz w:val="32"/>
          <w:szCs w:val="32"/>
        </w:rPr>
        <w:t>个性化数据分析</w:t>
      </w:r>
    </w:p>
    <w:p>
      <w:pPr>
        <w:keepNext w:val="0"/>
        <w:keepLines w:val="0"/>
        <w:pageBreakBefore w:val="0"/>
        <w:widowControl/>
        <w:kinsoku/>
        <w:wordWrap/>
        <w:overflowPunct/>
        <w:topLinePunct w:val="0"/>
        <w:autoSpaceDE/>
        <w:autoSpaceDN/>
        <w:bidi w:val="0"/>
        <w:adjustRightInd/>
        <w:snapToGrid/>
        <w:spacing w:line="480" w:lineRule="exact"/>
        <w:textAlignment w:val="center"/>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1</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供应商数据需提供支持Excel/Matlab/R等主流数据分析平台，提供Python/C++/Java等程序直接访问的API，满足个性化数据分析需求</w:t>
      </w:r>
      <w:r>
        <w:rPr>
          <w:rFonts w:hint="eastAsia" w:ascii="仿宋_GB2312" w:hAnsi="仿宋_GB2312" w:eastAsia="仿宋_GB2312" w:cs="仿宋_GB2312"/>
          <w:kern w:val="0"/>
          <w:sz w:val="32"/>
          <w:szCs w:val="32"/>
          <w:lang w:eastAsia="zh-CN"/>
        </w:rPr>
        <w:t>。</w:t>
      </w:r>
    </w:p>
    <w:p>
      <w:pPr>
        <w:keepNext w:val="0"/>
        <w:keepLines w:val="0"/>
        <w:pageBreakBefore w:val="0"/>
        <w:widowControl/>
        <w:numPr>
          <w:numId w:val="0"/>
        </w:numPr>
        <w:kinsoku/>
        <w:wordWrap/>
        <w:overflowPunct/>
        <w:topLinePunct w:val="0"/>
        <w:autoSpaceDE/>
        <w:autoSpaceDN/>
        <w:bidi w:val="0"/>
        <w:adjustRightInd/>
        <w:snapToGrid/>
        <w:spacing w:line="480" w:lineRule="exact"/>
        <w:ind w:leftChars="0"/>
        <w:textAlignment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2</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提供人工智能辅助报告生成功能，支持数据抓取、政策法规解读等，满足通过人工智能生产报告的需求</w:t>
      </w:r>
      <w:r>
        <w:rPr>
          <w:rFonts w:hint="eastAsia" w:ascii="仿宋_GB2312" w:hAnsi="仿宋_GB2312" w:eastAsia="仿宋_GB2312" w:cs="仿宋_GB2312"/>
          <w:kern w:val="0"/>
          <w:sz w:val="32"/>
          <w:szCs w:val="32"/>
          <w:lang w:eastAsia="zh-CN"/>
        </w:rPr>
        <w:t>。</w:t>
      </w:r>
    </w:p>
    <w:p>
      <w:pPr>
        <w:widowControl/>
        <w:numPr>
          <w:numId w:val="0"/>
        </w:numPr>
        <w:spacing w:line="360" w:lineRule="auto"/>
        <w:rPr>
          <w:rFonts w:hint="default" w:ascii="宋体" w:hAnsi="宋体" w:cs="宋体"/>
          <w:kern w:val="0"/>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33D2C2"/>
    <w:multiLevelType w:val="singleLevel"/>
    <w:tmpl w:val="DC33D2C2"/>
    <w:lvl w:ilvl="0" w:tentative="0">
      <w:start w:val="1"/>
      <w:numFmt w:val="decimal"/>
      <w:suff w:val="nothing"/>
      <w:lvlText w:val="（%1）"/>
      <w:lvlJc w:val="left"/>
    </w:lvl>
  </w:abstractNum>
  <w:abstractNum w:abstractNumId="1">
    <w:nsid w:val="0899180E"/>
    <w:multiLevelType w:val="singleLevel"/>
    <w:tmpl w:val="0899180E"/>
    <w:lvl w:ilvl="0" w:tentative="0">
      <w:start w:val="1"/>
      <w:numFmt w:val="decimal"/>
      <w:suff w:val="nothing"/>
      <w:lvlText w:val="（%1）"/>
      <w:lvlJc w:val="left"/>
    </w:lvl>
  </w:abstractNum>
  <w:abstractNum w:abstractNumId="2">
    <w:nsid w:val="37A8005E"/>
    <w:multiLevelType w:val="singleLevel"/>
    <w:tmpl w:val="37A8005E"/>
    <w:lvl w:ilvl="0" w:tentative="0">
      <w:start w:val="1"/>
      <w:numFmt w:val="decimal"/>
      <w:suff w:val="nothing"/>
      <w:lvlText w:val="（%1）"/>
      <w:lvlJc w:val="left"/>
    </w:lvl>
  </w:abstractNum>
  <w:abstractNum w:abstractNumId="3">
    <w:nsid w:val="7C7DB08B"/>
    <w:multiLevelType w:val="singleLevel"/>
    <w:tmpl w:val="7C7DB08B"/>
    <w:lvl w:ilvl="0" w:tentative="0">
      <w:start w:val="2"/>
      <w:numFmt w:val="decimal"/>
      <w:lvlText w:val="%1."/>
      <w:lvlJc w:val="left"/>
      <w:pPr>
        <w:tabs>
          <w:tab w:val="left" w:pos="312"/>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6D5F89"/>
    <w:rsid w:val="14F84610"/>
    <w:rsid w:val="646D5F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2025-10-31T01:37:00Z</dcterms:created>
  <dc:creator>zhouyt1</dc:creator>
  <cp:lastModifiedBy>zhouyt1</cp:lastModifiedBy>
  <dcterms:modified xsi:type="dcterms:W3CDTF">2025-10-31T01:53:47Z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A4A63B73CC164B44B1D05ECD3F081BF3</vt:lpwstr>
  </property>
</Properties>
</file>