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sz w:val="44"/>
          <w:szCs w:val="44"/>
        </w:rPr>
      </w:pPr>
    </w:p>
    <w:p>
      <w:pPr>
        <w:jc w:val="center"/>
        <w:rPr>
          <w:rFonts w:hint="eastAsia" w:ascii="黑体" w:hAnsi="黑体" w:eastAsia="黑体"/>
          <w:sz w:val="44"/>
          <w:szCs w:val="44"/>
        </w:rPr>
      </w:pPr>
    </w:p>
    <w:p>
      <w:pPr>
        <w:jc w:val="center"/>
        <w:rPr>
          <w:rFonts w:hint="default" w:ascii="黑体" w:hAnsi="黑体" w:eastAsia="黑体"/>
          <w:sz w:val="44"/>
          <w:szCs w:val="44"/>
          <w:highlight w:val="none"/>
          <w:lang w:val="en-US" w:eastAsia="zh-CN"/>
        </w:rPr>
      </w:pPr>
      <w:r>
        <w:rPr>
          <w:rFonts w:hint="eastAsia" w:ascii="黑体" w:hAnsi="黑体" w:eastAsia="黑体"/>
          <w:sz w:val="44"/>
          <w:szCs w:val="44"/>
          <w:highlight w:val="none"/>
          <w:lang w:val="en-US" w:eastAsia="zh-CN"/>
        </w:rPr>
        <w:t>河池供电局2025年信息机房监控接入云盾平台技术支持服务</w:t>
      </w:r>
    </w:p>
    <w:p>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技术规范书</w:t>
      </w:r>
    </w:p>
    <w:p/>
    <w:p/>
    <w:p/>
    <w:p/>
    <w:p/>
    <w:p/>
    <w:p/>
    <w:p/>
    <w:p/>
    <w:p/>
    <w:p/>
    <w:p/>
    <w:p/>
    <w:p/>
    <w:p/>
    <w:p>
      <w:pPr>
        <w:jc w:val="center"/>
        <w:rPr>
          <w:rFonts w:hint="default" w:eastAsia="宋体"/>
          <w:b/>
          <w:sz w:val="28"/>
          <w:szCs w:val="32"/>
          <w:lang w:val="en-US" w:eastAsia="zh-CN"/>
        </w:rPr>
      </w:pPr>
      <w:r>
        <w:rPr>
          <w:rFonts w:hint="eastAsia"/>
          <w:b/>
          <w:sz w:val="28"/>
          <w:szCs w:val="32"/>
        </w:rPr>
        <w:t>广西电网有限责任公司</w:t>
      </w:r>
      <w:r>
        <w:rPr>
          <w:rFonts w:hint="eastAsia"/>
          <w:b/>
          <w:sz w:val="28"/>
          <w:szCs w:val="32"/>
          <w:lang w:val="en-US" w:eastAsia="zh-CN"/>
        </w:rPr>
        <w:t>河池供电局</w:t>
      </w:r>
    </w:p>
    <w:p>
      <w:pPr>
        <w:jc w:val="center"/>
        <w:rPr>
          <w:b/>
          <w:sz w:val="28"/>
          <w:szCs w:val="32"/>
        </w:rPr>
      </w:pPr>
      <w:r>
        <w:rPr>
          <w:rFonts w:hint="eastAsia"/>
          <w:b/>
          <w:sz w:val="28"/>
          <w:szCs w:val="32"/>
        </w:rPr>
        <w:t>20</w:t>
      </w:r>
      <w:r>
        <w:rPr>
          <w:rFonts w:hint="eastAsia"/>
          <w:b/>
          <w:sz w:val="28"/>
          <w:szCs w:val="32"/>
          <w:lang w:val="en-US" w:eastAsia="zh-CN"/>
        </w:rPr>
        <w:t>25</w:t>
      </w:r>
      <w:r>
        <w:rPr>
          <w:rFonts w:hint="eastAsia"/>
          <w:b/>
          <w:sz w:val="28"/>
          <w:szCs w:val="32"/>
        </w:rPr>
        <w:t>年</w:t>
      </w:r>
      <w:r>
        <w:rPr>
          <w:rFonts w:hint="eastAsia"/>
          <w:b/>
          <w:sz w:val="28"/>
          <w:szCs w:val="32"/>
          <w:lang w:val="en-US" w:eastAsia="zh-CN"/>
        </w:rPr>
        <w:t>10</w:t>
      </w:r>
      <w:r>
        <w:rPr>
          <w:rFonts w:hint="eastAsia"/>
          <w:b/>
          <w:sz w:val="28"/>
          <w:szCs w:val="32"/>
        </w:rPr>
        <w:t>月</w:t>
      </w:r>
    </w:p>
    <w:p>
      <w:pPr>
        <w:jc w:val="center"/>
        <w:rPr>
          <w:b/>
        </w:rPr>
      </w:pPr>
      <w:r>
        <w:br w:type="page"/>
      </w:r>
      <w:r>
        <w:rPr>
          <w:rFonts w:hint="eastAsia"/>
          <w:b/>
          <w:sz w:val="32"/>
        </w:rPr>
        <w:t>目  录</w:t>
      </w:r>
    </w:p>
    <w:p>
      <w:pPr>
        <w:pStyle w:val="9"/>
        <w:tabs>
          <w:tab w:val="right" w:leader="dot" w:pos="8306"/>
          <w:tab w:val="clear" w:pos="8296"/>
        </w:tabs>
      </w:pPr>
      <w:r>
        <w:fldChar w:fldCharType="begin"/>
      </w:r>
      <w:r>
        <w:instrText xml:space="preserve">TOC \o "1-1" \h \z \u</w:instrText>
      </w:r>
      <w:r>
        <w:fldChar w:fldCharType="separate"/>
      </w:r>
      <w:r>
        <w:fldChar w:fldCharType="begin"/>
      </w:r>
      <w:r>
        <w:instrText xml:space="preserve"> HYPERLINK \l "_Toc1681527757" </w:instrText>
      </w:r>
      <w:r>
        <w:fldChar w:fldCharType="separate"/>
      </w:r>
      <w:r>
        <w:rPr>
          <w:rFonts w:hint="eastAsia" w:ascii="宋体" w:hAnsi="Times New Roman" w:eastAsia="宋体"/>
          <w:i w:val="0"/>
          <w:position w:val="0"/>
          <w:szCs w:val="24"/>
        </w:rPr>
        <w:t xml:space="preserve">1 </w:t>
      </w:r>
      <w:r>
        <w:rPr>
          <w:rFonts w:hint="eastAsia" w:hAnsi="宋体"/>
          <w:szCs w:val="24"/>
        </w:rPr>
        <w:t>总则</w:t>
      </w:r>
      <w:r>
        <w:tab/>
      </w:r>
      <w:r>
        <w:fldChar w:fldCharType="begin"/>
      </w:r>
      <w:r>
        <w:instrText xml:space="preserve"> PAGEREF _Toc1681527757 \h </w:instrText>
      </w:r>
      <w:r>
        <w:fldChar w:fldCharType="separate"/>
      </w:r>
      <w:r>
        <w:t>1</w:t>
      </w:r>
      <w:r>
        <w:fldChar w:fldCharType="end"/>
      </w:r>
      <w:r>
        <w:fldChar w:fldCharType="end"/>
      </w:r>
    </w:p>
    <w:p>
      <w:pPr>
        <w:pStyle w:val="9"/>
        <w:tabs>
          <w:tab w:val="right" w:leader="dot" w:pos="8306"/>
          <w:tab w:val="clear" w:pos="8296"/>
        </w:tabs>
      </w:pPr>
      <w:r>
        <w:fldChar w:fldCharType="begin"/>
      </w:r>
      <w:r>
        <w:instrText xml:space="preserve"> HYPERLINK \l "_Toc552217379" </w:instrText>
      </w:r>
      <w:r>
        <w:fldChar w:fldCharType="separate"/>
      </w:r>
      <w:r>
        <w:rPr>
          <w:rFonts w:hint="eastAsia" w:ascii="宋体" w:hAnsi="Times New Roman" w:eastAsia="宋体"/>
          <w:i w:val="0"/>
          <w:position w:val="0"/>
          <w:szCs w:val="24"/>
        </w:rPr>
        <w:t xml:space="preserve">2 </w:t>
      </w:r>
      <w:r>
        <w:rPr>
          <w:rFonts w:hint="eastAsia" w:hAnsi="宋体"/>
          <w:szCs w:val="24"/>
        </w:rPr>
        <w:t>范围</w:t>
      </w:r>
      <w:r>
        <w:tab/>
      </w:r>
      <w:r>
        <w:fldChar w:fldCharType="begin"/>
      </w:r>
      <w:r>
        <w:instrText xml:space="preserve"> PAGEREF _Toc552217379 \h </w:instrText>
      </w:r>
      <w:r>
        <w:fldChar w:fldCharType="separate"/>
      </w:r>
      <w:r>
        <w:t>1</w:t>
      </w:r>
      <w:r>
        <w:fldChar w:fldCharType="end"/>
      </w:r>
      <w:r>
        <w:fldChar w:fldCharType="end"/>
      </w:r>
    </w:p>
    <w:p>
      <w:pPr>
        <w:pStyle w:val="9"/>
        <w:tabs>
          <w:tab w:val="right" w:leader="dot" w:pos="8306"/>
          <w:tab w:val="clear" w:pos="8296"/>
        </w:tabs>
      </w:pPr>
      <w:r>
        <w:fldChar w:fldCharType="begin"/>
      </w:r>
      <w:r>
        <w:instrText xml:space="preserve"> HYPERLINK \l "_Toc1840650166" </w:instrText>
      </w:r>
      <w:r>
        <w:fldChar w:fldCharType="separate"/>
      </w:r>
      <w:r>
        <w:rPr>
          <w:rFonts w:hint="eastAsia" w:ascii="宋体" w:hAnsi="Times New Roman" w:eastAsia="宋体"/>
          <w:i w:val="0"/>
          <w:position w:val="0"/>
          <w:szCs w:val="24"/>
        </w:rPr>
        <w:t xml:space="preserve">3 </w:t>
      </w:r>
      <w:r>
        <w:rPr>
          <w:rFonts w:hint="eastAsia" w:hAnsi="宋体"/>
          <w:szCs w:val="24"/>
        </w:rPr>
        <w:t>应遵循的主要标准</w:t>
      </w:r>
      <w:r>
        <w:tab/>
      </w:r>
      <w:r>
        <w:fldChar w:fldCharType="begin"/>
      </w:r>
      <w:r>
        <w:instrText xml:space="preserve"> PAGEREF _Toc1840650166 \h </w:instrText>
      </w:r>
      <w:r>
        <w:fldChar w:fldCharType="separate"/>
      </w:r>
      <w:r>
        <w:t>3</w:t>
      </w:r>
      <w:r>
        <w:fldChar w:fldCharType="end"/>
      </w:r>
      <w:r>
        <w:fldChar w:fldCharType="end"/>
      </w:r>
    </w:p>
    <w:p>
      <w:pPr>
        <w:pStyle w:val="9"/>
        <w:tabs>
          <w:tab w:val="right" w:leader="dot" w:pos="8306"/>
          <w:tab w:val="clear" w:pos="8296"/>
        </w:tabs>
      </w:pPr>
      <w:r>
        <w:fldChar w:fldCharType="begin"/>
      </w:r>
      <w:r>
        <w:instrText xml:space="preserve"> HYPERLINK \l "_Toc1305404927" </w:instrText>
      </w:r>
      <w:r>
        <w:fldChar w:fldCharType="separate"/>
      </w:r>
      <w:r>
        <w:rPr>
          <w:rFonts w:hint="eastAsia" w:ascii="宋体" w:hAnsi="Times New Roman" w:eastAsia="宋体"/>
          <w:i w:val="0"/>
          <w:position w:val="0"/>
          <w:szCs w:val="24"/>
        </w:rPr>
        <w:t xml:space="preserve">4 </w:t>
      </w:r>
      <w:r>
        <w:rPr>
          <w:rFonts w:hint="eastAsia" w:hAnsi="宋体"/>
          <w:szCs w:val="24"/>
        </w:rPr>
        <w:t>使用条件</w:t>
      </w:r>
      <w:r>
        <w:tab/>
      </w:r>
      <w:r>
        <w:fldChar w:fldCharType="begin"/>
      </w:r>
      <w:r>
        <w:instrText xml:space="preserve"> PAGEREF _Toc1305404927 \h </w:instrText>
      </w:r>
      <w:r>
        <w:fldChar w:fldCharType="separate"/>
      </w:r>
      <w:r>
        <w:t>4</w:t>
      </w:r>
      <w:r>
        <w:fldChar w:fldCharType="end"/>
      </w:r>
      <w:r>
        <w:fldChar w:fldCharType="end"/>
      </w:r>
    </w:p>
    <w:p>
      <w:pPr>
        <w:pStyle w:val="9"/>
        <w:tabs>
          <w:tab w:val="right" w:leader="dot" w:pos="8306"/>
          <w:tab w:val="clear" w:pos="8296"/>
        </w:tabs>
      </w:pPr>
      <w:r>
        <w:fldChar w:fldCharType="begin"/>
      </w:r>
      <w:r>
        <w:instrText xml:space="preserve"> HYPERLINK \l "_Toc1247670337" </w:instrText>
      </w:r>
      <w:r>
        <w:fldChar w:fldCharType="separate"/>
      </w:r>
      <w:r>
        <w:rPr>
          <w:rFonts w:hint="eastAsia" w:ascii="宋体" w:hAnsi="Times New Roman" w:eastAsia="宋体"/>
          <w:i w:val="0"/>
          <w:position w:val="0"/>
          <w:szCs w:val="24"/>
        </w:rPr>
        <w:t xml:space="preserve">5 </w:t>
      </w:r>
      <w:r>
        <w:rPr>
          <w:rFonts w:hint="eastAsia" w:hAnsi="宋体"/>
          <w:szCs w:val="24"/>
        </w:rPr>
        <w:t>技术要求</w:t>
      </w:r>
      <w:r>
        <w:tab/>
      </w:r>
      <w:r>
        <w:fldChar w:fldCharType="begin"/>
      </w:r>
      <w:r>
        <w:instrText xml:space="preserve"> PAGEREF _Toc1247670337 \h </w:instrText>
      </w:r>
      <w:r>
        <w:fldChar w:fldCharType="separate"/>
      </w:r>
      <w:r>
        <w:t>4</w:t>
      </w:r>
      <w:r>
        <w:fldChar w:fldCharType="end"/>
      </w:r>
      <w:r>
        <w:fldChar w:fldCharType="end"/>
      </w:r>
    </w:p>
    <w:p>
      <w:pPr>
        <w:pStyle w:val="9"/>
        <w:tabs>
          <w:tab w:val="right" w:leader="dot" w:pos="8306"/>
          <w:tab w:val="clear" w:pos="8296"/>
        </w:tabs>
      </w:pPr>
      <w:r>
        <w:fldChar w:fldCharType="begin"/>
      </w:r>
      <w:r>
        <w:instrText xml:space="preserve"> HYPERLINK \l "_Toc1565024651" </w:instrText>
      </w:r>
      <w:r>
        <w:fldChar w:fldCharType="separate"/>
      </w:r>
      <w:r>
        <w:rPr>
          <w:rFonts w:hint="eastAsia" w:ascii="宋体" w:hAnsi="Times New Roman" w:eastAsia="宋体"/>
          <w:i w:val="0"/>
          <w:position w:val="0"/>
          <w:szCs w:val="24"/>
        </w:rPr>
        <w:t xml:space="preserve">6 </w:t>
      </w:r>
      <w:r>
        <w:rPr>
          <w:rFonts w:hint="eastAsia" w:hAnsi="宋体"/>
          <w:szCs w:val="24"/>
        </w:rPr>
        <w:t>试验及验收</w:t>
      </w:r>
      <w:r>
        <w:tab/>
      </w:r>
      <w:r>
        <w:fldChar w:fldCharType="begin"/>
      </w:r>
      <w:r>
        <w:instrText xml:space="preserve"> PAGEREF _Toc1565024651 \h </w:instrText>
      </w:r>
      <w:r>
        <w:fldChar w:fldCharType="separate"/>
      </w:r>
      <w:r>
        <w:t>5</w:t>
      </w:r>
      <w:r>
        <w:fldChar w:fldCharType="end"/>
      </w:r>
      <w:r>
        <w:fldChar w:fldCharType="end"/>
      </w:r>
    </w:p>
    <w:p>
      <w:pPr>
        <w:pStyle w:val="9"/>
        <w:tabs>
          <w:tab w:val="right" w:leader="dot" w:pos="8306"/>
          <w:tab w:val="clear" w:pos="8296"/>
        </w:tabs>
      </w:pPr>
      <w:r>
        <w:fldChar w:fldCharType="begin"/>
      </w:r>
      <w:r>
        <w:instrText xml:space="preserve"> HYPERLINK \l "_Toc989600901" </w:instrText>
      </w:r>
      <w:r>
        <w:fldChar w:fldCharType="separate"/>
      </w:r>
      <w:r>
        <w:rPr>
          <w:rFonts w:hint="eastAsia" w:ascii="宋体" w:hAnsi="Times New Roman" w:eastAsia="宋体"/>
          <w:i w:val="0"/>
          <w:position w:val="0"/>
          <w:szCs w:val="24"/>
        </w:rPr>
        <w:t xml:space="preserve">7 </w:t>
      </w:r>
      <w:r>
        <w:rPr>
          <w:rFonts w:hint="eastAsia" w:hAnsi="宋体"/>
          <w:szCs w:val="24"/>
        </w:rPr>
        <w:t>技术文件要求</w:t>
      </w:r>
      <w:r>
        <w:tab/>
      </w:r>
      <w:r>
        <w:fldChar w:fldCharType="begin"/>
      </w:r>
      <w:r>
        <w:instrText xml:space="preserve"> PAGEREF _Toc989600901 \h </w:instrText>
      </w:r>
      <w:r>
        <w:fldChar w:fldCharType="separate"/>
      </w:r>
      <w:r>
        <w:t>6</w:t>
      </w:r>
      <w:r>
        <w:fldChar w:fldCharType="end"/>
      </w:r>
      <w:r>
        <w:fldChar w:fldCharType="end"/>
      </w:r>
    </w:p>
    <w:p>
      <w:pPr>
        <w:pStyle w:val="9"/>
        <w:tabs>
          <w:tab w:val="right" w:leader="dot" w:pos="8306"/>
          <w:tab w:val="clear" w:pos="8296"/>
        </w:tabs>
      </w:pPr>
      <w:r>
        <w:fldChar w:fldCharType="begin"/>
      </w:r>
      <w:r>
        <w:instrText xml:space="preserve"> HYPERLINK \l "_Toc2108980739" </w:instrText>
      </w:r>
      <w:r>
        <w:fldChar w:fldCharType="separate"/>
      </w:r>
      <w:r>
        <w:rPr>
          <w:rFonts w:hint="eastAsia" w:ascii="宋体" w:hAnsi="Times New Roman" w:eastAsia="宋体"/>
          <w:i w:val="0"/>
          <w:position w:val="0"/>
          <w:szCs w:val="24"/>
        </w:rPr>
        <w:t xml:space="preserve">8 </w:t>
      </w:r>
      <w:r>
        <w:rPr>
          <w:rFonts w:hint="eastAsia" w:hAnsi="宋体"/>
          <w:szCs w:val="24"/>
        </w:rPr>
        <w:t>监造、包装、运输、安装及质量保证</w:t>
      </w:r>
      <w:r>
        <w:tab/>
      </w:r>
      <w:r>
        <w:fldChar w:fldCharType="begin"/>
      </w:r>
      <w:r>
        <w:instrText xml:space="preserve"> PAGEREF _Toc2108980739 \h </w:instrText>
      </w:r>
      <w:r>
        <w:fldChar w:fldCharType="separate"/>
      </w:r>
      <w:r>
        <w:t>6</w:t>
      </w:r>
      <w:r>
        <w:fldChar w:fldCharType="end"/>
      </w:r>
      <w:r>
        <w:fldChar w:fldCharType="end"/>
      </w:r>
    </w:p>
    <w:p>
      <w:pPr>
        <w:pStyle w:val="9"/>
        <w:tabs>
          <w:tab w:val="right" w:leader="dot" w:pos="8306"/>
          <w:tab w:val="clear" w:pos="8296"/>
        </w:tabs>
      </w:pPr>
      <w:r>
        <w:fldChar w:fldCharType="begin"/>
      </w:r>
      <w:r>
        <w:instrText xml:space="preserve"> HYPERLINK \l "_Toc1421686638" </w:instrText>
      </w:r>
      <w:r>
        <w:fldChar w:fldCharType="separate"/>
      </w:r>
      <w:r>
        <w:rPr>
          <w:rFonts w:hint="eastAsia" w:ascii="宋体" w:hAnsi="Times New Roman" w:eastAsia="宋体"/>
          <w:i w:val="0"/>
          <w:position w:val="0"/>
          <w:szCs w:val="24"/>
        </w:rPr>
        <w:t xml:space="preserve">9 </w:t>
      </w:r>
      <w:r>
        <w:rPr>
          <w:rFonts w:hint="eastAsia" w:hAnsi="宋体"/>
          <w:szCs w:val="24"/>
        </w:rPr>
        <w:t>双方工作安排</w:t>
      </w:r>
      <w:r>
        <w:tab/>
      </w:r>
      <w:r>
        <w:fldChar w:fldCharType="begin"/>
      </w:r>
      <w:r>
        <w:instrText xml:space="preserve"> PAGEREF _Toc1421686638 \h </w:instrText>
      </w:r>
      <w:r>
        <w:fldChar w:fldCharType="separate"/>
      </w:r>
      <w:r>
        <w:t>7</w:t>
      </w:r>
      <w:r>
        <w:fldChar w:fldCharType="end"/>
      </w:r>
      <w:r>
        <w:fldChar w:fldCharType="end"/>
      </w:r>
    </w:p>
    <w:p>
      <w:pPr>
        <w:pStyle w:val="9"/>
        <w:tabs>
          <w:tab w:val="right" w:leader="dot" w:pos="8306"/>
          <w:tab w:val="clear" w:pos="8296"/>
        </w:tabs>
      </w:pPr>
      <w:r>
        <w:fldChar w:fldCharType="begin"/>
      </w:r>
      <w:r>
        <w:instrText xml:space="preserve"> HYPERLINK \l "_Toc1384268344" </w:instrText>
      </w:r>
      <w:r>
        <w:fldChar w:fldCharType="separate"/>
      </w:r>
      <w:r>
        <w:rPr>
          <w:rFonts w:hint="eastAsia" w:ascii="宋体" w:hAnsi="Times New Roman" w:eastAsia="宋体"/>
          <w:i w:val="0"/>
          <w:position w:val="0"/>
          <w:szCs w:val="24"/>
        </w:rPr>
        <w:t xml:space="preserve">10 </w:t>
      </w:r>
      <w:r>
        <w:rPr>
          <w:rFonts w:hint="eastAsia" w:hAnsi="宋体"/>
          <w:szCs w:val="24"/>
        </w:rPr>
        <w:t>备品备件及主要工器具</w:t>
      </w:r>
      <w:r>
        <w:tab/>
      </w:r>
      <w:r>
        <w:fldChar w:fldCharType="begin"/>
      </w:r>
      <w:r>
        <w:instrText xml:space="preserve"> PAGEREF _Toc1384268344 \h </w:instrText>
      </w:r>
      <w:r>
        <w:fldChar w:fldCharType="separate"/>
      </w:r>
      <w:r>
        <w:t>11</w:t>
      </w:r>
      <w:r>
        <w:fldChar w:fldCharType="end"/>
      </w:r>
      <w:r>
        <w:fldChar w:fldCharType="end"/>
      </w:r>
    </w:p>
    <w:p>
      <w:pPr>
        <w:pStyle w:val="9"/>
        <w:tabs>
          <w:tab w:val="right" w:leader="dot" w:pos="8306"/>
          <w:tab w:val="clear" w:pos="8296"/>
        </w:tabs>
      </w:pPr>
      <w:r>
        <w:fldChar w:fldCharType="begin"/>
      </w:r>
      <w:r>
        <w:instrText xml:space="preserve"> HYPERLINK \l "_Toc1707709657" </w:instrText>
      </w:r>
      <w:r>
        <w:fldChar w:fldCharType="separate"/>
      </w:r>
      <w:r>
        <w:rPr>
          <w:rFonts w:hint="eastAsia" w:ascii="宋体" w:hAnsi="Times New Roman" w:eastAsia="宋体"/>
          <w:i w:val="0"/>
          <w:position w:val="0"/>
          <w:szCs w:val="24"/>
        </w:rPr>
        <w:t xml:space="preserve">11 </w:t>
      </w:r>
      <w:r>
        <w:rPr>
          <w:rFonts w:hint="eastAsia" w:hAnsi="宋体"/>
          <w:szCs w:val="24"/>
        </w:rPr>
        <w:t>技术性能偏差表</w:t>
      </w:r>
      <w:r>
        <w:tab/>
      </w:r>
      <w:r>
        <w:fldChar w:fldCharType="begin"/>
      </w:r>
      <w:r>
        <w:instrText xml:space="preserve"> PAGEREF _Toc1707709657 \h </w:instrText>
      </w:r>
      <w:r>
        <w:fldChar w:fldCharType="separate"/>
      </w:r>
      <w:r>
        <w:t>11</w:t>
      </w:r>
      <w:r>
        <w:fldChar w:fldCharType="end"/>
      </w:r>
      <w:r>
        <w:fldChar w:fldCharType="end"/>
      </w:r>
    </w:p>
    <w:p>
      <w:pPr>
        <w:pStyle w:val="9"/>
        <w:tabs>
          <w:tab w:val="right" w:leader="dot" w:pos="8306"/>
          <w:tab w:val="clear" w:pos="8296"/>
        </w:tabs>
      </w:pPr>
      <w:r>
        <w:fldChar w:fldCharType="begin"/>
      </w:r>
      <w:r>
        <w:instrText xml:space="preserve"> HYPERLINK \l "_Toc357263044" </w:instrText>
      </w:r>
      <w:r>
        <w:fldChar w:fldCharType="separate"/>
      </w:r>
      <w:r>
        <w:rPr>
          <w:rFonts w:hint="eastAsia" w:ascii="宋体" w:hAnsi="Times New Roman" w:eastAsia="宋体"/>
          <w:i w:val="0"/>
          <w:position w:val="0"/>
          <w:szCs w:val="24"/>
        </w:rPr>
        <w:t xml:space="preserve">12 </w:t>
      </w:r>
      <w:r>
        <w:rPr>
          <w:rFonts w:hint="eastAsia" w:hAnsi="宋体"/>
          <w:szCs w:val="24"/>
        </w:rPr>
        <w:t>投标方需要说明的其它问题</w:t>
      </w:r>
      <w:r>
        <w:tab/>
      </w:r>
      <w:r>
        <w:fldChar w:fldCharType="begin"/>
      </w:r>
      <w:r>
        <w:instrText xml:space="preserve"> PAGEREF _Toc357263044 \h </w:instrText>
      </w:r>
      <w:r>
        <w:fldChar w:fldCharType="separate"/>
      </w:r>
      <w:r>
        <w:t>12</w:t>
      </w:r>
      <w:r>
        <w:fldChar w:fldCharType="end"/>
      </w:r>
      <w:r>
        <w:fldChar w:fldCharType="end"/>
      </w:r>
    </w:p>
    <w:p>
      <w:r>
        <w:fldChar w:fldCharType="end"/>
      </w:r>
    </w:p>
    <w:p>
      <w:pPr>
        <w:sectPr>
          <w:headerReference r:id="rId5" w:type="default"/>
          <w:footerReference r:id="rId6" w:type="default"/>
          <w:footerReference r:id="rId7" w:type="even"/>
          <w:pgSz w:w="11906" w:h="16838"/>
          <w:pgMar w:top="1440" w:right="1800" w:bottom="1440" w:left="1800" w:header="851" w:footer="992" w:gutter="0"/>
          <w:cols w:space="720" w:num="1"/>
          <w:docGrid w:type="lines" w:linePitch="312" w:charSpace="0"/>
        </w:sectPr>
      </w:pPr>
    </w:p>
    <w:p>
      <w:pPr>
        <w:pStyle w:val="4"/>
        <w:keepNext w:val="0"/>
        <w:keepLines w:val="0"/>
        <w:widowControl/>
        <w:numPr>
          <w:ilvl w:val="0"/>
          <w:numId w:val="2"/>
        </w:numPr>
        <w:spacing w:before="480" w:line="276" w:lineRule="auto"/>
        <w:contextualSpacing/>
        <w:jc w:val="left"/>
        <w:rPr>
          <w:rFonts w:hint="eastAsia" w:hAnsi="宋体"/>
          <w:szCs w:val="24"/>
        </w:rPr>
      </w:pPr>
      <w:bookmarkStart w:id="0" w:name="_Toc1681527757"/>
      <w:r>
        <w:rPr>
          <w:rFonts w:hint="eastAsia" w:hAnsi="宋体"/>
          <w:szCs w:val="24"/>
        </w:rPr>
        <w:t>总则</w:t>
      </w:r>
      <w:bookmarkEnd w:id="0"/>
    </w:p>
    <w:p>
      <w:pPr>
        <w:pStyle w:val="5"/>
        <w:keepNext w:val="0"/>
        <w:keepLines w:val="0"/>
        <w:widowControl/>
        <w:numPr>
          <w:ilvl w:val="1"/>
          <w:numId w:val="2"/>
        </w:numPr>
        <w:spacing w:before="200" w:line="276" w:lineRule="auto"/>
        <w:jc w:val="left"/>
        <w:rPr>
          <w:rFonts w:hint="eastAsia" w:hAnsi="宋体" w:cs="Times New Roman"/>
          <w:b w:val="0"/>
          <w:szCs w:val="24"/>
        </w:rPr>
      </w:pPr>
      <w:r>
        <w:rPr>
          <w:rFonts w:hint="eastAsia" w:hAnsi="宋体" w:cs="Times New Roman"/>
          <w:b w:val="0"/>
          <w:szCs w:val="24"/>
          <w:lang w:val="en-US" w:eastAsia="zh-CN"/>
        </w:rPr>
        <w:t xml:space="preserve">  </w:t>
      </w:r>
      <w:r>
        <w:rPr>
          <w:rFonts w:hint="eastAsia" w:hAnsi="宋体" w:cs="Times New Roman"/>
          <w:b w:val="0"/>
          <w:szCs w:val="24"/>
        </w:rPr>
        <w:t>本招标技术文件适用于</w:t>
      </w:r>
      <w:r>
        <w:rPr>
          <w:rFonts w:hint="eastAsia" w:hAnsi="宋体" w:cs="Times New Roman"/>
          <w:b w:val="0"/>
          <w:szCs w:val="24"/>
          <w:lang w:eastAsia="zh-CN"/>
        </w:rPr>
        <w:t>河池供电局</w:t>
      </w:r>
      <w:r>
        <w:rPr>
          <w:rFonts w:hint="eastAsia" w:hAnsi="宋体" w:cs="Times New Roman"/>
          <w:b w:val="0"/>
          <w:szCs w:val="24"/>
          <w:lang w:val="en-US" w:eastAsia="zh-CN"/>
        </w:rPr>
        <w:t>2025年</w:t>
      </w:r>
      <w:r>
        <w:rPr>
          <w:rFonts w:hint="eastAsia" w:hAnsi="宋体" w:cs="Times New Roman"/>
          <w:b w:val="0"/>
          <w:szCs w:val="24"/>
        </w:rPr>
        <w:t>信息机房动环监控系统对接云盾接口开发及部署项目的功能、性能、安装等方面的技术要求。</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本招标技术文件提出的是最低限度的技术要求</w:t>
      </w:r>
      <w:r>
        <w:rPr>
          <w:rFonts w:hAnsi="宋体"/>
          <w:b w:val="0"/>
          <w:szCs w:val="24"/>
        </w:rPr>
        <w:t xml:space="preserve">, </w:t>
      </w:r>
      <w:r>
        <w:rPr>
          <w:rFonts w:hint="eastAsia" w:hAnsi="宋体"/>
          <w:b w:val="0"/>
          <w:szCs w:val="24"/>
        </w:rPr>
        <w:t>并未对一切技术细节作出规定</w:t>
      </w:r>
      <w:r>
        <w:rPr>
          <w:rFonts w:hAnsi="宋体"/>
          <w:b w:val="0"/>
          <w:szCs w:val="24"/>
        </w:rPr>
        <w:t xml:space="preserve">, </w:t>
      </w:r>
      <w:r>
        <w:rPr>
          <w:rFonts w:hint="eastAsia" w:hAnsi="宋体"/>
          <w:b w:val="0"/>
          <w:szCs w:val="24"/>
        </w:rPr>
        <w:t>也未充分引述有关标准和规范的条文</w:t>
      </w:r>
      <w:r>
        <w:rPr>
          <w:rFonts w:hAnsi="宋体"/>
          <w:b w:val="0"/>
          <w:szCs w:val="24"/>
        </w:rPr>
        <w:t xml:space="preserve">, </w:t>
      </w:r>
      <w:r>
        <w:rPr>
          <w:rFonts w:hint="eastAsia" w:hAnsi="宋体"/>
          <w:b w:val="0"/>
          <w:szCs w:val="24"/>
        </w:rPr>
        <w:t>投标方应提供符合本招标技术文件和工业标准的优质产品。</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本招标技术文件所使用的标准如遇与投标方所执行的标准不一致时</w:t>
      </w:r>
      <w:r>
        <w:rPr>
          <w:rFonts w:hAnsi="宋体"/>
          <w:b w:val="0"/>
          <w:szCs w:val="24"/>
        </w:rPr>
        <w:t xml:space="preserve">, </w:t>
      </w:r>
      <w:r>
        <w:rPr>
          <w:rFonts w:hint="eastAsia" w:hAnsi="宋体"/>
          <w:b w:val="0"/>
          <w:szCs w:val="24"/>
        </w:rPr>
        <w:t>按较高标准执行。</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本招标技术文件经买、卖双方确认后作为订货合同的技术附件，与合同正文具有同等法律效力。</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投标方应在投标的技术应答文件按本招标技术文件的要求如实详细的填写应标设备的标准配置表，并在应标商务部分按此标准配置进行报价，如发现二者有矛盾之处，将对评标工作有不同程度的影响。</w:t>
      </w:r>
    </w:p>
    <w:p>
      <w:pPr>
        <w:pStyle w:val="5"/>
        <w:keepNext w:val="0"/>
        <w:keepLines w:val="0"/>
        <w:widowControl/>
        <w:numPr>
          <w:ilvl w:val="1"/>
          <w:numId w:val="2"/>
        </w:numPr>
        <w:spacing w:before="200" w:line="276" w:lineRule="auto"/>
        <w:jc w:val="left"/>
        <w:rPr>
          <w:rFonts w:hint="eastAsia" w:hAnsi="宋体"/>
          <w:b w:val="0"/>
          <w:szCs w:val="24"/>
        </w:rPr>
      </w:pPr>
      <w:r>
        <w:rPr>
          <w:rFonts w:hint="eastAsia" w:hAnsi="宋体"/>
          <w:b w:val="0"/>
          <w:szCs w:val="24"/>
          <w:lang w:val="en-US" w:eastAsia="zh-CN"/>
        </w:rPr>
        <w:t xml:space="preserve">  </w:t>
      </w:r>
      <w:r>
        <w:rPr>
          <w:rFonts w:hint="eastAsia" w:hAnsi="宋体"/>
          <w:b w:val="0"/>
          <w:szCs w:val="24"/>
        </w:rPr>
        <w:t>本招标技术文件未尽事宜</w:t>
      </w:r>
      <w:r>
        <w:rPr>
          <w:rFonts w:hAnsi="宋体"/>
          <w:b w:val="0"/>
          <w:szCs w:val="24"/>
        </w:rPr>
        <w:t xml:space="preserve">, </w:t>
      </w:r>
      <w:r>
        <w:rPr>
          <w:rFonts w:hint="eastAsia" w:hAnsi="宋体"/>
          <w:b w:val="0"/>
          <w:szCs w:val="24"/>
        </w:rPr>
        <w:t>由买卖双方协商确定。</w:t>
      </w:r>
    </w:p>
    <w:p/>
    <w:p>
      <w:pPr>
        <w:pStyle w:val="4"/>
        <w:keepNext w:val="0"/>
        <w:keepLines w:val="0"/>
        <w:widowControl/>
        <w:numPr>
          <w:ilvl w:val="0"/>
          <w:numId w:val="2"/>
        </w:numPr>
        <w:spacing w:before="480" w:line="276" w:lineRule="auto"/>
        <w:contextualSpacing/>
        <w:jc w:val="left"/>
        <w:rPr>
          <w:rFonts w:hAnsi="宋体"/>
          <w:szCs w:val="24"/>
        </w:rPr>
      </w:pPr>
      <w:bookmarkStart w:id="1" w:name="_Toc352233454"/>
      <w:bookmarkStart w:id="2" w:name="_Toc552217379"/>
      <w:r>
        <w:rPr>
          <w:rFonts w:hint="eastAsia" w:hAnsi="宋体"/>
          <w:szCs w:val="24"/>
        </w:rPr>
        <w:t>范围</w:t>
      </w:r>
      <w:bookmarkEnd w:id="1"/>
      <w:bookmarkEnd w:id="2"/>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本标书适应于本次招标设备的设计、制造、装配、工厂试验、交付、现场安装和试验的指导、监督以及试运行工作。</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现场安装和试验在招标方的指导和监督下由投标方完成。</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本标书未说明，但又与设计、制造、装配、试验、运输、包装、保管、安装和运行维护有关的技术要求，按条款3所规定的有关标准执行。</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投标方应按本标书的要求提供全新的、合格的设备及其附属设备、备品备件、专用工具和仪器。</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投标方所提供的组件或附件如需向第三方外购时，投标方应对质量向招标方负责，并提供相应出厂和验收证明。</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Ansi="宋体"/>
          <w:b w:val="0"/>
          <w:szCs w:val="24"/>
        </w:rPr>
        <w:t>投标方</w:t>
      </w:r>
      <w:r>
        <w:rPr>
          <w:rFonts w:hint="eastAsia" w:hAnsi="宋体"/>
          <w:b w:val="0"/>
          <w:szCs w:val="24"/>
        </w:rPr>
        <w:t>提供的设备具体规格、数量见表1，投标方应按此进行响应并分项报价，不能单独罗列安装费用。投标方要确保供货范围完整，需满足本技术规范的供货要求及技术、功能、性能等要求，并以能满足用户安装、运行要求为原则。若签订合同后，在安装、调试、运行中发现缺项，则由投标方负责免费补充。</w:t>
      </w:r>
    </w:p>
    <w:p>
      <w:pPr>
        <w:jc w:val="center"/>
        <w:rPr>
          <w:rFonts w:hint="eastAsia"/>
        </w:rPr>
      </w:pPr>
      <w:r>
        <w:rPr>
          <w:rFonts w:hint="eastAsia"/>
        </w:rPr>
        <w:t>表1 供货范围及设备技术规格一览表</w:t>
      </w:r>
    </w:p>
    <w:tbl>
      <w:tblPr>
        <w:tblStyle w:val="10"/>
        <w:tblW w:w="83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65"/>
        <w:gridCol w:w="1143"/>
        <w:gridCol w:w="480"/>
        <w:gridCol w:w="3124"/>
        <w:gridCol w:w="615"/>
        <w:gridCol w:w="1841"/>
        <w:gridCol w:w="54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565" w:type="dxa"/>
            <w:vMerge w:val="restart"/>
            <w:vAlign w:val="center"/>
          </w:tcPr>
          <w:p>
            <w:pPr>
              <w:spacing w:line="240" w:lineRule="auto"/>
            </w:pPr>
            <w:r>
              <w:rPr>
                <w:rFonts w:hint="eastAsia"/>
              </w:rPr>
              <w:t>序号</w:t>
            </w:r>
          </w:p>
        </w:tc>
        <w:tc>
          <w:tcPr>
            <w:tcW w:w="1143" w:type="dxa"/>
            <w:vMerge w:val="restart"/>
            <w:vAlign w:val="center"/>
          </w:tcPr>
          <w:p>
            <w:pPr>
              <w:spacing w:line="240" w:lineRule="auto"/>
              <w:jc w:val="center"/>
            </w:pPr>
            <w:r>
              <w:rPr>
                <w:rFonts w:hint="eastAsia"/>
              </w:rPr>
              <w:t>名</w:t>
            </w:r>
            <w:r>
              <w:t xml:space="preserve">  </w:t>
            </w:r>
            <w:r>
              <w:rPr>
                <w:rFonts w:hint="eastAsia"/>
              </w:rPr>
              <w:t>称</w:t>
            </w:r>
          </w:p>
        </w:tc>
        <w:tc>
          <w:tcPr>
            <w:tcW w:w="480" w:type="dxa"/>
            <w:vMerge w:val="restart"/>
            <w:vAlign w:val="center"/>
          </w:tcPr>
          <w:p>
            <w:pPr>
              <w:spacing w:line="240" w:lineRule="auto"/>
            </w:pPr>
            <w:r>
              <w:rPr>
                <w:rFonts w:hint="eastAsia"/>
              </w:rPr>
              <w:t>单位</w:t>
            </w:r>
          </w:p>
        </w:tc>
        <w:tc>
          <w:tcPr>
            <w:tcW w:w="3739" w:type="dxa"/>
            <w:gridSpan w:val="2"/>
            <w:vAlign w:val="center"/>
          </w:tcPr>
          <w:p>
            <w:pPr>
              <w:spacing w:line="240" w:lineRule="auto"/>
              <w:jc w:val="center"/>
            </w:pPr>
            <w:r>
              <w:rPr>
                <w:rFonts w:hint="eastAsia"/>
              </w:rPr>
              <w:t>项目要求</w:t>
            </w:r>
          </w:p>
        </w:tc>
        <w:tc>
          <w:tcPr>
            <w:tcW w:w="2381" w:type="dxa"/>
            <w:gridSpan w:val="2"/>
            <w:vAlign w:val="center"/>
          </w:tcPr>
          <w:p>
            <w:pPr>
              <w:spacing w:line="240" w:lineRule="auto"/>
              <w:jc w:val="center"/>
              <w:rPr>
                <w:rFonts w:hint="eastAsia"/>
              </w:rPr>
            </w:pPr>
            <w:r>
              <w:rPr>
                <w:rFonts w:hint="eastAsia"/>
              </w:rPr>
              <w:t>投标方保证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565" w:type="dxa"/>
            <w:vMerge w:val="continue"/>
            <w:vAlign w:val="center"/>
          </w:tcPr>
          <w:p>
            <w:pPr>
              <w:spacing w:line="240" w:lineRule="auto"/>
              <w:rPr>
                <w:rFonts w:hint="eastAsia"/>
              </w:rPr>
            </w:pPr>
          </w:p>
        </w:tc>
        <w:tc>
          <w:tcPr>
            <w:tcW w:w="1143" w:type="dxa"/>
            <w:vMerge w:val="continue"/>
            <w:vAlign w:val="center"/>
          </w:tcPr>
          <w:p>
            <w:pPr>
              <w:spacing w:line="240" w:lineRule="auto"/>
              <w:rPr>
                <w:rFonts w:hint="eastAsia"/>
              </w:rPr>
            </w:pPr>
          </w:p>
        </w:tc>
        <w:tc>
          <w:tcPr>
            <w:tcW w:w="480" w:type="dxa"/>
            <w:vMerge w:val="continue"/>
            <w:vAlign w:val="center"/>
          </w:tcPr>
          <w:p>
            <w:pPr>
              <w:spacing w:line="240" w:lineRule="auto"/>
              <w:rPr>
                <w:rFonts w:hint="eastAsia"/>
              </w:rPr>
            </w:pPr>
          </w:p>
        </w:tc>
        <w:tc>
          <w:tcPr>
            <w:tcW w:w="3124" w:type="dxa"/>
            <w:vAlign w:val="center"/>
          </w:tcPr>
          <w:p>
            <w:pPr>
              <w:spacing w:line="240" w:lineRule="auto"/>
              <w:jc w:val="center"/>
              <w:rPr>
                <w:rFonts w:hint="eastAsia"/>
              </w:rPr>
            </w:pPr>
            <w:r>
              <w:rPr>
                <w:rFonts w:hint="eastAsia"/>
              </w:rPr>
              <w:t>型式、规格</w:t>
            </w:r>
          </w:p>
        </w:tc>
        <w:tc>
          <w:tcPr>
            <w:tcW w:w="615" w:type="dxa"/>
            <w:vAlign w:val="center"/>
          </w:tcPr>
          <w:p>
            <w:pPr>
              <w:spacing w:line="240" w:lineRule="auto"/>
              <w:jc w:val="center"/>
              <w:rPr>
                <w:rFonts w:hint="eastAsia"/>
              </w:rPr>
            </w:pPr>
            <w:r>
              <w:rPr>
                <w:rFonts w:hint="eastAsia"/>
              </w:rPr>
              <w:t>数量</w:t>
            </w:r>
          </w:p>
        </w:tc>
        <w:tc>
          <w:tcPr>
            <w:tcW w:w="1841" w:type="dxa"/>
            <w:vAlign w:val="center"/>
          </w:tcPr>
          <w:p>
            <w:pPr>
              <w:spacing w:line="240" w:lineRule="auto"/>
              <w:jc w:val="center"/>
              <w:rPr>
                <w:rFonts w:hint="eastAsia"/>
              </w:rPr>
            </w:pPr>
            <w:r>
              <w:rPr>
                <w:rFonts w:hint="eastAsia"/>
              </w:rPr>
              <w:t>型式、规格</w:t>
            </w:r>
          </w:p>
        </w:tc>
        <w:tc>
          <w:tcPr>
            <w:tcW w:w="540" w:type="dxa"/>
            <w:vAlign w:val="center"/>
          </w:tcPr>
          <w:p>
            <w:pPr>
              <w:spacing w:line="240" w:lineRule="auto"/>
              <w:rPr>
                <w:rFonts w:hint="eastAsia"/>
              </w:rPr>
            </w:pPr>
            <w:r>
              <w:rPr>
                <w:rFonts w:hint="eastAsia"/>
              </w:rPr>
              <w:t>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181" w:hRule="atLeast"/>
          <w:jc w:val="center"/>
        </w:trPr>
        <w:tc>
          <w:tcPr>
            <w:tcW w:w="565" w:type="dxa"/>
            <w:vAlign w:val="center"/>
          </w:tcPr>
          <w:p>
            <w:pPr>
              <w:spacing w:line="240" w:lineRule="auto"/>
              <w:rPr>
                <w:rFonts w:hint="eastAsia"/>
                <w:highlight w:val="none"/>
              </w:rPr>
            </w:pPr>
            <w:r>
              <w:rPr>
                <w:rFonts w:hint="eastAsia"/>
                <w:highlight w:val="none"/>
              </w:rPr>
              <w:t>1</w:t>
            </w:r>
          </w:p>
        </w:tc>
        <w:tc>
          <w:tcPr>
            <w:tcW w:w="1143"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eastAsia="宋体"/>
                <w:highlight w:val="none"/>
                <w:lang w:val="en-US" w:eastAsia="zh-CN"/>
              </w:rPr>
            </w:pPr>
            <w:r>
              <w:rPr>
                <w:rFonts w:hint="eastAsia"/>
                <w:highlight w:val="none"/>
                <w:lang w:val="en-US" w:eastAsia="zh-CN"/>
              </w:rPr>
              <w:t>河池供电局2025年</w:t>
            </w:r>
            <w:r>
              <w:rPr>
                <w:rFonts w:hint="eastAsia" w:ascii="宋体" w:eastAsia="宋体"/>
                <w:highlight w:val="none"/>
                <w:lang w:val="en-US" w:eastAsia="zh-CN"/>
              </w:rPr>
              <w:t>信息机房监控接入云盾平台技术支持服务</w:t>
            </w:r>
          </w:p>
        </w:tc>
        <w:tc>
          <w:tcPr>
            <w:tcW w:w="480"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eastAsia="宋体"/>
                <w:highlight w:val="none"/>
                <w:lang w:val="en-US" w:eastAsia="zh-CN"/>
              </w:rPr>
            </w:pPr>
            <w:r>
              <w:rPr>
                <w:rFonts w:hint="eastAsia" w:ascii="宋体" w:eastAsia="宋体"/>
                <w:highlight w:val="none"/>
                <w:lang w:val="en-US" w:eastAsia="zh-CN"/>
              </w:rPr>
              <w:t>套</w:t>
            </w:r>
          </w:p>
        </w:tc>
        <w:tc>
          <w:tcPr>
            <w:tcW w:w="3124"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eastAsia="宋体"/>
                <w:highlight w:val="none"/>
                <w:lang w:val="en-US" w:eastAsia="zh-CN"/>
              </w:rPr>
            </w:pPr>
            <w:r>
              <w:rPr>
                <w:rFonts w:hint="eastAsia"/>
                <w:highlight w:val="none"/>
                <w:lang w:val="en-US" w:eastAsia="zh-CN"/>
              </w:rPr>
              <w:t>基于河池供电局</w:t>
            </w:r>
            <w:r>
              <w:rPr>
                <w:rFonts w:hint="eastAsia" w:ascii="宋体" w:eastAsia="宋体"/>
                <w:highlight w:val="none"/>
                <w:lang w:val="en-US" w:eastAsia="zh-CN"/>
              </w:rPr>
              <w:t>原</w:t>
            </w:r>
            <w:r>
              <w:rPr>
                <w:rFonts w:hint="eastAsia"/>
                <w:highlight w:val="none"/>
                <w:lang w:val="en-US" w:eastAsia="zh-CN"/>
              </w:rPr>
              <w:t>机房动力环境监控系统进行接口开发及实施技术支持服务</w:t>
            </w:r>
            <w:r>
              <w:rPr>
                <w:rFonts w:hint="default" w:ascii="宋体" w:eastAsia="宋体"/>
                <w:highlight w:val="none"/>
                <w:lang w:val="en-US" w:eastAsia="zh-CN"/>
              </w:rPr>
              <w:t>，</w:t>
            </w:r>
            <w:r>
              <w:rPr>
                <w:rFonts w:hint="eastAsia"/>
                <w:highlight w:val="none"/>
                <w:lang w:val="en-US" w:eastAsia="zh-CN"/>
              </w:rPr>
              <w:t>实现信息机房动力</w:t>
            </w:r>
            <w:r>
              <w:rPr>
                <w:rFonts w:hint="default" w:ascii="宋体" w:eastAsia="宋体"/>
                <w:highlight w:val="none"/>
                <w:lang w:val="en-US" w:eastAsia="zh-CN"/>
              </w:rPr>
              <w:t>环境</w:t>
            </w:r>
            <w:r>
              <w:rPr>
                <w:rFonts w:hint="eastAsia"/>
                <w:highlight w:val="none"/>
                <w:lang w:val="en-US" w:eastAsia="zh-CN"/>
              </w:rPr>
              <w:t>监控系统</w:t>
            </w:r>
            <w:r>
              <w:rPr>
                <w:rFonts w:hint="default" w:ascii="宋体" w:eastAsia="宋体"/>
                <w:highlight w:val="none"/>
                <w:lang w:val="en-US" w:eastAsia="zh-CN"/>
              </w:rPr>
              <w:t>的温度、湿度、漏水、配电、UPS、空调等状态</w:t>
            </w:r>
            <w:r>
              <w:rPr>
                <w:rFonts w:hint="eastAsia"/>
                <w:highlight w:val="none"/>
                <w:lang w:val="en-US" w:eastAsia="zh-CN"/>
              </w:rPr>
              <w:t>及告警</w:t>
            </w:r>
            <w:r>
              <w:rPr>
                <w:rFonts w:hint="default" w:ascii="宋体" w:eastAsia="宋体"/>
                <w:highlight w:val="none"/>
                <w:lang w:val="en-US" w:eastAsia="zh-CN"/>
              </w:rPr>
              <w:t>数据</w:t>
            </w:r>
            <w:r>
              <w:rPr>
                <w:rFonts w:hint="eastAsia"/>
                <w:highlight w:val="none"/>
                <w:lang w:val="en-US" w:eastAsia="zh-CN"/>
              </w:rPr>
              <w:t>接入云盾平台</w:t>
            </w:r>
            <w:r>
              <w:rPr>
                <w:rFonts w:hint="default" w:ascii="宋体" w:eastAsia="宋体"/>
                <w:highlight w:val="none"/>
                <w:lang w:val="en-US" w:eastAsia="zh-CN"/>
              </w:rPr>
              <w:t>。</w:t>
            </w:r>
          </w:p>
        </w:tc>
        <w:tc>
          <w:tcPr>
            <w:tcW w:w="615"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eastAsia="宋体"/>
                <w:highlight w:val="none"/>
                <w:lang w:val="en-US" w:eastAsia="zh-CN"/>
              </w:rPr>
            </w:pPr>
            <w:r>
              <w:rPr>
                <w:rFonts w:hint="eastAsia" w:ascii="宋体" w:eastAsia="宋体"/>
                <w:highlight w:val="none"/>
                <w:lang w:val="en-US" w:eastAsia="zh-CN"/>
              </w:rPr>
              <w:t>1</w:t>
            </w:r>
          </w:p>
        </w:tc>
        <w:tc>
          <w:tcPr>
            <w:tcW w:w="1841" w:type="dxa"/>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eastAsia="宋体"/>
                <w:highlight w:val="none"/>
                <w:lang w:val="en-US" w:eastAsia="zh-CN"/>
              </w:rPr>
            </w:pPr>
          </w:p>
        </w:tc>
        <w:tc>
          <w:tcPr>
            <w:tcW w:w="540" w:type="dxa"/>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eastAsia="宋体"/>
                <w:highlight w:val="none"/>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565" w:type="dxa"/>
            <w:vAlign w:val="center"/>
          </w:tcPr>
          <w:p>
            <w:pPr>
              <w:spacing w:line="240" w:lineRule="auto"/>
              <w:rPr>
                <w:rFonts w:hint="eastAsia"/>
                <w:highlight w:val="none"/>
              </w:rPr>
            </w:pPr>
            <w:r>
              <w:rPr>
                <w:rFonts w:hint="eastAsia"/>
                <w:highlight w:val="none"/>
              </w:rPr>
              <w:t>要求报价含</w:t>
            </w:r>
          </w:p>
        </w:tc>
        <w:tc>
          <w:tcPr>
            <w:tcW w:w="7743" w:type="dxa"/>
            <w:gridSpan w:val="6"/>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eastAsia="宋体"/>
                <w:highlight w:val="none"/>
                <w:lang w:val="en-US" w:eastAsia="zh-CN"/>
              </w:rPr>
            </w:pPr>
            <w:r>
              <w:rPr>
                <w:rFonts w:hint="eastAsia" w:ascii="宋体" w:eastAsia="宋体"/>
                <w:highlight w:val="none"/>
                <w:lang w:val="en-US" w:eastAsia="zh-CN"/>
              </w:rPr>
              <w:t>1、负责数据接口的开发、安装、调试部署工作。</w:t>
            </w:r>
          </w:p>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eastAsia="宋体"/>
                <w:highlight w:val="none"/>
                <w:lang w:val="en-US" w:eastAsia="zh-CN"/>
              </w:rPr>
            </w:pPr>
            <w:r>
              <w:rPr>
                <w:rFonts w:hint="eastAsia" w:ascii="宋体" w:eastAsia="宋体"/>
                <w:highlight w:val="none"/>
                <w:lang w:val="en-US" w:eastAsia="zh-CN"/>
              </w:rPr>
              <w:t>2、质保期内提供原厂现场免费</w:t>
            </w:r>
            <w:r>
              <w:rPr>
                <w:rFonts w:hint="eastAsia"/>
                <w:highlight w:val="none"/>
                <w:lang w:val="en-US" w:eastAsia="zh-CN"/>
              </w:rPr>
              <w:t>维护</w:t>
            </w:r>
            <w:r>
              <w:rPr>
                <w:rFonts w:hint="eastAsia" w:ascii="宋体" w:eastAsia="宋体"/>
                <w:highlight w:val="none"/>
                <w:lang w:val="en-US" w:eastAsia="zh-CN"/>
              </w:rPr>
              <w:t>。</w:t>
            </w:r>
          </w:p>
        </w:tc>
      </w:tr>
    </w:tbl>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工厂试验可由投标方在生产厂家内完成。</w:t>
      </w:r>
    </w:p>
    <w:p>
      <w:pPr>
        <w:pStyle w:val="5"/>
        <w:keepNext w:val="0"/>
        <w:keepLines w:val="0"/>
        <w:widowControl/>
        <w:numPr>
          <w:ilvl w:val="1"/>
          <w:numId w:val="2"/>
        </w:numPr>
        <w:spacing w:before="200" w:line="276" w:lineRule="auto"/>
        <w:jc w:val="left"/>
        <w:rPr>
          <w:rFonts w:hint="eastAsia"/>
          <w:lang w:val="en-US" w:eastAsia="zh-CN"/>
        </w:rPr>
      </w:pPr>
      <w:r>
        <w:rPr>
          <w:rFonts w:hint="eastAsia" w:hAnsi="宋体"/>
          <w:b w:val="0"/>
          <w:szCs w:val="24"/>
          <w:lang w:val="en-US" w:eastAsia="zh-CN"/>
        </w:rPr>
        <w:t xml:space="preserve">  </w:t>
      </w:r>
      <w:r>
        <w:rPr>
          <w:rFonts w:hint="eastAsia" w:hAnsi="宋体"/>
          <w:b w:val="0"/>
          <w:szCs w:val="24"/>
        </w:rPr>
        <w:t>现场安装</w:t>
      </w:r>
      <w:r>
        <w:rPr>
          <w:rFonts w:hint="eastAsia" w:hAnsi="宋体"/>
          <w:b w:val="0"/>
          <w:szCs w:val="24"/>
          <w:lang w:eastAsia="zh-CN"/>
        </w:rPr>
        <w:t>前，投标方需要进行现场环境的勘察，根据机房实际情况，对动力环境监控系统</w:t>
      </w:r>
      <w:r>
        <w:rPr>
          <w:rFonts w:hint="eastAsia" w:hAnsi="宋体"/>
          <w:b w:val="0"/>
          <w:bCs/>
          <w:szCs w:val="24"/>
          <w:highlight w:val="none"/>
          <w:lang w:eastAsia="zh-CN"/>
        </w:rPr>
        <w:t>安装位置、</w:t>
      </w:r>
      <w:r>
        <w:rPr>
          <w:rFonts w:hint="eastAsia"/>
          <w:b w:val="0"/>
          <w:bCs/>
          <w:lang w:val="en-US" w:eastAsia="zh-CN"/>
        </w:rPr>
        <w:t>周边环境进行详细评估，确保模块的安装位置合理，避免电磁干扰和高温环境，保证监控数据的准确性和稳定性。安装方法需严格按照产品说明书和工程规范执行，确保连接牢固、接线正确，同时做好防尘、防水措施，提高设备的可靠性和使用寿命。</w:t>
      </w:r>
    </w:p>
    <w:p>
      <w:pPr>
        <w:pStyle w:val="5"/>
        <w:keepNext w:val="0"/>
        <w:keepLines w:val="0"/>
        <w:widowControl/>
        <w:numPr>
          <w:ilvl w:val="1"/>
          <w:numId w:val="2"/>
        </w:numPr>
        <w:spacing w:before="200" w:line="276" w:lineRule="auto"/>
        <w:jc w:val="left"/>
        <w:rPr>
          <w:rFonts w:hAnsi="宋体"/>
          <w:b w:val="0"/>
          <w:szCs w:val="24"/>
        </w:rPr>
      </w:pPr>
      <w:r>
        <w:rPr>
          <w:rFonts w:hint="eastAsia" w:hAnsi="宋体"/>
          <w:b w:val="0"/>
          <w:szCs w:val="24"/>
          <w:lang w:val="en-US" w:eastAsia="zh-CN"/>
        </w:rPr>
        <w:t xml:space="preserve">  </w:t>
      </w:r>
      <w:r>
        <w:rPr>
          <w:rFonts w:hint="eastAsia" w:hAnsi="宋体"/>
          <w:b w:val="0"/>
          <w:szCs w:val="24"/>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widowControl/>
        <w:numPr>
          <w:numId w:val="0"/>
        </w:numPr>
        <w:spacing w:before="200" w:line="276" w:lineRule="auto"/>
        <w:ind w:leftChars="0"/>
        <w:jc w:val="left"/>
        <w:rPr>
          <w:rFonts w:hAnsi="宋体"/>
          <w:b w:val="0"/>
          <w:szCs w:val="24"/>
        </w:rPr>
      </w:pPr>
      <w:r>
        <w:rPr>
          <w:rFonts w:hint="eastAsia" w:hAnsi="宋体"/>
          <w:b w:val="0"/>
          <w:szCs w:val="24"/>
          <w:lang w:val="en-US" w:eastAsia="zh-CN"/>
        </w:rPr>
        <w:t xml:space="preserve">2.10 </w:t>
      </w:r>
      <w:r>
        <w:rPr>
          <w:rFonts w:hint="eastAsia" w:hAnsi="宋体"/>
          <w:b w:val="0"/>
          <w:szCs w:val="24"/>
        </w:rPr>
        <w:t>投标方应协助招标方解决设备运行中出现的问题。</w:t>
      </w:r>
    </w:p>
    <w:p>
      <w:pPr>
        <w:pStyle w:val="5"/>
        <w:keepNext w:val="0"/>
        <w:keepLines w:val="0"/>
        <w:widowControl/>
        <w:numPr>
          <w:numId w:val="0"/>
        </w:numPr>
        <w:spacing w:before="200" w:line="276" w:lineRule="auto"/>
        <w:ind w:leftChars="0"/>
        <w:jc w:val="left"/>
        <w:rPr>
          <w:rFonts w:hAnsi="宋体"/>
          <w:b w:val="0"/>
          <w:szCs w:val="24"/>
        </w:rPr>
      </w:pPr>
      <w:r>
        <w:rPr>
          <w:rFonts w:hint="eastAsia" w:hAnsi="宋体"/>
          <w:b w:val="0"/>
          <w:szCs w:val="24"/>
          <w:lang w:val="en-US" w:eastAsia="zh-CN"/>
        </w:rPr>
        <w:t xml:space="preserve">2.11 </w:t>
      </w:r>
      <w:r>
        <w:rPr>
          <w:rFonts w:hint="eastAsia" w:hAnsi="宋体"/>
          <w:b w:val="0"/>
          <w:szCs w:val="24"/>
        </w:rPr>
        <w:t>设备安装、调试和性能试验合格后方可投运。设备投运并稳定运行后，投标方和招标方双方应根据相关法律、法规和公司管理制度签署设备现场验收证明书(或设备到货验收清单)。该证明书(或设备到货验收清单)共两份，双方各执一份。</w:t>
      </w:r>
    </w:p>
    <w:p>
      <w:pPr>
        <w:pStyle w:val="5"/>
        <w:keepNext w:val="0"/>
        <w:keepLines w:val="0"/>
        <w:widowControl/>
        <w:numPr>
          <w:numId w:val="0"/>
        </w:numPr>
        <w:spacing w:line="240" w:lineRule="auto"/>
        <w:ind w:leftChars="0"/>
        <w:jc w:val="left"/>
      </w:pPr>
      <w:r>
        <w:rPr>
          <w:rFonts w:hint="eastAsia" w:hAnsi="宋体"/>
          <w:b w:val="0"/>
          <w:szCs w:val="24"/>
          <w:lang w:val="en-US" w:eastAsia="zh-CN"/>
        </w:rPr>
        <w:t xml:space="preserve">2.12 </w:t>
      </w:r>
      <w:r>
        <w:rPr>
          <w:rFonts w:hint="eastAsia" w:hAnsi="宋体"/>
          <w:b w:val="0"/>
          <w:szCs w:val="24"/>
        </w:rPr>
        <w:t>如果安装、调试、性能试验、试运行及质保期内技术指标一项或多项不能满足合同技术部分要求，买卖双方共同分析原因，分清责任，如属制造方面的原因，或涉及索赔部分，按商务部分有关条款执行。</w:t>
      </w:r>
    </w:p>
    <w:p>
      <w:pPr>
        <w:pStyle w:val="4"/>
        <w:keepNext w:val="0"/>
        <w:keepLines w:val="0"/>
        <w:widowControl/>
        <w:numPr>
          <w:ilvl w:val="0"/>
          <w:numId w:val="2"/>
        </w:numPr>
        <w:spacing w:before="480" w:line="276" w:lineRule="auto"/>
        <w:contextualSpacing/>
        <w:jc w:val="left"/>
        <w:rPr>
          <w:rFonts w:hAnsi="宋体"/>
          <w:szCs w:val="24"/>
        </w:rPr>
      </w:pPr>
      <w:bookmarkStart w:id="3" w:name="_Toc1840650166"/>
      <w:r>
        <w:rPr>
          <w:rFonts w:hint="eastAsia" w:hAnsi="宋体"/>
          <w:szCs w:val="24"/>
        </w:rPr>
        <w:t>应遵循的主要标准</w:t>
      </w:r>
      <w:bookmarkEnd w:id="3"/>
    </w:p>
    <w:p>
      <w:pPr>
        <w:pStyle w:val="5"/>
        <w:keepNext w:val="0"/>
        <w:keepLines w:val="0"/>
        <w:widowControl/>
        <w:numPr>
          <w:ilvl w:val="1"/>
          <w:numId w:val="2"/>
        </w:numPr>
        <w:spacing w:before="200" w:line="276" w:lineRule="auto"/>
        <w:jc w:val="left"/>
        <w:rPr>
          <w:rFonts w:hint="eastAsia" w:hAnsi="宋体"/>
          <w:b/>
          <w:bCs w:val="0"/>
          <w:szCs w:val="24"/>
        </w:rPr>
      </w:pPr>
      <w:r>
        <w:rPr>
          <w:rFonts w:hint="eastAsia" w:hAnsi="宋体"/>
          <w:b w:val="0"/>
          <w:szCs w:val="24"/>
          <w:lang w:val="en-US" w:eastAsia="zh-CN"/>
        </w:rPr>
        <w:t xml:space="preserve">  </w:t>
      </w:r>
      <w:r>
        <w:rPr>
          <w:rFonts w:hint="eastAsia" w:hAnsi="宋体"/>
          <w:b w:val="0"/>
          <w:szCs w:val="24"/>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pPr>
        <w:jc w:val="center"/>
        <w:rPr>
          <w:b/>
          <w:bCs w:val="0"/>
        </w:rPr>
      </w:pPr>
      <w:r>
        <w:rPr>
          <w:rFonts w:hint="eastAsia"/>
          <w:b/>
          <w:bCs w:val="0"/>
        </w:rPr>
        <w:t>表2 设备应遵循主要标准列表</w:t>
      </w:r>
    </w:p>
    <w:tbl>
      <w:tblPr>
        <w:tblStyle w:val="10"/>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06"/>
        <w:gridCol w:w="62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r>
              <w:rPr>
                <w:rFonts w:hint="eastAsia"/>
              </w:rPr>
              <w:t>标准号-年份</w:t>
            </w:r>
          </w:p>
        </w:tc>
        <w:tc>
          <w:tcPr>
            <w:tcW w:w="6249" w:type="dxa"/>
          </w:tcPr>
          <w:p>
            <w:r>
              <w:rPr>
                <w:rFonts w:hint="eastAsia"/>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jc w:val="left"/>
              <w:rPr>
                <w:rFonts w:hint="eastAsia"/>
              </w:rPr>
            </w:pPr>
            <w:r>
              <w:rPr>
                <w:rFonts w:hint="eastAsia"/>
              </w:rPr>
              <w:t>GB/T 51409-2020</w:t>
            </w:r>
          </w:p>
        </w:tc>
        <w:tc>
          <w:tcPr>
            <w:tcW w:w="6249" w:type="dxa"/>
          </w:tcPr>
          <w:p>
            <w:pPr>
              <w:rPr>
                <w:rFonts w:hint="eastAsia"/>
              </w:rPr>
            </w:pPr>
            <w:r>
              <w:rPr>
                <w:rFonts w:hint="eastAsia"/>
              </w:rPr>
              <w:t>《数据中心综合监控系统工程技术标准》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jc w:val="left"/>
              <w:rPr>
                <w:rFonts w:hint="eastAsia" w:eastAsia="宋体"/>
                <w:lang w:eastAsia="zh-CN"/>
              </w:rPr>
            </w:pPr>
            <w:r>
              <w:rPr>
                <w:rFonts w:hint="eastAsia"/>
              </w:rPr>
              <w:t>GB 50174-2017</w:t>
            </w:r>
          </w:p>
        </w:tc>
        <w:tc>
          <w:tcPr>
            <w:tcW w:w="6249" w:type="dxa"/>
          </w:tcPr>
          <w:p>
            <w:pPr>
              <w:rPr>
                <w:rFonts w:hint="eastAsia"/>
              </w:rPr>
            </w:pPr>
            <w:r>
              <w:rPr>
                <w:rFonts w:hint="eastAsia"/>
              </w:rPr>
              <w:t>《数据中心设计规范》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06" w:type="dxa"/>
          </w:tcPr>
          <w:p>
            <w:pPr>
              <w:jc w:val="left"/>
              <w:rPr>
                <w:rFonts w:hint="eastAsia" w:eastAsia="宋体"/>
                <w:lang w:eastAsia="zh-CN"/>
              </w:rPr>
            </w:pPr>
            <w:r>
              <w:rPr>
                <w:rFonts w:hint="eastAsia"/>
              </w:rPr>
              <w:t>GB50462-2015</w:t>
            </w:r>
          </w:p>
        </w:tc>
        <w:tc>
          <w:tcPr>
            <w:tcW w:w="6249" w:type="dxa"/>
          </w:tcPr>
          <w:p>
            <w:pPr>
              <w:rPr>
                <w:rFonts w:hint="eastAsia"/>
              </w:rPr>
            </w:pPr>
            <w:r>
              <w:rPr>
                <w:rFonts w:hint="eastAsia"/>
              </w:rPr>
              <w:t>《数据中心基础设施施工及验收规范》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jc w:val="left"/>
              <w:rPr>
                <w:rFonts w:hint="eastAsia"/>
              </w:rPr>
            </w:pPr>
            <w:r>
              <w:rPr>
                <w:rFonts w:hint="eastAsia"/>
              </w:rPr>
              <w:t>GB 50314-2015</w:t>
            </w:r>
          </w:p>
        </w:tc>
        <w:tc>
          <w:tcPr>
            <w:tcW w:w="6249" w:type="dxa"/>
          </w:tcPr>
          <w:p>
            <w:pPr>
              <w:rPr>
                <w:rFonts w:hint="eastAsia"/>
              </w:rPr>
            </w:pPr>
            <w:r>
              <w:rPr>
                <w:rFonts w:hint="eastAsia"/>
              </w:rPr>
              <w:t>《智能建筑设计标准》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pStyle w:val="19"/>
              <w:numPr>
                <w:ilvl w:val="0"/>
                <w:numId w:val="0"/>
              </w:numPr>
              <w:jc w:val="left"/>
              <w:rPr>
                <w:rFonts w:hint="eastAsia"/>
              </w:rPr>
            </w:pPr>
            <w:r>
              <w:rPr>
                <w:rFonts w:hint="eastAsia"/>
                <w:sz w:val="24"/>
                <w:szCs w:val="24"/>
              </w:rPr>
              <w:t>GB51195-2016</w:t>
            </w:r>
          </w:p>
        </w:tc>
        <w:tc>
          <w:tcPr>
            <w:tcW w:w="6249" w:type="dxa"/>
          </w:tcPr>
          <w:p>
            <w:pPr>
              <w:rPr>
                <w:rFonts w:hint="eastAsia"/>
              </w:rPr>
            </w:pPr>
            <w:r>
              <w:rPr>
                <w:rFonts w:hint="eastAsia"/>
              </w:rPr>
              <w:t>《互联网数据中心工程技术规范》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pStyle w:val="19"/>
              <w:numPr>
                <w:ilvl w:val="0"/>
                <w:numId w:val="0"/>
              </w:numPr>
              <w:jc w:val="left"/>
            </w:pPr>
            <w:r>
              <w:rPr>
                <w:rFonts w:hint="eastAsia"/>
                <w:sz w:val="24"/>
                <w:szCs w:val="24"/>
              </w:rPr>
              <w:t>GBT22239—2019</w:t>
            </w:r>
          </w:p>
        </w:tc>
        <w:tc>
          <w:tcPr>
            <w:tcW w:w="6249" w:type="dxa"/>
          </w:tcPr>
          <w:p>
            <w:pPr>
              <w:rPr>
                <w:rFonts w:hint="eastAsia"/>
              </w:rPr>
            </w:pPr>
            <w:r>
              <w:rPr>
                <w:rFonts w:hint="eastAsia"/>
              </w:rPr>
              <w:t>《信息安全技术网络安全等级保护基本要求》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06" w:type="dxa"/>
          </w:tcPr>
          <w:p>
            <w:r>
              <w:rPr>
                <w:rFonts w:hint="eastAsia"/>
              </w:rPr>
              <w:t>GB50311-2016</w:t>
            </w:r>
          </w:p>
        </w:tc>
        <w:tc>
          <w:tcPr>
            <w:tcW w:w="6249" w:type="dxa"/>
          </w:tcPr>
          <w:p>
            <w:pPr>
              <w:rPr>
                <w:rFonts w:hint="eastAsia"/>
              </w:rPr>
            </w:pPr>
            <w:r>
              <w:rPr>
                <w:rFonts w:hint="eastAsia"/>
              </w:rPr>
              <w:t>《综合布线系统工程设计规范》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r>
              <w:rPr>
                <w:rFonts w:hint="eastAsia"/>
              </w:rPr>
              <w:t>GB50052-2009</w:t>
            </w:r>
          </w:p>
        </w:tc>
        <w:tc>
          <w:tcPr>
            <w:tcW w:w="6249" w:type="dxa"/>
          </w:tcPr>
          <w:p>
            <w:pPr>
              <w:rPr>
                <w:rFonts w:hint="eastAsia"/>
              </w:rPr>
            </w:pPr>
            <w:r>
              <w:rPr>
                <w:rFonts w:hint="eastAsia"/>
              </w:rPr>
              <w:t>《供配电系统设计规范》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r>
              <w:rPr>
                <w:rFonts w:hint="eastAsia"/>
              </w:rPr>
              <w:t>GB50348-2018</w:t>
            </w:r>
          </w:p>
        </w:tc>
        <w:tc>
          <w:tcPr>
            <w:tcW w:w="6249" w:type="dxa"/>
          </w:tcPr>
          <w:p>
            <w:pPr>
              <w:rPr>
                <w:rFonts w:hint="eastAsia"/>
              </w:rPr>
            </w:pPr>
            <w:r>
              <w:rPr>
                <w:rFonts w:hint="eastAsia"/>
              </w:rPr>
              <w:t>《安全防范工程技术规范》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r>
              <w:rPr>
                <w:rFonts w:hint="eastAsia"/>
              </w:rPr>
              <w:t>GB 50054－95</w:t>
            </w:r>
          </w:p>
        </w:tc>
        <w:tc>
          <w:tcPr>
            <w:tcW w:w="6249" w:type="dxa"/>
          </w:tcPr>
          <w:p>
            <w:pPr>
              <w:rPr>
                <w:rFonts w:hint="eastAsia"/>
              </w:rPr>
            </w:pPr>
            <w:r>
              <w:rPr>
                <w:rFonts w:hint="eastAsia"/>
              </w:rPr>
              <w:t>《低压配电设计规范》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06" w:type="dxa"/>
          </w:tcPr>
          <w:p>
            <w:r>
              <w:rPr>
                <w:rFonts w:hint="eastAsia"/>
              </w:rPr>
              <w:t>GB 50174-2017</w:t>
            </w:r>
          </w:p>
        </w:tc>
        <w:tc>
          <w:tcPr>
            <w:tcW w:w="6249" w:type="dxa"/>
          </w:tcPr>
          <w:p>
            <w:r>
              <w:rPr>
                <w:rFonts w:hint="eastAsia"/>
              </w:rPr>
              <w:t>《电子信息系统机房设计规范》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6" w:type="dxa"/>
          </w:tcPr>
          <w:p>
            <w:pPr>
              <w:rPr>
                <w:rFonts w:hint="eastAsia"/>
              </w:rPr>
            </w:pPr>
            <w:r>
              <w:rPr>
                <w:rFonts w:hint="eastAsia"/>
              </w:rPr>
              <w:t>GB 50339-2013</w:t>
            </w:r>
          </w:p>
        </w:tc>
        <w:tc>
          <w:tcPr>
            <w:tcW w:w="6249" w:type="dxa"/>
          </w:tcPr>
          <w:p>
            <w:r>
              <w:rPr>
                <w:rFonts w:hint="eastAsia"/>
              </w:rPr>
              <w:t>《智能建筑工程质量验收规范》</w:t>
            </w:r>
          </w:p>
        </w:tc>
      </w:tr>
    </w:tbl>
    <w:p>
      <w:pPr>
        <w:pStyle w:val="4"/>
        <w:keepNext w:val="0"/>
        <w:keepLines w:val="0"/>
        <w:widowControl/>
        <w:numPr>
          <w:ilvl w:val="0"/>
          <w:numId w:val="2"/>
        </w:numPr>
        <w:spacing w:before="480" w:line="276" w:lineRule="auto"/>
        <w:contextualSpacing/>
        <w:jc w:val="left"/>
        <w:rPr>
          <w:rFonts w:hAnsi="宋体"/>
          <w:szCs w:val="24"/>
        </w:rPr>
      </w:pPr>
      <w:bookmarkStart w:id="4" w:name="_Toc1305404927"/>
      <w:r>
        <w:rPr>
          <w:rFonts w:hint="eastAsia" w:hAnsi="宋体"/>
          <w:szCs w:val="24"/>
        </w:rPr>
        <w:t>使用条件</w:t>
      </w:r>
      <w:bookmarkEnd w:id="4"/>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4.1  </w:t>
      </w:r>
      <w:r>
        <w:rPr>
          <w:rFonts w:hAnsi="宋体"/>
          <w:sz w:val="24"/>
        </w:rPr>
        <w:t>环境温度：</w:t>
      </w:r>
      <w:r>
        <w:rPr>
          <w:sz w:val="24"/>
        </w:rPr>
        <w:t>-10</w:t>
      </w:r>
      <w:r>
        <w:rPr>
          <w:rFonts w:ascii="宋体" w:hAnsi="宋体"/>
          <w:sz w:val="24"/>
        </w:rPr>
        <w:t>℃</w:t>
      </w:r>
      <w:r>
        <w:rPr>
          <w:rFonts w:hAnsi="宋体"/>
          <w:sz w:val="24"/>
        </w:rPr>
        <w:t>～</w:t>
      </w:r>
      <w:r>
        <w:rPr>
          <w:sz w:val="24"/>
        </w:rPr>
        <w:t>+55</w:t>
      </w:r>
      <w:r>
        <w:rPr>
          <w:rFonts w:ascii="宋体" w:hAnsi="宋体"/>
          <w:sz w:val="24"/>
        </w:rPr>
        <w:t>℃</w:t>
      </w:r>
      <w:r>
        <w:rPr>
          <w:rFonts w:hAnsi="宋体"/>
          <w:sz w:val="24"/>
        </w:rPr>
        <w:t>；</w:t>
      </w:r>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4.2  </w:t>
      </w:r>
      <w:r>
        <w:rPr>
          <w:rFonts w:hAnsi="宋体"/>
          <w:sz w:val="24"/>
        </w:rPr>
        <w:t>相对湿度：</w:t>
      </w:r>
      <w:r>
        <w:rPr>
          <w:sz w:val="24"/>
        </w:rPr>
        <w:t>5%~95%(</w:t>
      </w:r>
      <w:r>
        <w:rPr>
          <w:rFonts w:hAnsi="宋体"/>
          <w:sz w:val="24"/>
        </w:rPr>
        <w:t>产品内部既不应凝露，也不应结冰</w:t>
      </w:r>
      <w:r>
        <w:rPr>
          <w:sz w:val="24"/>
        </w:rPr>
        <w:t>)</w:t>
      </w:r>
      <w:r>
        <w:rPr>
          <w:rFonts w:hAnsi="宋体"/>
          <w:sz w:val="24"/>
        </w:rPr>
        <w:t>；</w:t>
      </w:r>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4.3  </w:t>
      </w:r>
      <w:r>
        <w:rPr>
          <w:rFonts w:hAnsi="宋体"/>
          <w:sz w:val="24"/>
        </w:rPr>
        <w:t>大气压力：</w:t>
      </w:r>
      <w:r>
        <w:rPr>
          <w:sz w:val="24"/>
        </w:rPr>
        <w:t>80kPa</w:t>
      </w:r>
      <w:r>
        <w:rPr>
          <w:rFonts w:hAnsi="宋体"/>
          <w:sz w:val="24"/>
        </w:rPr>
        <w:t>～</w:t>
      </w:r>
      <w:r>
        <w:rPr>
          <w:sz w:val="24"/>
        </w:rPr>
        <w:t>106kPa</w:t>
      </w:r>
      <w:r>
        <w:rPr>
          <w:rFonts w:hAnsi="宋体"/>
          <w:sz w:val="24"/>
        </w:rPr>
        <w:t>。</w:t>
      </w:r>
    </w:p>
    <w:p>
      <w:pPr>
        <w:pStyle w:val="5"/>
        <w:rPr>
          <w:rFonts w:ascii="Times New Roman" w:hAnsi="Times New Roman"/>
        </w:rPr>
      </w:pPr>
      <w:bookmarkStart w:id="5" w:name="_Toc5024"/>
      <w:bookmarkStart w:id="6" w:name="_Toc27011"/>
      <w:bookmarkStart w:id="7" w:name="_Toc17588"/>
      <w:bookmarkStart w:id="8" w:name="_Toc30475"/>
      <w:bookmarkStart w:id="9" w:name="_Toc1422"/>
      <w:bookmarkStart w:id="10" w:name="_Toc452453191"/>
      <w:r>
        <w:rPr>
          <w:rFonts w:ascii="Times New Roman"/>
        </w:rPr>
        <w:t>贮存、运输环境条件</w:t>
      </w:r>
      <w:bookmarkEnd w:id="5"/>
      <w:bookmarkEnd w:id="6"/>
      <w:bookmarkEnd w:id="7"/>
      <w:bookmarkEnd w:id="8"/>
      <w:bookmarkEnd w:id="9"/>
      <w:bookmarkEnd w:id="10"/>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4.4  </w:t>
      </w:r>
      <w:r>
        <w:rPr>
          <w:rFonts w:hAnsi="宋体"/>
          <w:sz w:val="24"/>
        </w:rPr>
        <w:t>装置在运输中允许的环境温度</w:t>
      </w:r>
      <w:r>
        <w:rPr>
          <w:sz w:val="24"/>
        </w:rPr>
        <w:t>-40</w:t>
      </w:r>
      <w:r>
        <w:rPr>
          <w:rFonts w:ascii="宋体" w:hAnsi="宋体"/>
          <w:sz w:val="24"/>
        </w:rPr>
        <w:t>℃</w:t>
      </w:r>
      <w:r>
        <w:rPr>
          <w:rFonts w:hAnsi="宋体"/>
          <w:sz w:val="24"/>
        </w:rPr>
        <w:t>～＋</w:t>
      </w:r>
      <w:r>
        <w:rPr>
          <w:sz w:val="24"/>
        </w:rPr>
        <w:t>70</w:t>
      </w:r>
      <w:r>
        <w:rPr>
          <w:rFonts w:ascii="宋体" w:hAnsi="宋体"/>
          <w:sz w:val="24"/>
        </w:rPr>
        <w:t>℃</w:t>
      </w:r>
      <w:r>
        <w:rPr>
          <w:rFonts w:hAnsi="宋体"/>
          <w:sz w:val="24"/>
        </w:rPr>
        <w:t>，相对湿度不大于</w:t>
      </w:r>
      <w:r>
        <w:rPr>
          <w:sz w:val="24"/>
        </w:rPr>
        <w:t>85%</w:t>
      </w:r>
      <w:r>
        <w:rPr>
          <w:rFonts w:hAnsi="宋体"/>
          <w:sz w:val="24"/>
        </w:rPr>
        <w:t>；</w:t>
      </w:r>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4.5  </w:t>
      </w:r>
      <w:r>
        <w:rPr>
          <w:rFonts w:hAnsi="宋体"/>
          <w:sz w:val="24"/>
        </w:rPr>
        <w:t>在贮存中允许的环境温度</w:t>
      </w:r>
      <w:r>
        <w:rPr>
          <w:sz w:val="24"/>
        </w:rPr>
        <w:t>-25</w:t>
      </w:r>
      <w:r>
        <w:rPr>
          <w:rFonts w:ascii="宋体" w:hAnsi="宋体"/>
          <w:sz w:val="24"/>
        </w:rPr>
        <w:t>℃</w:t>
      </w:r>
      <w:r>
        <w:rPr>
          <w:rFonts w:hAnsi="宋体"/>
          <w:sz w:val="24"/>
        </w:rPr>
        <w:t>～＋</w:t>
      </w:r>
      <w:r>
        <w:rPr>
          <w:sz w:val="24"/>
        </w:rPr>
        <w:t>55</w:t>
      </w:r>
      <w:r>
        <w:rPr>
          <w:rFonts w:ascii="宋体" w:hAnsi="宋体"/>
          <w:sz w:val="24"/>
        </w:rPr>
        <w:t>℃</w:t>
      </w:r>
      <w:r>
        <w:rPr>
          <w:rFonts w:hAnsi="宋体"/>
          <w:sz w:val="24"/>
        </w:rPr>
        <w:t>，相对湿度不大于</w:t>
      </w:r>
      <w:r>
        <w:rPr>
          <w:sz w:val="24"/>
        </w:rPr>
        <w:t>85%</w:t>
      </w:r>
      <w:r>
        <w:rPr>
          <w:rFonts w:hAnsi="宋体"/>
          <w:sz w:val="24"/>
        </w:rPr>
        <w:t>，在不施加任何激励量的条件下，装置不出现不可逆变化。</w:t>
      </w:r>
    </w:p>
    <w:p>
      <w:pPr>
        <w:pStyle w:val="5"/>
        <w:rPr>
          <w:rFonts w:ascii="Times New Roman" w:hAnsi="Times New Roman"/>
        </w:rPr>
      </w:pPr>
      <w:bookmarkStart w:id="11" w:name="_Toc452453192"/>
      <w:bookmarkStart w:id="12" w:name="_Toc17869"/>
      <w:bookmarkStart w:id="13" w:name="_Toc24818"/>
      <w:bookmarkStart w:id="14" w:name="_Toc30497"/>
      <w:bookmarkStart w:id="15" w:name="_Toc4380"/>
      <w:bookmarkStart w:id="16" w:name="_Toc17535"/>
      <w:r>
        <w:rPr>
          <w:rFonts w:ascii="Times New Roman"/>
        </w:rPr>
        <w:t>环境要求</w:t>
      </w:r>
      <w:bookmarkEnd w:id="11"/>
      <w:bookmarkEnd w:id="12"/>
      <w:bookmarkEnd w:id="13"/>
      <w:bookmarkEnd w:id="14"/>
      <w:bookmarkEnd w:id="15"/>
      <w:bookmarkEnd w:id="16"/>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4.6  </w:t>
      </w:r>
      <w:r>
        <w:rPr>
          <w:rFonts w:hAnsi="宋体"/>
          <w:sz w:val="24"/>
        </w:rPr>
        <w:t>无爆炸危险、无腐蚀性气体及导电尘埃、</w:t>
      </w:r>
      <w:r>
        <w:rPr>
          <w:sz w:val="24"/>
        </w:rPr>
        <w:t xml:space="preserve"> </w:t>
      </w:r>
      <w:r>
        <w:rPr>
          <w:rFonts w:hAnsi="宋体"/>
          <w:sz w:val="24"/>
        </w:rPr>
        <w:t>无严重霉菌、无剧烈振动冲击源；</w:t>
      </w:r>
      <w:r>
        <w:rPr>
          <w:sz w:val="24"/>
        </w:rPr>
        <w:t xml:space="preserve"> </w:t>
      </w:r>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4.7  </w:t>
      </w:r>
      <w:r>
        <w:rPr>
          <w:rFonts w:hAnsi="宋体"/>
          <w:sz w:val="24"/>
        </w:rPr>
        <w:t>计算机机房的接地和静电防护应符合</w:t>
      </w:r>
      <w:r>
        <w:rPr>
          <w:sz w:val="24"/>
        </w:rPr>
        <w:t xml:space="preserve"> GB 50174 </w:t>
      </w:r>
      <w:r>
        <w:rPr>
          <w:rFonts w:hAnsi="宋体"/>
          <w:sz w:val="24"/>
        </w:rPr>
        <w:t>有关规定；</w:t>
      </w:r>
      <w:r>
        <w:rPr>
          <w:sz w:val="24"/>
        </w:rPr>
        <w:t xml:space="preserve"> </w:t>
      </w:r>
    </w:p>
    <w:p>
      <w:pPr>
        <w:numPr>
          <w:ilvl w:val="0"/>
          <w:numId w:val="0"/>
        </w:numPr>
        <w:tabs>
          <w:tab w:val="left" w:pos="851"/>
        </w:tabs>
        <w:adjustRightInd w:val="0"/>
        <w:snapToGrid w:val="0"/>
        <w:textAlignment w:val="baseline"/>
        <w:rPr>
          <w:sz w:val="24"/>
        </w:rPr>
      </w:pPr>
      <w:r>
        <w:rPr>
          <w:rFonts w:hint="eastAsia" w:hAnsi="宋体"/>
          <w:sz w:val="24"/>
          <w:lang w:val="en-US" w:eastAsia="zh-CN"/>
        </w:rPr>
        <w:t xml:space="preserve">4.8  </w:t>
      </w:r>
      <w:r>
        <w:rPr>
          <w:rFonts w:hAnsi="宋体"/>
          <w:sz w:val="24"/>
        </w:rPr>
        <w:t>计算机机房的平均照度应</w:t>
      </w:r>
      <w:r>
        <w:rPr>
          <w:sz w:val="24"/>
        </w:rPr>
        <w:t xml:space="preserve"> ≥500 lx </w:t>
      </w:r>
      <w:r>
        <w:rPr>
          <w:rFonts w:hAnsi="宋体"/>
          <w:sz w:val="24"/>
        </w:rPr>
        <w:t>；</w:t>
      </w:r>
      <w:r>
        <w:rPr>
          <w:sz w:val="24"/>
        </w:rPr>
        <w:t xml:space="preserve"> </w:t>
      </w:r>
    </w:p>
    <w:p>
      <w:pPr>
        <w:numPr>
          <w:ilvl w:val="0"/>
          <w:numId w:val="0"/>
        </w:numPr>
        <w:tabs>
          <w:tab w:val="left" w:pos="851"/>
        </w:tabs>
        <w:adjustRightInd w:val="0"/>
        <w:snapToGrid w:val="0"/>
        <w:textAlignment w:val="baseline"/>
        <w:rPr>
          <w:rFonts w:hAnsi="宋体"/>
          <w:b w:val="0"/>
          <w:kern w:val="0"/>
          <w:szCs w:val="24"/>
          <w:highlight w:val="yellow"/>
        </w:rPr>
      </w:pPr>
      <w:r>
        <w:rPr>
          <w:rFonts w:hint="eastAsia" w:hAnsi="宋体"/>
          <w:sz w:val="24"/>
          <w:lang w:val="en-US" w:eastAsia="zh-CN"/>
        </w:rPr>
        <w:t xml:space="preserve">4.9  </w:t>
      </w:r>
      <w:r>
        <w:rPr>
          <w:rFonts w:hAnsi="宋体"/>
          <w:sz w:val="24"/>
        </w:rPr>
        <w:t>计算机机房的电磁干扰、</w:t>
      </w:r>
      <w:r>
        <w:rPr>
          <w:sz w:val="24"/>
        </w:rPr>
        <w:t xml:space="preserve"> </w:t>
      </w:r>
      <w:r>
        <w:rPr>
          <w:rFonts w:hAnsi="宋体"/>
          <w:sz w:val="24"/>
        </w:rPr>
        <w:t>消防与安全应符合现行国家标准的有关规定。</w:t>
      </w:r>
      <w:r>
        <w:rPr>
          <w:sz w:val="24"/>
        </w:rPr>
        <w:t xml:space="preserve"> </w:t>
      </w:r>
    </w:p>
    <w:p>
      <w:pPr>
        <w:pStyle w:val="4"/>
        <w:keepNext w:val="0"/>
        <w:keepLines w:val="0"/>
        <w:widowControl/>
        <w:numPr>
          <w:ilvl w:val="0"/>
          <w:numId w:val="2"/>
        </w:numPr>
        <w:spacing w:before="480" w:line="276" w:lineRule="auto"/>
        <w:contextualSpacing/>
        <w:jc w:val="left"/>
        <w:rPr>
          <w:rFonts w:hint="eastAsia" w:hAnsi="宋体" w:eastAsia="宋体" w:cs="Times New Roman"/>
          <w:b/>
          <w:bCs/>
          <w:szCs w:val="24"/>
          <w:lang w:eastAsia="zh-CN"/>
        </w:rPr>
      </w:pPr>
      <w:bookmarkStart w:id="17" w:name="_Toc1247670337"/>
      <w:r>
        <w:rPr>
          <w:rFonts w:hint="eastAsia" w:hAnsi="宋体"/>
          <w:szCs w:val="24"/>
        </w:rPr>
        <w:t>技术要求</w:t>
      </w:r>
      <w:bookmarkEnd w:id="17"/>
    </w:p>
    <w:p>
      <w:pPr>
        <w:pStyle w:val="4"/>
        <w:keepNext w:val="0"/>
        <w:keepLines w:val="0"/>
        <w:widowControl/>
        <w:numPr>
          <w:ilvl w:val="1"/>
          <w:numId w:val="2"/>
        </w:numPr>
        <w:spacing w:before="480" w:line="276" w:lineRule="auto"/>
        <w:ind w:left="0" w:leftChars="0" w:firstLine="0" w:firstLineChars="0"/>
        <w:contextualSpacing/>
        <w:jc w:val="left"/>
        <w:rPr>
          <w:rFonts w:hint="eastAsia" w:hAnsi="宋体" w:eastAsia="宋体" w:cs="Times New Roman"/>
          <w:b/>
          <w:bCs/>
          <w:szCs w:val="24"/>
          <w:lang w:eastAsia="zh-CN"/>
        </w:rPr>
      </w:pPr>
      <w:r>
        <w:rPr>
          <w:rFonts w:hint="eastAsia" w:hAnsi="宋体" w:cs="Times New Roman"/>
          <w:b/>
          <w:bCs/>
          <w:szCs w:val="24"/>
          <w:lang w:eastAsia="zh-CN"/>
        </w:rPr>
        <w:t>总体要求</w:t>
      </w:r>
    </w:p>
    <w:p>
      <w:pPr>
        <w:rPr>
          <w:rFonts w:hint="eastAsia"/>
          <w:highlight w:val="none"/>
        </w:rPr>
      </w:pPr>
      <w:r>
        <w:rPr>
          <w:rFonts w:hint="eastAsia"/>
          <w:highlight w:val="none"/>
          <w:lang w:val="en-US" w:eastAsia="zh-CN"/>
        </w:rPr>
        <w:t>5.1.1</w:t>
      </w:r>
      <w:r>
        <w:rPr>
          <w:rFonts w:hint="eastAsia"/>
          <w:highlight w:val="none"/>
          <w:lang w:eastAsia="zh-CN"/>
        </w:rPr>
        <w:t xml:space="preserve"> </w:t>
      </w:r>
      <w:r>
        <w:rPr>
          <w:rFonts w:hint="eastAsia"/>
          <w:highlight w:val="none"/>
          <w:lang w:val="en-US" w:eastAsia="zh-CN"/>
        </w:rPr>
        <w:t xml:space="preserve">  </w:t>
      </w:r>
      <w:r>
        <w:rPr>
          <w:rFonts w:hint="eastAsia"/>
          <w:highlight w:val="none"/>
          <w:lang w:eastAsia="zh-CN"/>
        </w:rPr>
        <w:t>在河池供电局现有信息机房监控系统进行接口开发和部署实施原系统的基础上无缝通过接口开发上送，对接动环监控系统，实现网络运行环境的温度、湿度、漏水、配电、UPS、空调等设备的运行状态数据进行实时监测，把数据中心动环监控的告警、配置、状态等运行数据集成到云盾平台运行监测。</w:t>
      </w:r>
    </w:p>
    <w:p>
      <w:pPr>
        <w:pStyle w:val="5"/>
        <w:keepNext w:val="0"/>
        <w:keepLines w:val="0"/>
        <w:widowControl/>
        <w:numPr>
          <w:ilvl w:val="1"/>
          <w:numId w:val="2"/>
        </w:numPr>
        <w:spacing w:before="200"/>
        <w:jc w:val="left"/>
        <w:rPr>
          <w:rFonts w:hint="eastAsia" w:hAnsi="宋体" w:cs="宋体"/>
          <w:szCs w:val="24"/>
        </w:rPr>
      </w:pPr>
      <w:r>
        <w:rPr>
          <w:rFonts w:hint="eastAsia" w:hAnsi="宋体" w:cs="宋体"/>
          <w:szCs w:val="24"/>
        </w:rPr>
        <w:t>安全要求</w:t>
      </w:r>
    </w:p>
    <w:p>
      <w:pPr>
        <w:pStyle w:val="5"/>
        <w:keepNext w:val="0"/>
        <w:keepLines w:val="0"/>
        <w:widowControl/>
        <w:numPr>
          <w:ilvl w:val="2"/>
          <w:numId w:val="2"/>
        </w:numPr>
        <w:spacing w:before="200"/>
        <w:jc w:val="left"/>
        <w:rPr>
          <w:rFonts w:hint="eastAsia" w:hAnsi="宋体"/>
          <w:b w:val="0"/>
          <w:kern w:val="0"/>
          <w:szCs w:val="24"/>
        </w:rPr>
      </w:pPr>
      <w:r>
        <w:rPr>
          <w:rFonts w:hint="eastAsia"/>
        </w:rPr>
        <w:t>★</w:t>
      </w:r>
      <w:r>
        <w:rPr>
          <w:rFonts w:hint="eastAsia" w:hAnsi="宋体"/>
          <w:b w:val="0"/>
          <w:kern w:val="0"/>
          <w:szCs w:val="24"/>
        </w:rPr>
        <w:t>投标方及其产品和服务的提供者须配合招标方进行网络安全审查。</w:t>
      </w:r>
    </w:p>
    <w:p>
      <w:pPr>
        <w:pStyle w:val="5"/>
        <w:keepNext w:val="0"/>
        <w:keepLines w:val="0"/>
        <w:widowControl/>
        <w:numPr>
          <w:ilvl w:val="2"/>
          <w:numId w:val="2"/>
        </w:numPr>
        <w:spacing w:before="200"/>
        <w:jc w:val="left"/>
        <w:rPr>
          <w:rFonts w:hint="eastAsia" w:hAnsi="宋体"/>
          <w:b w:val="0"/>
          <w:kern w:val="0"/>
          <w:szCs w:val="24"/>
        </w:rPr>
      </w:pPr>
      <w:r>
        <w:rPr>
          <w:rFonts w:hint="eastAsia" w:hAnsi="宋体"/>
          <w:b w:val="0"/>
          <w:kern w:val="0"/>
          <w:szCs w:val="24"/>
        </w:rPr>
        <w:t>★投标方及其产品和服务的提供者须承诺不利用提供产品和服务的便利条件非法获取用户数据、非法控制和操纵用户设备。无正当理由不中断产品供应或必要的技术支持服务等。</w:t>
      </w:r>
    </w:p>
    <w:p>
      <w:r>
        <w:rPr>
          <w:rFonts w:hint="eastAsia"/>
        </w:rPr>
        <w:t xml:space="preserve">5.3.3 </w:t>
      </w:r>
      <w:r>
        <w:rPr>
          <w:rFonts w:hint="eastAsia"/>
          <w:lang w:val="en-US" w:eastAsia="zh-CN"/>
        </w:rPr>
        <w:t xml:space="preserve"> </w:t>
      </w:r>
      <w:r>
        <w:rPr>
          <w:rFonts w:hint="eastAsia"/>
        </w:rPr>
        <w:t>★投标方及其产品和服务的提供者须配合招标方进行网络安全审查。</w:t>
      </w:r>
    </w:p>
    <w:p>
      <w:r>
        <w:rPr>
          <w:rFonts w:hint="eastAsia"/>
        </w:rPr>
        <w:t xml:space="preserve">5.3.4 </w:t>
      </w:r>
      <w:r>
        <w:rPr>
          <w:rFonts w:hint="eastAsia"/>
          <w:lang w:val="en-US" w:eastAsia="zh-CN"/>
        </w:rPr>
        <w:t xml:space="preserve"> </w:t>
      </w:r>
      <w:r>
        <w:rPr>
          <w:rFonts w:hint="eastAsia"/>
        </w:rPr>
        <w:t>★投标方及其产品和服务的提供者须承诺不利用提供产品和服务的便利条件非法获取用户数据、非法控制和操纵用户设备。无正当理由不中断产品供应或必要的技术支持服务等。</w:t>
      </w:r>
    </w:p>
    <w:p>
      <w:r>
        <w:rPr>
          <w:rFonts w:hint="eastAsia"/>
        </w:rPr>
        <w:t xml:space="preserve">5.3.5 </w:t>
      </w:r>
      <w:r>
        <w:rPr>
          <w:rFonts w:hint="eastAsia"/>
          <w:lang w:val="en-US" w:eastAsia="zh-CN"/>
        </w:rPr>
        <w:t xml:space="preserve"> </w:t>
      </w:r>
      <w:bookmarkStart w:id="33" w:name="_GoBack"/>
      <w:bookmarkEnd w:id="33"/>
      <w:r>
        <w:rPr>
          <w:rFonts w:hint="eastAsia"/>
        </w:rPr>
        <w:t>★投标方产品要求满足网信领域自主可控应用的要求，如：含处理器设备支持国产操作系统（如银河麒麟、麒麟信安等）；设备使用国产处理器（如飞腾、鲲鹏、海光等），软件支持国产处理器（如飞腾、鲲鹏、海光等）；集中式数据库使用国产数据库（如达梦等）。</w:t>
      </w:r>
    </w:p>
    <w:p>
      <w:pPr>
        <w:pStyle w:val="2"/>
        <w:rPr>
          <w:rFonts w:hint="eastAsia"/>
        </w:rPr>
      </w:pPr>
    </w:p>
    <w:p>
      <w:pPr>
        <w:pStyle w:val="4"/>
        <w:keepNext w:val="0"/>
        <w:keepLines w:val="0"/>
        <w:widowControl/>
        <w:numPr>
          <w:ilvl w:val="0"/>
          <w:numId w:val="2"/>
        </w:numPr>
        <w:spacing w:before="480" w:line="276" w:lineRule="auto"/>
        <w:contextualSpacing/>
        <w:jc w:val="left"/>
        <w:rPr>
          <w:rFonts w:hAnsi="宋体"/>
          <w:szCs w:val="24"/>
        </w:rPr>
      </w:pPr>
      <w:bookmarkStart w:id="18" w:name="_Toc1565024651"/>
      <w:r>
        <w:rPr>
          <w:rFonts w:hint="eastAsia" w:hAnsi="宋体"/>
          <w:szCs w:val="24"/>
        </w:rPr>
        <w:t>试验及验收</w:t>
      </w:r>
      <w:bookmarkEnd w:id="18"/>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验收要求</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招标方将负责对现场安装和测试进行指导，投标方的工程师将完成现场试验验收。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在现场验收完成后，双方的代表将签署设备到货验收清单。</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验收计划由投标方准备，交招标方审查同意。</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为有利于系统的安装、投运和测试，投标方应派出有经验的专家提供技术服务。</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在现场安装、投运及验收过程中，投标方应对损坏的设备负责。</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备品备件、文档资料均作为验收的一部分。</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测试报告（该条款不适用于本技术协议书）</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在测试完成后的二十天内，投标方应提供测试报告。报告至少包括以下内容：</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设备说明、报告编号、日期、设备的项目编号、数量及顺序号、测试的时间、测试环境及方法。试验数据包括表计型号、读数、测试点位置、数据打印结果等。测试结论、测试人员名单、负责人签字。</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现场调试和现场验收</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现场调试</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设备运到现场安装完毕</w:t>
      </w:r>
      <w:r>
        <w:rPr>
          <w:rFonts w:hAnsi="宋体"/>
          <w:b w:val="0"/>
          <w:kern w:val="0"/>
          <w:szCs w:val="24"/>
        </w:rPr>
        <w:t>,</w:t>
      </w:r>
      <w:r>
        <w:rPr>
          <w:rFonts w:hint="eastAsia" w:hAnsi="宋体"/>
          <w:b w:val="0"/>
          <w:kern w:val="0"/>
          <w:szCs w:val="24"/>
        </w:rPr>
        <w:t>招标方应通知投标方人员到场参加设备调试。</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在调试过程中</w:t>
      </w:r>
      <w:r>
        <w:rPr>
          <w:rFonts w:hAnsi="宋体"/>
          <w:b w:val="0"/>
          <w:kern w:val="0"/>
          <w:szCs w:val="24"/>
        </w:rPr>
        <w:t>,</w:t>
      </w:r>
      <w:r>
        <w:rPr>
          <w:rFonts w:hint="eastAsia" w:hAnsi="宋体"/>
          <w:b w:val="0"/>
          <w:kern w:val="0"/>
          <w:szCs w:val="24"/>
        </w:rPr>
        <w:t>若发现设备存在元器件损坏或不正常工作情况，投标方应负责更换。</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现场验收</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现场验收应在所有设备安装调试完毕，且设备准备投入试运行时进行</w:t>
      </w:r>
      <w:r>
        <w:rPr>
          <w:rFonts w:hAnsi="宋体"/>
          <w:b w:val="0"/>
          <w:kern w:val="0"/>
          <w:szCs w:val="24"/>
        </w:rPr>
        <w:t>,</w:t>
      </w:r>
      <w:r>
        <w:rPr>
          <w:rFonts w:hint="eastAsia" w:hAnsi="宋体"/>
          <w:b w:val="0"/>
          <w:kern w:val="0"/>
          <w:szCs w:val="24"/>
        </w:rPr>
        <w:t>并出具书面测试报告。</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现场验收应在工厂系统试验完全完成的基础上进行。</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在验收开始前</w:t>
      </w:r>
      <w:r>
        <w:rPr>
          <w:rFonts w:hint="eastAsia" w:hAnsi="宋体"/>
          <w:b w:val="0"/>
          <w:kern w:val="0"/>
          <w:szCs w:val="24"/>
          <w:lang w:eastAsia="zh-CN"/>
        </w:rPr>
        <w:t>一</w:t>
      </w:r>
      <w:r>
        <w:rPr>
          <w:rFonts w:hint="eastAsia" w:hAnsi="宋体"/>
          <w:b w:val="0"/>
          <w:kern w:val="0"/>
          <w:szCs w:val="24"/>
        </w:rPr>
        <w:t>周</w:t>
      </w:r>
      <w:r>
        <w:rPr>
          <w:rFonts w:hint="eastAsia" w:hAnsi="宋体"/>
          <w:b w:val="0"/>
          <w:kern w:val="0"/>
          <w:szCs w:val="24"/>
          <w:lang w:eastAsia="zh-CN"/>
        </w:rPr>
        <w:t>内</w:t>
      </w:r>
      <w:r>
        <w:rPr>
          <w:rFonts w:hint="eastAsia" w:hAnsi="宋体"/>
          <w:b w:val="0"/>
          <w:kern w:val="0"/>
          <w:szCs w:val="24"/>
        </w:rPr>
        <w:t>相应的安装调试单位应提出验收大纲供招标方认可，投标方予以配合。</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整体验收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设备相关系统投入试运行且稳定运行三个月（或招标方与投标方协商一致确定试运行时间）后，由整体验收组织部门组织成立整体验收工作组对现场验收遗留问题及试运行期间发现的问题进行验收。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投标方需协助招标方和系统集成商完成编制整体验收大纲、协助测试相关系统的各项功能，并及时解决存在问题。</w:t>
      </w:r>
    </w:p>
    <w:p>
      <w:pPr>
        <w:pStyle w:val="4"/>
        <w:keepNext w:val="0"/>
        <w:keepLines w:val="0"/>
        <w:widowControl/>
        <w:numPr>
          <w:ilvl w:val="0"/>
          <w:numId w:val="2"/>
        </w:numPr>
        <w:spacing w:before="480" w:line="276" w:lineRule="auto"/>
        <w:contextualSpacing/>
        <w:jc w:val="left"/>
        <w:rPr>
          <w:rFonts w:hAnsi="宋体"/>
          <w:szCs w:val="24"/>
        </w:rPr>
      </w:pPr>
      <w:bookmarkStart w:id="19" w:name="_Toc989600901"/>
      <w:r>
        <w:rPr>
          <w:rFonts w:hint="eastAsia" w:hAnsi="宋体"/>
          <w:szCs w:val="24"/>
        </w:rPr>
        <w:t>技术文件要求</w:t>
      </w:r>
      <w:bookmarkEnd w:id="19"/>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投标方提供的技术文件包括：</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实施安装、调试、测试、验收、培训阶段的文件、图纸，及设备操作维护手册等。</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每次维护（包括硬件及软件）的维护报告及技术文档。</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投标方采购供货的第三方设备的技术手册及相关资料。</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投标方应对其所提供的全部文档的准确性和完整性负责。所有由投标方采购供货的第三方设备的技术手册的准确性由投标方负责。</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设备应附有完整的、装订好的安装图和说明手册，随设备装箱一起运至现场。</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投标方至少提供技术文件资料纸质形式打印稿1份（中文）。</w:t>
      </w:r>
    </w:p>
    <w:p>
      <w:pPr>
        <w:pStyle w:val="4"/>
        <w:keepNext w:val="0"/>
        <w:keepLines w:val="0"/>
        <w:widowControl/>
        <w:numPr>
          <w:ilvl w:val="0"/>
          <w:numId w:val="2"/>
        </w:numPr>
        <w:spacing w:before="480" w:line="276" w:lineRule="auto"/>
        <w:contextualSpacing/>
        <w:jc w:val="left"/>
        <w:rPr>
          <w:rFonts w:hAnsi="宋体"/>
          <w:szCs w:val="24"/>
        </w:rPr>
      </w:pPr>
      <w:bookmarkStart w:id="20" w:name="_Toc2108980739"/>
      <w:r>
        <w:rPr>
          <w:rFonts w:hint="eastAsia" w:hAnsi="宋体"/>
          <w:szCs w:val="24"/>
        </w:rPr>
        <w:t>监造、包装、运输、安装及质量保证</w:t>
      </w:r>
      <w:bookmarkEnd w:id="20"/>
    </w:p>
    <w:p>
      <w:pPr>
        <w:pStyle w:val="5"/>
        <w:keepNext w:val="0"/>
        <w:keepLines w:val="0"/>
        <w:widowControl/>
        <w:numPr>
          <w:ilvl w:val="1"/>
          <w:numId w:val="2"/>
        </w:numPr>
        <w:spacing w:before="200" w:line="276" w:lineRule="auto"/>
        <w:jc w:val="left"/>
        <w:rPr>
          <w:rFonts w:hAnsi="宋体"/>
          <w:b w:val="0"/>
          <w:kern w:val="0"/>
          <w:szCs w:val="24"/>
        </w:rPr>
      </w:pPr>
      <w:bookmarkStart w:id="21" w:name="_Toc289089107"/>
      <w:bookmarkStart w:id="22" w:name="_Toc240452888"/>
      <w:bookmarkStart w:id="23" w:name="_Toc296962415"/>
      <w:bookmarkStart w:id="24" w:name="_Toc296359234"/>
      <w:bookmarkStart w:id="25" w:name="_Toc296962416"/>
      <w:bookmarkStart w:id="26" w:name="_Toc296359235"/>
      <w:r>
        <w:rPr>
          <w:rFonts w:hint="eastAsia" w:hAnsi="宋体"/>
          <w:b w:val="0"/>
          <w:kern w:val="0"/>
          <w:szCs w:val="24"/>
          <w:lang w:val="en-US" w:eastAsia="zh-CN"/>
        </w:rPr>
        <w:t xml:space="preserve">  </w:t>
      </w:r>
      <w:r>
        <w:rPr>
          <w:rFonts w:hint="eastAsia" w:hAnsi="宋体"/>
          <w:b w:val="0"/>
          <w:kern w:val="0"/>
          <w:szCs w:val="24"/>
        </w:rPr>
        <w:t>备制造完成并通过试验后应及时包装, 否则应得到切实的保护, 确保其不受污损。</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所有部件经妥善包装或装箱后,在运输过程中尚应采取其它防护措施,以免散失损坏或被盗。</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在包装箱外应标明需方的订货号、发货号。</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各种包装应能确保各零部件在运输过程中不致遭到损坏、丢失、变形、受潮和腐蚀。</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包装箱上应有明显的包装储运图示标志。</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整体产品或分别运输的部件都要适合运输和装载的要求。</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随产品提供的技术资料应完整无缺。</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订购的新型产品除应满足本招标技术文件外， 投标方还应提供产品的鉴定证书。</w:t>
      </w:r>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numId w:val="0"/>
        </w:numPr>
        <w:spacing w:before="200" w:line="276" w:lineRule="auto"/>
        <w:ind w:leftChars="0"/>
        <w:jc w:val="left"/>
        <w:rPr>
          <w:rFonts w:hAnsi="宋体"/>
          <w:b w:val="0"/>
          <w:kern w:val="0"/>
          <w:szCs w:val="24"/>
        </w:rPr>
      </w:pPr>
      <w:r>
        <w:rPr>
          <w:rFonts w:hint="eastAsia" w:hAnsi="宋体"/>
          <w:b w:val="0"/>
          <w:kern w:val="0"/>
          <w:szCs w:val="24"/>
          <w:lang w:val="en-US" w:eastAsia="zh-CN"/>
        </w:rPr>
        <w:t xml:space="preserve">8.10  </w:t>
      </w:r>
      <w:r>
        <w:rPr>
          <w:rFonts w:hint="eastAsia" w:hAnsi="宋体"/>
          <w:b w:val="0"/>
          <w:kern w:val="0"/>
          <w:szCs w:val="24"/>
        </w:rPr>
        <w:t>柜内的各种元件,应选择具有生产许可证的专业制造厂家的产品。</w:t>
      </w:r>
    </w:p>
    <w:p>
      <w:pPr>
        <w:pStyle w:val="5"/>
        <w:keepNext w:val="0"/>
        <w:keepLines w:val="0"/>
        <w:widowControl/>
        <w:numPr>
          <w:numId w:val="0"/>
        </w:numPr>
        <w:spacing w:before="200" w:line="276" w:lineRule="auto"/>
        <w:ind w:leftChars="0"/>
        <w:jc w:val="left"/>
        <w:rPr>
          <w:rFonts w:hAnsi="宋体"/>
          <w:b w:val="0"/>
          <w:kern w:val="0"/>
          <w:szCs w:val="24"/>
        </w:rPr>
      </w:pPr>
      <w:r>
        <w:rPr>
          <w:rFonts w:hint="eastAsia" w:hAnsi="宋体"/>
          <w:b w:val="0"/>
          <w:kern w:val="0"/>
          <w:szCs w:val="24"/>
          <w:lang w:val="en-US" w:eastAsia="zh-CN"/>
        </w:rPr>
        <w:t xml:space="preserve">8.11  </w:t>
      </w:r>
      <w:r>
        <w:rPr>
          <w:rFonts w:hint="eastAsia" w:hAnsi="宋体"/>
          <w:b w:val="0"/>
          <w:kern w:val="0"/>
          <w:szCs w:val="24"/>
        </w:rPr>
        <w:t>质量保证期：投标方在本设备相关项目完成整体竣工验收后，提供不低于12个月的质量保证期，维保日期从项目竣工验收之日起计算。</w:t>
      </w:r>
      <w:bookmarkEnd w:id="21"/>
      <w:bookmarkEnd w:id="22"/>
    </w:p>
    <w:p>
      <w:pPr>
        <w:pStyle w:val="5"/>
        <w:keepNext w:val="0"/>
        <w:keepLines w:val="0"/>
        <w:widowControl/>
        <w:numPr>
          <w:numId w:val="0"/>
        </w:numPr>
        <w:spacing w:before="200" w:line="276" w:lineRule="auto"/>
        <w:ind w:leftChars="0"/>
        <w:jc w:val="left"/>
        <w:rPr>
          <w:rFonts w:hAnsi="宋体"/>
          <w:b w:val="0"/>
          <w:kern w:val="0"/>
          <w:szCs w:val="24"/>
        </w:rPr>
      </w:pPr>
      <w:r>
        <w:rPr>
          <w:rFonts w:hint="eastAsia" w:hAnsi="宋体"/>
          <w:b w:val="0"/>
          <w:kern w:val="0"/>
          <w:szCs w:val="24"/>
          <w:lang w:val="en-US" w:eastAsia="zh-CN"/>
        </w:rPr>
        <w:t xml:space="preserve">8.12  </w:t>
      </w:r>
      <w:r>
        <w:rPr>
          <w:rFonts w:hint="eastAsia" w:hAnsi="宋体"/>
          <w:b w:val="0"/>
          <w:kern w:val="0"/>
          <w:szCs w:val="24"/>
        </w:rPr>
        <w:t>交货期：合同签订后20个工作日。</w:t>
      </w:r>
    </w:p>
    <w:p>
      <w:pPr>
        <w:pStyle w:val="5"/>
        <w:keepNext w:val="0"/>
        <w:keepLines w:val="0"/>
        <w:widowControl/>
        <w:numPr>
          <w:numId w:val="0"/>
        </w:numPr>
        <w:spacing w:before="200" w:line="276" w:lineRule="auto"/>
        <w:ind w:leftChars="0"/>
        <w:jc w:val="left"/>
        <w:rPr>
          <w:rFonts w:hAnsi="宋体"/>
          <w:b w:val="0"/>
          <w:kern w:val="0"/>
          <w:szCs w:val="24"/>
        </w:rPr>
      </w:pPr>
      <w:r>
        <w:rPr>
          <w:rFonts w:hint="eastAsia" w:hAnsi="宋体"/>
          <w:b w:val="0"/>
          <w:kern w:val="0"/>
          <w:szCs w:val="24"/>
          <w:lang w:val="en-US" w:eastAsia="zh-CN"/>
        </w:rPr>
        <w:t xml:space="preserve">8.13  </w:t>
      </w:r>
      <w:r>
        <w:rPr>
          <w:rFonts w:hint="eastAsia" w:hAnsi="宋体"/>
          <w:b w:val="0"/>
          <w:kern w:val="0"/>
          <w:szCs w:val="24"/>
        </w:rPr>
        <w:t>交货地点：广西</w:t>
      </w:r>
      <w:r>
        <w:rPr>
          <w:rFonts w:hint="eastAsia" w:hAnsi="宋体"/>
          <w:b w:val="0"/>
          <w:kern w:val="0"/>
          <w:szCs w:val="24"/>
          <w:lang w:eastAsia="zh-CN"/>
        </w:rPr>
        <w:t>河池</w:t>
      </w:r>
      <w:r>
        <w:rPr>
          <w:rFonts w:hint="eastAsia" w:hAnsi="宋体"/>
          <w:b w:val="0"/>
          <w:kern w:val="0"/>
          <w:szCs w:val="24"/>
        </w:rPr>
        <w:t>市内甲方指定地点。</w:t>
      </w:r>
      <w:bookmarkEnd w:id="23"/>
      <w:bookmarkEnd w:id="24"/>
      <w:bookmarkEnd w:id="25"/>
      <w:bookmarkEnd w:id="26"/>
    </w:p>
    <w:p>
      <w:pPr>
        <w:pStyle w:val="4"/>
        <w:keepNext w:val="0"/>
        <w:keepLines w:val="0"/>
        <w:widowControl/>
        <w:numPr>
          <w:ilvl w:val="0"/>
          <w:numId w:val="2"/>
        </w:numPr>
        <w:spacing w:before="480" w:line="276" w:lineRule="auto"/>
        <w:contextualSpacing/>
        <w:jc w:val="left"/>
        <w:rPr>
          <w:rFonts w:hAnsi="宋体"/>
          <w:szCs w:val="24"/>
        </w:rPr>
      </w:pPr>
      <w:bookmarkStart w:id="27" w:name="_Toc1421686638"/>
      <w:r>
        <w:rPr>
          <w:rFonts w:hint="eastAsia" w:hAnsi="宋体"/>
          <w:szCs w:val="24"/>
        </w:rPr>
        <w:t>双方工作安排</w:t>
      </w:r>
      <w:bookmarkEnd w:id="27"/>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招标方职责</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负责对本招标书进行解释。</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招标方保留对本招标书增删、修改的权利。</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招标方有权对投标方的技术建议书的内容进行取舍。</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授予合同前，招标方有权要求投标方提供产品功能演示，以验证投标方投标产品满足功能要求。</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协助投标方开展现场相关工作。</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确认投标方提供的相关资料和文件。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负责提供现场安装的条件及必要的支持。</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协助现场设备布置。</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负责组织技术联络会。</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组织现场验收。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组织整体验收。</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投标方职责</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投标方负责提供投标范围内所有硬件设备以及这些设备之间的联接线缆并保证所提供的所有设备的质量、性能均满足要求。</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提供投标设备（包括软硬件），包括设备的采购运输、现场安装调试、验收测试、项目培训、技术支持和售后服务等相关工作内容。</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提供设备自现场验收后，质量保证期内的免费修理、维护服务。投标方应积极配合系统集成商处理现场故障。</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提供完整的设备文档（包括硬件和软件的文档）。投标方必须对最终提供的全部技术资料的准确性负责。</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在现场验收前，投标方应负责提供设备稳定运行最新版本的软件，并在现场验收后的质量保证期内免费负责这些软件版本的更新。</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负责承担现场验收相关事宜，编写相关验收大纲。</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负责参加技术联络会。</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配合整体验收相关事宜，编写投标设备相关的验收内容。</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负责招标方相关人员的现场培训工作。</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负责招标方有关人员在投标方地点的培训、验收工作环境。</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项目管理</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rPr>
        <w:t>合同签订后，投标方应指定项目经理，负责协调投标方在工程全过程的各项工作，如工程进度、设计制造、图纸文件、制造确认、包装运输、现场安装、调试验收等。</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设计联络与培训</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设计联络（视招标方需求）</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为审查和确认相关系统的设计方案，确定各互联系统软硬件接口界面，交换必需的设计配合资料,协调工程进度，便于合同按期执行，在系统建设过程中招标方需召开多次设计联络会进行设计确认。计划将在招标方所在地根据需要可进行多次。投标方应在设计联络会召开前2周,提交给招标方需要确认的技术资料。</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设计联络会工作包括如下内容：</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讨论确定相关系统的具体功能规范。</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讨论确定相关系统建设的实施方案和安装调试、验收进度计划。</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讨论确定设备现场安装要求和现场验收细则。</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检查、确认投标方提供的技术资料和图纸.</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讨论、确定培训计划（包括课程安排、教材、进度）。</w:t>
      </w:r>
    </w:p>
    <w:p>
      <w:pPr>
        <w:pStyle w:val="5"/>
        <w:keepNext w:val="0"/>
        <w:keepLines w:val="0"/>
        <w:widowControl/>
        <w:numPr>
          <w:ilvl w:val="4"/>
          <w:numId w:val="2"/>
        </w:numPr>
        <w:spacing w:before="200" w:line="276" w:lineRule="auto"/>
        <w:jc w:val="left"/>
        <w:rPr>
          <w:rFonts w:hAnsi="宋体"/>
          <w:b w:val="0"/>
          <w:kern w:val="0"/>
          <w:szCs w:val="24"/>
        </w:rPr>
      </w:pPr>
      <w:r>
        <w:rPr>
          <w:rFonts w:hint="eastAsia" w:hAnsi="宋体"/>
          <w:b w:val="0"/>
          <w:kern w:val="0"/>
          <w:szCs w:val="24"/>
        </w:rPr>
        <w:t>其他有关事项。</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培训（视招标方需求）</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投标方应由资深系统研发专家为招标方的技术人员开设现场培训课程。招标方的技术人员应在设备安装调试、运行维护等各方面得到培训，熟悉和掌握运行、检查、修理和维护相关设备并掌握软件开发工具。</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投标方应向受训人员提供技术资料、图纸、参考材料、培训手册等；还应提供测试设备、工具和安全设备，以及其它必需品和工作场地。</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现场服务及售后服务</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现场服务要求</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投标方负责现场安装、调试、测试、验收、试运行，解决合同设备制造及性能等方面的有关问题，详细解答合同范围内招标方提出的技术问题。</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对招标方选购的与本合同设备有关的配套设备，投标方有提供技术配合的义务，并不由此而增加任何费用。</w:t>
      </w:r>
    </w:p>
    <w:p>
      <w:pPr>
        <w:pStyle w:val="5"/>
        <w:keepNext w:val="0"/>
        <w:keepLines w:val="0"/>
        <w:widowControl/>
        <w:numPr>
          <w:ilvl w:val="3"/>
          <w:numId w:val="2"/>
        </w:numPr>
        <w:spacing w:before="200" w:line="276" w:lineRule="auto"/>
        <w:jc w:val="left"/>
        <w:rPr>
          <w:rFonts w:hAnsi="宋体"/>
          <w:b w:val="0"/>
          <w:kern w:val="0"/>
          <w:szCs w:val="24"/>
        </w:rPr>
      </w:pPr>
      <w:r>
        <w:rPr>
          <w:rFonts w:hint="eastAsia" w:hAnsi="宋体"/>
          <w:b w:val="0"/>
          <w:kern w:val="0"/>
          <w:szCs w:val="24"/>
        </w:rPr>
        <w:t>投标方到招标方现场进行设备安装及维修人员必须为其正式员工。</w:t>
      </w:r>
    </w:p>
    <w:p>
      <w:pPr>
        <w:pStyle w:val="5"/>
        <w:keepNext w:val="0"/>
        <w:keepLines w:val="0"/>
        <w:widowControl/>
        <w:numPr>
          <w:ilvl w:val="2"/>
          <w:numId w:val="2"/>
        </w:numPr>
        <w:spacing w:before="200" w:line="276" w:lineRule="auto"/>
        <w:jc w:val="left"/>
        <w:rPr>
          <w:rFonts w:hAnsi="宋体"/>
          <w:kern w:val="0"/>
          <w:szCs w:val="24"/>
        </w:rPr>
      </w:pPr>
      <w:r>
        <w:rPr>
          <w:rFonts w:hint="eastAsia" w:hAnsi="宋体"/>
          <w:kern w:val="0"/>
          <w:szCs w:val="24"/>
        </w:rPr>
        <w:t>售后服务要求</w:t>
      </w:r>
    </w:p>
    <w:p>
      <w:pPr>
        <w:pStyle w:val="20"/>
        <w:ind w:left="0" w:leftChars="0" w:firstLine="0" w:firstLineChars="0"/>
        <w:rPr>
          <w:rFonts w:hint="eastAsia"/>
        </w:rPr>
      </w:pPr>
      <w:r>
        <w:rPr>
          <w:rFonts w:hint="eastAsia"/>
          <w:lang w:val="en-US" w:eastAsia="zh-CN"/>
        </w:rPr>
        <w:t>9.5.2.1</w:t>
      </w:r>
      <w:r>
        <w:rPr>
          <w:rFonts w:hint="eastAsia"/>
        </w:rPr>
        <w:t>由投标方提供的设备，需提供一年以上的免费维护、保修服务，自项目验收签字之日起计算。</w:t>
      </w:r>
    </w:p>
    <w:p>
      <w:pPr>
        <w:pStyle w:val="20"/>
        <w:ind w:left="0" w:leftChars="0" w:firstLine="0" w:firstLineChars="0"/>
        <w:rPr>
          <w:rFonts w:hint="eastAsia"/>
        </w:rPr>
      </w:pPr>
      <w:bookmarkStart w:id="28" w:name="_Toc1266"/>
      <w:bookmarkStart w:id="29" w:name="_Toc16363"/>
      <w:r>
        <w:rPr>
          <w:rFonts w:hint="eastAsia"/>
          <w:lang w:val="en-US" w:eastAsia="zh-CN"/>
        </w:rPr>
        <w:t xml:space="preserve">9.5.2.2  </w:t>
      </w:r>
      <w:r>
        <w:rPr>
          <w:rFonts w:hint="eastAsia"/>
        </w:rPr>
        <w:t>投标方必须提出保修期内的维护、保修内容和范围（产品、技术、模块、部件）。</w:t>
      </w:r>
      <w:bookmarkEnd w:id="28"/>
      <w:bookmarkEnd w:id="29"/>
    </w:p>
    <w:p>
      <w:pPr>
        <w:pStyle w:val="20"/>
        <w:ind w:left="0" w:leftChars="0" w:firstLine="0" w:firstLineChars="0"/>
        <w:rPr>
          <w:rFonts w:hint="eastAsia"/>
        </w:rPr>
      </w:pPr>
      <w:r>
        <w:rPr>
          <w:rFonts w:hint="eastAsia"/>
          <w:lang w:val="en-US" w:eastAsia="zh-CN"/>
        </w:rPr>
        <w:t xml:space="preserve">9.5.2.3  </w:t>
      </w:r>
      <w:r>
        <w:rPr>
          <w:rFonts w:hint="eastAsia"/>
        </w:rPr>
        <w:t>服务响应时间：投标方接到故障报修后，1小时内进行响应，如需到现场处理故障，需在2个工作日内上门服务。</w:t>
      </w:r>
    </w:p>
    <w:p>
      <w:pPr>
        <w:pStyle w:val="20"/>
        <w:ind w:left="0" w:leftChars="0" w:firstLine="0" w:firstLineChars="0"/>
        <w:rPr>
          <w:rFonts w:hint="eastAsia"/>
        </w:rPr>
      </w:pPr>
      <w:r>
        <w:rPr>
          <w:rFonts w:hint="eastAsia"/>
          <w:lang w:val="en-US" w:eastAsia="zh-CN"/>
        </w:rPr>
        <w:t xml:space="preserve">9.5.2.4  </w:t>
      </w:r>
      <w:r>
        <w:rPr>
          <w:rFonts w:hint="eastAsia"/>
        </w:rPr>
        <w:t>详细故障定义及其处理标准</w:t>
      </w:r>
    </w:p>
    <w:tbl>
      <w:tblPr>
        <w:tblStyle w:val="10"/>
        <w:tblW w:w="9464" w:type="dxa"/>
        <w:tblInd w:w="0" w:type="dxa"/>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Layout w:type="fixed"/>
        <w:tblCellMar>
          <w:top w:w="0" w:type="dxa"/>
          <w:left w:w="108" w:type="dxa"/>
          <w:bottom w:w="0" w:type="dxa"/>
          <w:right w:w="108" w:type="dxa"/>
        </w:tblCellMar>
      </w:tblPr>
      <w:tblGrid>
        <w:gridCol w:w="2093"/>
        <w:gridCol w:w="4394"/>
        <w:gridCol w:w="2977"/>
      </w:tblGrid>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tcBorders>
              <w:top w:val="single" w:color="FFFFFF" w:sz="4" w:space="0"/>
              <w:left w:val="single" w:color="FFFFFF" w:sz="4" w:space="0"/>
              <w:bottom w:val="single" w:color="FFFFFF" w:sz="4" w:space="0"/>
              <w:right w:val="single" w:color="FFFFFF" w:sz="4" w:space="0"/>
              <w:tl2br w:val="nil"/>
              <w:tr2bl w:val="nil"/>
            </w:tcBorders>
            <w:shd w:val="clear" w:color="auto" w:fill="4472C4"/>
            <w:noWrap w:val="0"/>
            <w:vAlign w:val="center"/>
          </w:tcPr>
          <w:p>
            <w:pPr>
              <w:spacing w:beforeLines="0" w:afterLines="0"/>
              <w:jc w:val="center"/>
              <w:rPr>
                <w:rFonts w:hint="eastAsia" w:hAnsi="宋体" w:cs="宋体"/>
                <w:b/>
                <w:sz w:val="20"/>
                <w:szCs w:val="21"/>
              </w:rPr>
            </w:pPr>
            <w:r>
              <w:rPr>
                <w:rFonts w:hint="eastAsia" w:hAnsi="宋体" w:cs="宋体"/>
                <w:b/>
                <w:sz w:val="20"/>
                <w:szCs w:val="21"/>
              </w:rPr>
              <w:t>缺陷等级</w:t>
            </w:r>
          </w:p>
        </w:tc>
        <w:tc>
          <w:tcPr>
            <w:tcW w:w="4394" w:type="dxa"/>
            <w:tcBorders>
              <w:top w:val="single" w:color="FFFFFF" w:sz="4" w:space="0"/>
              <w:left w:val="single" w:color="FFFFFF" w:sz="4" w:space="0"/>
              <w:bottom w:val="single" w:color="FFFFFF" w:sz="4" w:space="0"/>
              <w:right w:val="single" w:color="FFFFFF" w:sz="4" w:space="0"/>
              <w:tl2br w:val="nil"/>
              <w:tr2bl w:val="nil"/>
            </w:tcBorders>
            <w:shd w:val="clear" w:color="auto" w:fill="4472C4"/>
            <w:noWrap w:val="0"/>
            <w:vAlign w:val="center"/>
          </w:tcPr>
          <w:p>
            <w:pPr>
              <w:spacing w:beforeLines="0" w:afterLines="0"/>
              <w:jc w:val="center"/>
              <w:rPr>
                <w:rFonts w:hint="eastAsia" w:hAnsi="宋体" w:cs="宋体"/>
                <w:b/>
                <w:sz w:val="20"/>
                <w:szCs w:val="21"/>
              </w:rPr>
            </w:pPr>
            <w:r>
              <w:rPr>
                <w:rFonts w:hint="eastAsia" w:hAnsi="宋体" w:cs="宋体"/>
                <w:b/>
                <w:sz w:val="20"/>
                <w:szCs w:val="21"/>
              </w:rPr>
              <w:t>缺陷等级定义</w:t>
            </w:r>
          </w:p>
        </w:tc>
        <w:tc>
          <w:tcPr>
            <w:tcW w:w="2977" w:type="dxa"/>
            <w:tcBorders>
              <w:top w:val="single" w:color="FFFFFF" w:sz="4" w:space="0"/>
              <w:left w:val="single" w:color="FFFFFF" w:sz="4" w:space="0"/>
              <w:bottom w:val="single" w:color="FFFFFF" w:sz="4" w:space="0"/>
              <w:right w:val="single" w:color="FFFFFF" w:sz="4" w:space="0"/>
              <w:tl2br w:val="nil"/>
              <w:tr2bl w:val="nil"/>
            </w:tcBorders>
            <w:shd w:val="clear" w:color="auto" w:fill="4472C4"/>
            <w:noWrap w:val="0"/>
            <w:vAlign w:val="center"/>
          </w:tcPr>
          <w:p>
            <w:pPr>
              <w:spacing w:beforeLines="0" w:afterLines="0"/>
              <w:jc w:val="center"/>
              <w:rPr>
                <w:rFonts w:hint="eastAsia" w:hAnsi="宋体" w:cs="宋体"/>
                <w:b/>
                <w:sz w:val="20"/>
                <w:szCs w:val="21"/>
              </w:rPr>
            </w:pPr>
            <w:r>
              <w:rPr>
                <w:rFonts w:hint="eastAsia" w:hAnsi="宋体" w:cs="宋体"/>
                <w:b/>
                <w:sz w:val="20"/>
                <w:szCs w:val="21"/>
              </w:rPr>
              <w:t>处理方式</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restart"/>
            <w:tcBorders>
              <w:top w:val="single" w:color="FFFFFF"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r>
              <w:rPr>
                <w:rFonts w:hint="eastAsia" w:hAnsi="宋体" w:cs="宋体"/>
                <w:b/>
                <w:sz w:val="20"/>
                <w:szCs w:val="21"/>
              </w:rPr>
              <w:t>紧急事件</w:t>
            </w:r>
          </w:p>
        </w:tc>
        <w:tc>
          <w:tcPr>
            <w:tcW w:w="4394" w:type="dxa"/>
            <w:vMerge w:val="restart"/>
            <w:tcBorders>
              <w:top w:val="single" w:color="FFFFFF"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rPr>
                <w:rFonts w:hint="eastAsia" w:hAnsi="宋体" w:cs="宋体"/>
                <w:sz w:val="20"/>
                <w:szCs w:val="21"/>
              </w:rPr>
            </w:pPr>
            <w:r>
              <w:rPr>
                <w:rFonts w:hint="eastAsia" w:hAnsi="宋体" w:cs="宋体"/>
                <w:sz w:val="20"/>
                <w:szCs w:val="21"/>
              </w:rPr>
              <w:t>用户发生无法执行、崩溃、应用模块无法启动或闪退的情况，导致客户端程序不能运行。</w:t>
            </w:r>
          </w:p>
        </w:tc>
        <w:tc>
          <w:tcPr>
            <w:tcW w:w="2977" w:type="dxa"/>
            <w:tcBorders>
              <w:top w:val="single" w:color="FFFFFF"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响应时限&lt;20分钟</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处理时限&lt;1小时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3"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年故障次数≤10次</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restart"/>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r>
              <w:rPr>
                <w:rFonts w:hint="eastAsia" w:hAnsi="宋体" w:cs="宋体"/>
                <w:b/>
                <w:sz w:val="20"/>
                <w:szCs w:val="21"/>
              </w:rPr>
              <w:t>高优先级事件</w:t>
            </w:r>
          </w:p>
        </w:tc>
        <w:tc>
          <w:tcPr>
            <w:tcW w:w="4394" w:type="dxa"/>
            <w:vMerge w:val="restart"/>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rPr>
                <w:rFonts w:hint="eastAsia" w:hAnsi="宋体" w:cs="宋体"/>
                <w:sz w:val="20"/>
                <w:szCs w:val="21"/>
              </w:rPr>
            </w:pPr>
            <w:r>
              <w:rPr>
                <w:rFonts w:hint="eastAsia" w:hAnsi="宋体" w:cs="宋体"/>
                <w:sz w:val="20"/>
                <w:szCs w:val="21"/>
              </w:rPr>
              <w:t>应用程序发生单个关键业务功能故障，导致单个关键业务流程不能正常运行。</w:t>
            </w: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响应时限&lt;30分钟</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处理时限&lt;2小时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71"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年故障次数≤20次</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restart"/>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r>
              <w:rPr>
                <w:rFonts w:hint="eastAsia" w:hAnsi="宋体" w:cs="宋体"/>
                <w:b/>
                <w:sz w:val="20"/>
                <w:szCs w:val="21"/>
              </w:rPr>
              <w:t>中优先级事件</w:t>
            </w:r>
          </w:p>
        </w:tc>
        <w:tc>
          <w:tcPr>
            <w:tcW w:w="4394" w:type="dxa"/>
            <w:vMerge w:val="restart"/>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rPr>
                <w:rFonts w:hint="eastAsia" w:hAnsi="宋体" w:cs="宋体"/>
                <w:sz w:val="20"/>
                <w:szCs w:val="21"/>
              </w:rPr>
            </w:pPr>
            <w:r>
              <w:rPr>
                <w:rFonts w:hint="eastAsia" w:hAnsi="宋体" w:cs="宋体"/>
                <w:sz w:val="20"/>
                <w:szCs w:val="21"/>
              </w:rPr>
              <w:t>应用程序发生非关键业务功能故障，但是不影响关键业务正常运营。</w:t>
            </w:r>
          </w:p>
        </w:tc>
        <w:tc>
          <w:tcPr>
            <w:tcW w:w="2977" w:type="dxa"/>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响应时限&lt;1小时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处理时限&lt;4小时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18"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年故障次数≤40次</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restart"/>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r>
              <w:rPr>
                <w:rFonts w:hint="eastAsia" w:hAnsi="宋体" w:cs="宋体"/>
                <w:b/>
                <w:sz w:val="20"/>
                <w:szCs w:val="21"/>
              </w:rPr>
              <w:t>低优先级事件</w:t>
            </w:r>
          </w:p>
        </w:tc>
        <w:tc>
          <w:tcPr>
            <w:tcW w:w="4394" w:type="dxa"/>
            <w:vMerge w:val="restart"/>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rPr>
                <w:rFonts w:hint="eastAsia" w:hAnsi="宋体" w:cs="宋体"/>
                <w:sz w:val="20"/>
                <w:szCs w:val="21"/>
              </w:rPr>
            </w:pPr>
            <w:r>
              <w:rPr>
                <w:rFonts w:hint="eastAsia" w:hAnsi="宋体" w:cs="宋体"/>
                <w:sz w:val="20"/>
                <w:szCs w:val="21"/>
              </w:rPr>
              <w:t>应用程序发生与功能性相关的问题，不影响业务运营。</w:t>
            </w: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响应时限&lt;2小时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shd w:val="clear" w:color="auto" w:fill="D9E2F3"/>
            <w:noWrap w:val="0"/>
            <w:vAlign w:val="center"/>
          </w:tcPr>
          <w:p>
            <w:pPr>
              <w:spacing w:beforeLines="0" w:afterLines="0"/>
              <w:jc w:val="center"/>
              <w:rPr>
                <w:rFonts w:hint="eastAsia" w:hAnsi="宋体" w:cs="宋体"/>
                <w:sz w:val="20"/>
                <w:szCs w:val="21"/>
              </w:rPr>
            </w:pPr>
            <w:r>
              <w:rPr>
                <w:rFonts w:hint="eastAsia" w:hAnsi="宋体" w:cs="宋体"/>
                <w:sz w:val="20"/>
                <w:szCs w:val="21"/>
              </w:rPr>
              <w:t>处理时限&lt;8小时</w:t>
            </w:r>
          </w:p>
        </w:tc>
      </w:tr>
      <w:tr>
        <w:tblPrEx>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CellMar>
            <w:top w:w="0" w:type="dxa"/>
            <w:left w:w="108" w:type="dxa"/>
            <w:bottom w:w="0" w:type="dxa"/>
            <w:right w:w="108" w:type="dxa"/>
          </w:tblCellMar>
        </w:tblPrEx>
        <w:trPr>
          <w:trHeight w:val="397" w:hRule="atLeast"/>
        </w:trPr>
        <w:tc>
          <w:tcPr>
            <w:tcW w:w="2093"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b/>
                <w:sz w:val="20"/>
                <w:szCs w:val="21"/>
              </w:rPr>
            </w:pPr>
          </w:p>
        </w:tc>
        <w:tc>
          <w:tcPr>
            <w:tcW w:w="4394" w:type="dxa"/>
            <w:vMerge w:val="continue"/>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p>
        </w:tc>
        <w:tc>
          <w:tcPr>
            <w:tcW w:w="2977" w:type="dxa"/>
            <w:tcBorders>
              <w:top w:val="single" w:color="8EAADB" w:sz="4" w:space="0"/>
              <w:left w:val="single" w:color="8EAADB" w:sz="4" w:space="0"/>
              <w:bottom w:val="single" w:color="8EAADB" w:sz="4" w:space="0"/>
              <w:right w:val="single" w:color="8EAADB" w:sz="4" w:space="0"/>
              <w:tl2br w:val="nil"/>
              <w:tr2bl w:val="nil"/>
            </w:tcBorders>
            <w:noWrap w:val="0"/>
            <w:vAlign w:val="center"/>
          </w:tcPr>
          <w:p>
            <w:pPr>
              <w:spacing w:beforeLines="0" w:afterLines="0"/>
              <w:jc w:val="center"/>
              <w:rPr>
                <w:rFonts w:hint="eastAsia" w:hAnsi="宋体" w:cs="宋体"/>
                <w:sz w:val="20"/>
                <w:szCs w:val="21"/>
              </w:rPr>
            </w:pPr>
            <w:r>
              <w:rPr>
                <w:rFonts w:hint="eastAsia" w:hAnsi="宋体" w:cs="宋体"/>
                <w:sz w:val="20"/>
                <w:szCs w:val="21"/>
              </w:rPr>
              <w:t>年故障次数≤60次</w:t>
            </w:r>
          </w:p>
        </w:tc>
      </w:tr>
    </w:tbl>
    <w:p>
      <w:pPr>
        <w:pStyle w:val="20"/>
        <w:rPr>
          <w:rFonts w:hint="eastAsia"/>
        </w:rPr>
      </w:pPr>
    </w:p>
    <w:p>
      <w:pPr>
        <w:pStyle w:val="20"/>
        <w:rPr>
          <w:rFonts w:hint="eastAsia"/>
        </w:rPr>
      </w:pPr>
    </w:p>
    <w:p>
      <w:pPr>
        <w:pStyle w:val="20"/>
        <w:ind w:left="0" w:leftChars="0" w:firstLine="0" w:firstLineChars="0"/>
        <w:rPr>
          <w:rFonts w:hint="eastAsia"/>
        </w:rPr>
      </w:pPr>
      <w:r>
        <w:rPr>
          <w:rFonts w:hint="eastAsia"/>
          <w:lang w:val="en-US" w:eastAsia="zh-CN"/>
        </w:rPr>
        <w:t xml:space="preserve">9.5.2.5  </w:t>
      </w:r>
      <w:r>
        <w:rPr>
          <w:rFonts w:hint="eastAsia"/>
        </w:rPr>
        <w:t>如果故障在检修8小时后仍无法排除，投标方应在48小时内提供解决方案，经招标方批准后负责实施，直至故障修复。</w:t>
      </w:r>
    </w:p>
    <w:p>
      <w:pPr>
        <w:pStyle w:val="20"/>
        <w:ind w:left="0" w:leftChars="0" w:firstLine="0" w:firstLineChars="0"/>
        <w:rPr>
          <w:rFonts w:hint="eastAsia"/>
        </w:rPr>
      </w:pPr>
      <w:r>
        <w:rPr>
          <w:rFonts w:hint="eastAsia"/>
          <w:lang w:val="en-US" w:eastAsia="zh-CN"/>
        </w:rPr>
        <w:t xml:space="preserve">9.5.2.6  </w:t>
      </w:r>
      <w:r>
        <w:rPr>
          <w:rFonts w:hint="eastAsia"/>
        </w:rPr>
        <w:t>所有售后服务方式均为投标方上门，即由投标方或原厂商派员到用户使用现场。由此产生的一切费用均由投标方承担。</w:t>
      </w:r>
    </w:p>
    <w:p>
      <w:pPr>
        <w:pStyle w:val="20"/>
        <w:ind w:left="0" w:leftChars="0" w:firstLine="0" w:firstLineChars="0"/>
        <w:rPr>
          <w:rFonts w:hint="eastAsia"/>
        </w:rPr>
      </w:pPr>
      <w:r>
        <w:rPr>
          <w:rFonts w:hint="eastAsia"/>
          <w:lang w:val="en-US" w:eastAsia="zh-CN"/>
        </w:rPr>
        <w:t xml:space="preserve">9.5.2.7  </w:t>
      </w:r>
      <w:r>
        <w:rPr>
          <w:rFonts w:hint="eastAsia"/>
        </w:rPr>
        <w:t>对于不能明确是否是投标方工作产品出现故障时，投标方应尽力配合招标方和其他供应商进行检查，在必要时，能在上述响应时间内到达现场协助排除问题。</w:t>
      </w:r>
    </w:p>
    <w:p>
      <w:pPr>
        <w:pStyle w:val="20"/>
        <w:ind w:left="0" w:leftChars="0" w:firstLine="0" w:firstLineChars="0"/>
        <w:rPr>
          <w:rFonts w:hint="eastAsia"/>
        </w:rPr>
      </w:pPr>
      <w:r>
        <w:rPr>
          <w:rFonts w:hint="eastAsia"/>
          <w:lang w:val="en-US" w:eastAsia="zh-CN"/>
        </w:rPr>
        <w:t xml:space="preserve">9.5.2.8  </w:t>
      </w:r>
      <w:r>
        <w:rPr>
          <w:rFonts w:hint="eastAsia"/>
        </w:rPr>
        <w:t>投标方必须有专门的维护部门及规范的维护服务管理体系，须在招标方当地有专业维护人员，能按要求及时响应。</w:t>
      </w:r>
    </w:p>
    <w:p>
      <w:pPr>
        <w:pStyle w:val="20"/>
        <w:ind w:left="0" w:leftChars="0" w:firstLine="0" w:firstLineChars="0"/>
        <w:rPr>
          <w:rFonts w:hint="eastAsia" w:hAnsi="宋体"/>
          <w:b w:val="0"/>
          <w:kern w:val="0"/>
          <w:szCs w:val="24"/>
        </w:rPr>
      </w:pPr>
      <w:r>
        <w:rPr>
          <w:rFonts w:hint="eastAsia"/>
          <w:lang w:val="en-US" w:eastAsia="zh-CN"/>
        </w:rPr>
        <w:t xml:space="preserve">9.5.2.9  </w:t>
      </w:r>
      <w:r>
        <w:rPr>
          <w:rFonts w:hint="eastAsia"/>
        </w:rPr>
        <w:t>投标方需要提出保修期后每年的收费维修、维护内容，费用和服务方式、范围（产品、技术、模块、部件），供招标方选择。</w:t>
      </w:r>
    </w:p>
    <w:p>
      <w:pPr>
        <w:pStyle w:val="4"/>
        <w:keepNext w:val="0"/>
        <w:keepLines w:val="0"/>
        <w:widowControl/>
        <w:numPr>
          <w:ilvl w:val="0"/>
          <w:numId w:val="2"/>
        </w:numPr>
        <w:spacing w:before="480" w:line="276" w:lineRule="auto"/>
        <w:contextualSpacing/>
        <w:jc w:val="left"/>
        <w:rPr>
          <w:rFonts w:hAnsi="宋体"/>
          <w:szCs w:val="24"/>
        </w:rPr>
      </w:pPr>
      <w:bookmarkStart w:id="30" w:name="_Toc1384268344"/>
      <w:r>
        <w:rPr>
          <w:rFonts w:hint="eastAsia" w:hAnsi="宋体"/>
          <w:szCs w:val="24"/>
        </w:rPr>
        <w:t>备品备件及主要工器具</w:t>
      </w:r>
      <w:bookmarkEnd w:id="30"/>
    </w:p>
    <w:p>
      <w:pPr>
        <w:pStyle w:val="5"/>
        <w:keepNext w:val="0"/>
        <w:keepLines w:val="0"/>
        <w:widowControl/>
        <w:numPr>
          <w:ilvl w:val="1"/>
          <w:numId w:val="2"/>
        </w:numPr>
        <w:spacing w:before="200" w:line="276" w:lineRule="auto"/>
        <w:jc w:val="left"/>
        <w:rPr>
          <w:rFonts w:hAnsi="宋体"/>
          <w:b w:val="0"/>
          <w:kern w:val="0"/>
          <w:szCs w:val="24"/>
        </w:rPr>
      </w:pPr>
      <w:r>
        <w:rPr>
          <w:rFonts w:hint="eastAsia" w:hAnsi="宋体"/>
          <w:b w:val="0"/>
          <w:kern w:val="0"/>
          <w:szCs w:val="24"/>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2"/>
        </w:numPr>
        <w:spacing w:before="200" w:line="276" w:lineRule="auto"/>
        <w:jc w:val="left"/>
        <w:rPr>
          <w:rFonts w:hAnsi="宋体"/>
          <w:kern w:val="0"/>
          <w:szCs w:val="24"/>
        </w:rPr>
      </w:pPr>
      <w:r>
        <w:rPr>
          <w:rFonts w:hint="eastAsia" w:hAnsi="宋体"/>
          <w:kern w:val="0"/>
          <w:szCs w:val="24"/>
        </w:rPr>
        <w:t>备品备件</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应保证备品备件长期稳定的供货。对主要备品备件及与其可兼容的插件替代品，其备品的供货期至少是设备验收后三年或该设备在市场停销后三年。当投标方决定中断生产某些组件或设备时，应预先告知招标方，以便招标方增加这些设备的备品备件。投标方应在该期限内向招标方提供最优惠的价格，满足招标方购买时的要求。</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投标方应对所提供设备联调及运维所必须的备品备件提出建议和报价。</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投标方应提供有关备品备件的保管储藏资料，如存放期限、所需的干燥器等。</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所有备品备件的一些主要部件(如印刷电路板)在发运前，都应逐一进行测试，以保证在系统中正常运行。</w:t>
      </w:r>
    </w:p>
    <w:p>
      <w:pPr>
        <w:pStyle w:val="5"/>
        <w:keepNext w:val="0"/>
        <w:keepLines w:val="0"/>
        <w:widowControl/>
        <w:numPr>
          <w:ilvl w:val="2"/>
          <w:numId w:val="2"/>
        </w:numPr>
        <w:spacing w:before="200" w:line="276" w:lineRule="auto"/>
        <w:jc w:val="left"/>
        <w:rPr>
          <w:rFonts w:hAnsi="宋体"/>
          <w:b w:val="0"/>
          <w:kern w:val="0"/>
          <w:szCs w:val="24"/>
        </w:rPr>
      </w:pPr>
      <w:r>
        <w:rPr>
          <w:rFonts w:hint="eastAsia" w:hAnsi="宋体"/>
          <w:b w:val="0"/>
          <w:kern w:val="0"/>
          <w:szCs w:val="24"/>
          <w:lang w:val="en-US" w:eastAsia="zh-CN"/>
        </w:rPr>
        <w:t xml:space="preserve"> </w:t>
      </w:r>
      <w:r>
        <w:rPr>
          <w:rFonts w:hint="eastAsia" w:hAnsi="宋体"/>
          <w:b w:val="0"/>
          <w:kern w:val="0"/>
          <w:szCs w:val="24"/>
        </w:rPr>
        <w:t>备品备件应是新品，与设备同型号、同工艺。</w:t>
      </w:r>
    </w:p>
    <w:p>
      <w:pPr>
        <w:pStyle w:val="4"/>
        <w:keepNext w:val="0"/>
        <w:keepLines w:val="0"/>
        <w:widowControl/>
        <w:numPr>
          <w:ilvl w:val="0"/>
          <w:numId w:val="2"/>
        </w:numPr>
        <w:spacing w:before="480" w:line="276" w:lineRule="auto"/>
        <w:ind w:left="366" w:hanging="425"/>
        <w:contextualSpacing/>
        <w:jc w:val="left"/>
        <w:rPr>
          <w:rFonts w:hAnsi="宋体"/>
          <w:szCs w:val="24"/>
        </w:rPr>
      </w:pPr>
      <w:bookmarkStart w:id="31" w:name="_Toc1707709657"/>
      <w:r>
        <w:rPr>
          <w:rFonts w:hint="eastAsia" w:hAnsi="宋体"/>
          <w:szCs w:val="24"/>
        </w:rPr>
        <w:t>技术性能偏差表</w:t>
      </w:r>
      <w:bookmarkEnd w:id="31"/>
    </w:p>
    <w:p>
      <w:pPr>
        <w:jc w:val="center"/>
      </w:pPr>
      <w:r>
        <w:rPr>
          <w:rFonts w:hint="eastAsia"/>
        </w:rPr>
        <w:t>表6 技术性能偏差表</w:t>
      </w:r>
    </w:p>
    <w:tbl>
      <w:tblPr>
        <w:tblStyle w:val="10"/>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restart"/>
            <w:tcBorders>
              <w:top w:val="single" w:color="auto" w:sz="4" w:space="0"/>
              <w:left w:val="single" w:color="auto" w:sz="4" w:space="0"/>
              <w:bottom w:val="single" w:color="auto" w:sz="4" w:space="0"/>
              <w:right w:val="single" w:color="auto" w:sz="4" w:space="0"/>
            </w:tcBorders>
            <w:vAlign w:val="center"/>
          </w:tcPr>
          <w:p>
            <w:r>
              <w:rPr>
                <w:rFonts w:hint="eastAsia"/>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投标文件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575" w:type="dxa"/>
            <w:vMerge w:val="continue"/>
            <w:tcBorders>
              <w:top w:val="single" w:color="auto" w:sz="4" w:space="0"/>
              <w:left w:val="single" w:color="auto" w:sz="4" w:space="0"/>
              <w:bottom w:val="single" w:color="auto" w:sz="4" w:space="0"/>
              <w:right w:val="single" w:color="auto" w:sz="4" w:space="0"/>
            </w:tcBorders>
            <w:vAlign w:val="center"/>
          </w:tcPr>
          <w:p/>
        </w:tc>
        <w:tc>
          <w:tcPr>
            <w:tcW w:w="102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tc>
        <w:tc>
          <w:tcPr>
            <w:tcW w:w="1020" w:type="dxa"/>
            <w:tcBorders>
              <w:top w:val="single" w:color="auto" w:sz="4" w:space="0"/>
              <w:left w:val="single" w:color="auto" w:sz="4" w:space="0"/>
              <w:bottom w:val="single" w:color="auto" w:sz="4" w:space="0"/>
              <w:right w:val="single" w:color="auto" w:sz="4" w:space="0"/>
            </w:tcBorders>
          </w:tcPr>
          <w:p/>
        </w:tc>
        <w:tc>
          <w:tcPr>
            <w:tcW w:w="2835" w:type="dxa"/>
            <w:tcBorders>
              <w:top w:val="single" w:color="auto" w:sz="4" w:space="0"/>
              <w:left w:val="single" w:color="auto" w:sz="4" w:space="0"/>
              <w:bottom w:val="single" w:color="auto" w:sz="4" w:space="0"/>
              <w:right w:val="single" w:color="auto" w:sz="4" w:space="0"/>
            </w:tcBorders>
          </w:tcPr>
          <w:p/>
        </w:tc>
        <w:tc>
          <w:tcPr>
            <w:tcW w:w="1605" w:type="dxa"/>
            <w:tcBorders>
              <w:top w:val="single" w:color="auto" w:sz="4" w:space="0"/>
              <w:left w:val="single" w:color="auto" w:sz="4" w:space="0"/>
              <w:bottom w:val="single" w:color="auto" w:sz="4" w:space="0"/>
              <w:right w:val="single" w:color="auto" w:sz="4" w:space="0"/>
            </w:tcBorders>
          </w:tcPr>
          <w:p/>
        </w:tc>
        <w:tc>
          <w:tcPr>
            <w:tcW w:w="2694" w:type="dxa"/>
            <w:tcBorders>
              <w:top w:val="single" w:color="auto" w:sz="4" w:space="0"/>
              <w:left w:val="single" w:color="auto" w:sz="4" w:space="0"/>
              <w:bottom w:val="single" w:color="auto" w:sz="4" w:space="0"/>
              <w:right w:val="single" w:color="auto" w:sz="4" w:space="0"/>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tc>
        <w:tc>
          <w:tcPr>
            <w:tcW w:w="1020" w:type="dxa"/>
            <w:tcBorders>
              <w:top w:val="single" w:color="auto" w:sz="4" w:space="0"/>
              <w:left w:val="single" w:color="auto" w:sz="4" w:space="0"/>
              <w:bottom w:val="single" w:color="auto" w:sz="4" w:space="0"/>
              <w:right w:val="single" w:color="auto" w:sz="4" w:space="0"/>
            </w:tcBorders>
          </w:tcPr>
          <w:p/>
        </w:tc>
        <w:tc>
          <w:tcPr>
            <w:tcW w:w="2835" w:type="dxa"/>
            <w:tcBorders>
              <w:top w:val="single" w:color="auto" w:sz="4" w:space="0"/>
              <w:left w:val="single" w:color="auto" w:sz="4" w:space="0"/>
              <w:bottom w:val="single" w:color="auto" w:sz="4" w:space="0"/>
              <w:right w:val="single" w:color="auto" w:sz="4" w:space="0"/>
            </w:tcBorders>
          </w:tcPr>
          <w:p/>
        </w:tc>
        <w:tc>
          <w:tcPr>
            <w:tcW w:w="1605" w:type="dxa"/>
            <w:tcBorders>
              <w:top w:val="single" w:color="auto" w:sz="4" w:space="0"/>
              <w:left w:val="single" w:color="auto" w:sz="4" w:space="0"/>
              <w:bottom w:val="single" w:color="auto" w:sz="4" w:space="0"/>
              <w:right w:val="single" w:color="auto" w:sz="4" w:space="0"/>
            </w:tcBorders>
          </w:tcPr>
          <w:p/>
        </w:tc>
        <w:tc>
          <w:tcPr>
            <w:tcW w:w="2694" w:type="dxa"/>
            <w:tcBorders>
              <w:top w:val="single" w:color="auto" w:sz="4" w:space="0"/>
              <w:left w:val="single" w:color="auto" w:sz="4" w:space="0"/>
              <w:bottom w:val="single" w:color="auto" w:sz="4" w:space="0"/>
              <w:right w:val="single" w:color="auto" w:sz="4" w:space="0"/>
            </w:tcBorders>
          </w:tcPr>
          <w:p/>
        </w:tc>
      </w:tr>
    </w:tbl>
    <w:p>
      <w:pPr>
        <w:pStyle w:val="4"/>
        <w:keepNext w:val="0"/>
        <w:keepLines w:val="0"/>
        <w:widowControl/>
        <w:numPr>
          <w:ilvl w:val="0"/>
          <w:numId w:val="2"/>
        </w:numPr>
        <w:spacing w:before="480" w:line="276" w:lineRule="auto"/>
        <w:ind w:left="366" w:hanging="425"/>
        <w:contextualSpacing/>
        <w:jc w:val="left"/>
        <w:rPr>
          <w:rFonts w:hAnsi="宋体"/>
          <w:szCs w:val="24"/>
        </w:rPr>
      </w:pPr>
      <w:bookmarkStart w:id="32" w:name="_Toc357263044"/>
      <w:r>
        <w:rPr>
          <w:rFonts w:hint="eastAsia" w:hAnsi="宋体"/>
          <w:szCs w:val="24"/>
        </w:rPr>
        <w:t>投标方需要说明的其它问题</w:t>
      </w:r>
      <w:bookmarkEnd w:id="32"/>
    </w:p>
    <w:p/>
    <w:sectPr>
      <w:headerReference r:id="rId8" w:type="default"/>
      <w:footerReference r:id="rId9"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15</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r>
      <w:pict>
        <v:shape id="_x0000_s4106" o:spid="_x0000_s4106"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107" o:spid="_x0000_s4107"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108" o:spid="_x0000_s4108"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9" o:spid="_x0000_s4109"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10" o:spid="_x0000_s4110"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11" o:spid="_x0000_s4111"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12" o:spid="_x0000_s4112"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13" o:spid="_x0000_s4113"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14" o:spid="_x0000_s4114"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pPr>
    <w:r>
      <w:drawing>
        <wp:inline distT="0" distB="0" distL="0" distR="0">
          <wp:extent cx="1562100" cy="266700"/>
          <wp:effectExtent l="0" t="0" r="0" b="0"/>
          <wp:docPr id="28646"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6" name="图片 1" descr="tttt"/>
                  <pic:cNvPicPr>
                    <a:picLocks noChangeAspect="1"/>
                  </pic:cNvPicPr>
                </pic:nvPicPr>
                <pic:blipFill>
                  <a:blip r:embed="rId1"/>
                  <a:stretch>
                    <a:fillRect/>
                  </a:stretch>
                </pic:blipFill>
                <pic:spPr>
                  <a:xfrm>
                    <a:off x="0" y="0"/>
                    <a:ext cx="1562100" cy="266700"/>
                  </a:xfrm>
                  <a:prstGeom prst="rect">
                    <a:avLst/>
                  </a:prstGeom>
                  <a:noFill/>
                  <a:ln>
                    <a:noFill/>
                  </a:ln>
                </pic:spPr>
              </pic:pic>
            </a:graphicData>
          </a:graphic>
        </wp:inline>
      </w:drawing>
    </w:r>
    <w:r>
      <w:pict>
        <v:shape id="_x0000_s4115" o:spid="_x0000_s4115" o:spt="75" type="#_x0000_t75" style="position:absolute;left:0pt;margin-left:-50pt;margin-top:25pt;height:76pt;width:100pt;z-index:-251657216;mso-width-relative:page;mso-height-relative:page;" filled="f" coordsize="21600,21600">
          <v:path/>
          <v:fill on="f" focussize="0,0"/>
          <v:stroke/>
          <v:imagedata r:id="rId2" o:title=""/>
          <o:lock v:ext="edit" aspectratio="t"/>
        </v:shape>
      </w:pict>
    </w:r>
    <w:r>
      <w:pict>
        <v:shape id="_x0000_s4116" o:spid="_x0000_s4116" o:spt="75" type="#_x0000_t75" style="position:absolute;left:0pt;margin-left:160pt;margin-top:25pt;height:76pt;width:100pt;z-index:-251657216;mso-width-relative:page;mso-height-relative:page;" filled="f" coordsize="21600,21600">
          <v:path/>
          <v:fill on="f" focussize="0,0"/>
          <v:stroke/>
          <v:imagedata r:id="rId2" o:title=""/>
          <o:lock v:ext="edit" aspectratio="t"/>
        </v:shape>
      </w:pict>
    </w:r>
    <w:r>
      <w:pict>
        <v:shape id="_x0000_s4117" o:spid="_x0000_s4117" o:spt="75" type="#_x0000_t75" style="position:absolute;left:0pt;margin-left:370pt;margin-top:25pt;height:76pt;width:100pt;z-index:-251657216;mso-width-relative:page;mso-height-relative:page;" filled="f" coordsize="21600,21600">
          <v:path/>
          <v:fill on="f" focussize="0,0"/>
          <v:stroke/>
          <v:imagedata r:id="rId2" o:title=""/>
          <o:lock v:ext="edit" aspectratio="t"/>
        </v:shape>
      </w:pict>
    </w:r>
    <w:r>
      <w:pict>
        <v:shape id="_x0000_s4118" o:spid="_x0000_s4118" o:spt="75" type="#_x0000_t75" style="position:absolute;left:0pt;margin-left:-50pt;margin-top:340pt;height:76pt;width:100pt;z-index:-251657216;mso-width-relative:page;mso-height-relative:page;" filled="f" coordsize="21600,21600">
          <v:path/>
          <v:fill on="f" focussize="0,0"/>
          <v:stroke/>
          <v:imagedata r:id="rId2" o:title=""/>
          <o:lock v:ext="edit" aspectratio="t"/>
        </v:shape>
      </w:pict>
    </w:r>
    <w:r>
      <w:pict>
        <v:shape id="_x0000_s4119" o:spid="_x0000_s4119" o:spt="75" type="#_x0000_t75" style="position:absolute;left:0pt;margin-left:160pt;margin-top:340pt;height:76pt;width:100pt;z-index:-251657216;mso-width-relative:page;mso-height-relative:page;" filled="f" coordsize="21600,21600">
          <v:path/>
          <v:fill on="f" focussize="0,0"/>
          <v:stroke/>
          <v:imagedata r:id="rId2" o:title=""/>
          <o:lock v:ext="edit" aspectratio="t"/>
        </v:shape>
      </w:pict>
    </w:r>
    <w:r>
      <w:pict>
        <v:shape id="_x0000_s4120" o:spid="_x0000_s4120" o:spt="75" type="#_x0000_t75" style="position:absolute;left:0pt;margin-left:370pt;margin-top:340pt;height:76pt;width:100pt;z-index:-251657216;mso-width-relative:page;mso-height-relative:page;" filled="f" coordsize="21600,21600">
          <v:path/>
          <v:fill on="f" focussize="0,0"/>
          <v:stroke/>
          <v:imagedata r:id="rId2" o:title=""/>
          <o:lock v:ext="edit" aspectratio="t"/>
        </v:shape>
      </w:pict>
    </w:r>
    <w:r>
      <w:pict>
        <v:shape id="_x0000_s4121" o:spid="_x0000_s4121" o:spt="75" type="#_x0000_t75" style="position:absolute;left:0pt;margin-left:-50pt;margin-top:655pt;height:76pt;width:100pt;z-index:-251657216;mso-width-relative:page;mso-height-relative:page;" filled="f" coordsize="21600,21600">
          <v:path/>
          <v:fill on="f" focussize="0,0"/>
          <v:stroke/>
          <v:imagedata r:id="rId2" o:title=""/>
          <o:lock v:ext="edit" aspectratio="t"/>
        </v:shape>
      </w:pict>
    </w:r>
    <w:r>
      <w:pict>
        <v:shape id="_x0000_s4122" o:spid="_x0000_s4122" o:spt="75" type="#_x0000_t75" style="position:absolute;left:0pt;margin-left:160pt;margin-top:655pt;height:76pt;width:100pt;z-index:-251657216;mso-width-relative:page;mso-height-relative:page;" filled="f" coordsize="21600,21600">
          <v:path/>
          <v:fill on="f" focussize="0,0"/>
          <v:stroke/>
          <v:imagedata r:id="rId2" o:title=""/>
          <o:lock v:ext="edit" aspectratio="t"/>
        </v:shape>
      </w:pict>
    </w:r>
    <w:r>
      <w:pict>
        <v:shape id="_x0000_s4123" o:spid="_x0000_s4123" o:spt="75" type="#_x0000_t75" style="position:absolute;left:0pt;margin-left:370pt;margin-top:655pt;height:76pt;width:100pt;z-index:-251657216;mso-width-relative:page;mso-height-relative:page;" filled="f" coordsize="21600,21600">
          <v:path/>
          <v:fill on="f" focussize="0,0"/>
          <v:stroke/>
          <v:imagedata r:id="rId2" o:title=""/>
          <o:lock v:ext="edit" aspectratio="t"/>
        </v:shape>
      </w:pict>
    </w:r>
    <w:r>
      <w:pict>
        <v:shape id="_x0000_s4124" o:spid="_x0000_s4124" o:spt="75" type="#_x0000_t75" style="position:absolute;left:0pt;margin-left:-50pt;margin-top:25pt;height:76pt;width:100pt;z-index:-251656192;mso-width-relative:page;mso-height-relative:page;" filled="f" coordsize="21600,21600">
          <v:path/>
          <v:fill on="f" focussize="0,0"/>
          <v:stroke/>
          <v:imagedata r:id="rId2" o:title=""/>
          <o:lock v:ext="edit" aspectratio="t"/>
        </v:shape>
      </w:pict>
    </w:r>
    <w:r>
      <w:pict>
        <v:shape id="_x0000_s4125" o:spid="_x0000_s4125" o:spt="75" type="#_x0000_t75" style="position:absolute;left:0pt;margin-left:160pt;margin-top:25pt;height:76pt;width:100pt;z-index:-251656192;mso-width-relative:page;mso-height-relative:page;" filled="f" coordsize="21600,21600">
          <v:path/>
          <v:fill on="f" focussize="0,0"/>
          <v:stroke/>
          <v:imagedata r:id="rId2" o:title=""/>
          <o:lock v:ext="edit" aspectratio="t"/>
        </v:shape>
      </w:pict>
    </w:r>
    <w:r>
      <w:pict>
        <v:shape id="_x0000_s4126" o:spid="_x0000_s4126" o:spt="75" type="#_x0000_t75" style="position:absolute;left:0pt;margin-left:370pt;margin-top:25pt;height:76pt;width:100pt;z-index:-251656192;mso-width-relative:page;mso-height-relative:page;" filled="f" coordsize="21600,21600">
          <v:path/>
          <v:fill on="f" focussize="0,0"/>
          <v:stroke/>
          <v:imagedata r:id="rId2" o:title=""/>
          <o:lock v:ext="edit" aspectratio="t"/>
        </v:shape>
      </w:pict>
    </w:r>
    <w:r>
      <w:pict>
        <v:shape id="_x0000_s4127" o:spid="_x0000_s4127" o:spt="75" type="#_x0000_t75" style="position:absolute;left:0pt;margin-left:-50pt;margin-top:340pt;height:76pt;width:100pt;z-index:-251656192;mso-width-relative:page;mso-height-relative:page;" filled="f" coordsize="21600,21600">
          <v:path/>
          <v:fill on="f" focussize="0,0"/>
          <v:stroke/>
          <v:imagedata r:id="rId2" o:title=""/>
          <o:lock v:ext="edit" aspectratio="t"/>
        </v:shape>
      </w:pict>
    </w:r>
    <w:r>
      <w:pict>
        <v:shape id="_x0000_s4128" o:spid="_x0000_s4128" o:spt="75" type="#_x0000_t75" style="position:absolute;left:0pt;margin-left:160pt;margin-top:340pt;height:76pt;width:100pt;z-index:-251656192;mso-width-relative:page;mso-height-relative:page;" filled="f" coordsize="21600,21600">
          <v:path/>
          <v:fill on="f" focussize="0,0"/>
          <v:stroke/>
          <v:imagedata r:id="rId2" o:title=""/>
          <o:lock v:ext="edit" aspectratio="t"/>
        </v:shape>
      </w:pict>
    </w:r>
    <w:r>
      <w:pict>
        <v:shape id="_x0000_s4129" o:spid="_x0000_s4129" o:spt="75" type="#_x0000_t75" style="position:absolute;left:0pt;margin-left:370pt;margin-top:340pt;height:76pt;width:100pt;z-index:-251656192;mso-width-relative:page;mso-height-relative:page;" filled="f" coordsize="21600,21600">
          <v:path/>
          <v:fill on="f" focussize="0,0"/>
          <v:stroke/>
          <v:imagedata r:id="rId2" o:title=""/>
          <o:lock v:ext="edit" aspectratio="t"/>
        </v:shape>
      </w:pict>
    </w:r>
    <w:r>
      <w:pict>
        <v:shape id="_x0000_s4130" o:spid="_x0000_s4130" o:spt="75" type="#_x0000_t75" style="position:absolute;left:0pt;margin-left:-50pt;margin-top:655pt;height:76pt;width:100pt;z-index:-251656192;mso-width-relative:page;mso-height-relative:page;" filled="f" coordsize="21600,21600">
          <v:path/>
          <v:fill on="f" focussize="0,0"/>
          <v:stroke/>
          <v:imagedata r:id="rId2" o:title=""/>
          <o:lock v:ext="edit" aspectratio="t"/>
        </v:shape>
      </w:pict>
    </w:r>
    <w:r>
      <w:pict>
        <v:shape id="_x0000_s4131" o:spid="_x0000_s4131" o:spt="75" type="#_x0000_t75" style="position:absolute;left:0pt;margin-left:160pt;margin-top:655pt;height:76pt;width:100pt;z-index:-251656192;mso-width-relative:page;mso-height-relative:page;" filled="f" coordsize="21600,21600">
          <v:path/>
          <v:fill on="f" focussize="0,0"/>
          <v:stroke/>
          <v:imagedata r:id="rId2" o:title=""/>
          <o:lock v:ext="edit" aspectratio="t"/>
        </v:shape>
      </w:pict>
    </w:r>
    <w:r>
      <w:pict>
        <v:shape id="_x0000_s4132" o:spid="_x0000_s4132" o:spt="75" type="#_x0000_t75" style="position:absolute;left:0pt;margin-left:370pt;margin-top:655pt;height:76pt;width:100pt;z-index:-251656192;mso-width-relative:page;mso-height-relative:page;" filled="f" coordsize="21600,21600">
          <v:path/>
          <v:fill on="f" focussize="0,0"/>
          <v:stroke/>
          <v:imagedata r:id="rId2"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Thousand"/>
      <w:suff w:val="space"/>
      <w:lvlText w:val="%1、"/>
      <w:lvlJc w:val="left"/>
      <w:pPr>
        <w:ind w:left="0" w:firstLine="0"/>
      </w:pPr>
      <w:rPr>
        <w:rFonts w:hint="default" w:ascii="Times New Roman" w:hAnsi="Times New Roman" w:eastAsia="宋体"/>
        <w:b/>
        <w:i w:val="0"/>
        <w:sz w:val="36"/>
        <w:szCs w:val="24"/>
      </w:rPr>
    </w:lvl>
    <w:lvl w:ilvl="1" w:tentative="0">
      <w:start w:val="1"/>
      <w:numFmt w:val="decimal"/>
      <w:isLgl/>
      <w:suff w:val="space"/>
      <w:lvlText w:val="%1.%2"/>
      <w:lvlJc w:val="left"/>
      <w:pPr>
        <w:ind w:left="0" w:firstLine="0"/>
      </w:pPr>
      <w:rPr>
        <w:rFonts w:hint="default" w:ascii="Times New Roman" w:hAnsi="Times New Roman" w:eastAsia="宋体"/>
        <w:b/>
        <w:i w:val="0"/>
        <w:sz w:val="32"/>
      </w:rPr>
    </w:lvl>
    <w:lvl w:ilvl="2" w:tentative="0">
      <w:start w:val="1"/>
      <w:numFmt w:val="decimal"/>
      <w:pStyle w:val="6"/>
      <w:isLgl/>
      <w:suff w:val="space"/>
      <w:lvlText w:val="%1.%2.%3"/>
      <w:lvlJc w:val="left"/>
      <w:pPr>
        <w:ind w:left="0" w:firstLine="0"/>
      </w:pPr>
      <w:rPr>
        <w:rFonts w:hint="default" w:ascii="Times New Roman" w:hAnsi="Times New Roman" w:eastAsia="宋体"/>
        <w:b/>
        <w:i w:val="0"/>
        <w:sz w:val="30"/>
        <w:u w:val="none"/>
      </w:rPr>
    </w:lvl>
    <w:lvl w:ilvl="3" w:tentative="0">
      <w:start w:val="1"/>
      <w:numFmt w:val="decimal"/>
      <w:isLgl/>
      <w:suff w:val="space"/>
      <w:lvlText w:val="%1.%2.%3.%4"/>
      <w:lvlJc w:val="left"/>
      <w:pPr>
        <w:ind w:left="0" w:firstLine="0"/>
      </w:pPr>
      <w:rPr>
        <w:rFonts w:hint="default" w:ascii="Times New Roman" w:hAnsi="Times New Roman" w:eastAsia="宋体"/>
        <w:b/>
        <w:i w:val="0"/>
        <w:sz w:val="28"/>
        <w:u w:val="none"/>
      </w:rPr>
    </w:lvl>
    <w:lvl w:ilvl="4" w:tentative="0">
      <w:start w:val="1"/>
      <w:numFmt w:val="decimal"/>
      <w:isLgl/>
      <w:suff w:val="space"/>
      <w:lvlText w:val="%1.%2.%3.%4.%5"/>
      <w:lvlJc w:val="left"/>
      <w:pPr>
        <w:ind w:left="0" w:firstLine="0"/>
      </w:pPr>
      <w:rPr>
        <w:rFonts w:hint="default" w:ascii="Times New Roman" w:hAnsi="Times New Roman" w:eastAsia="宋体"/>
        <w:b/>
        <w:i w:val="0"/>
        <w:sz w:val="24"/>
        <w:u w:val="none"/>
      </w:rPr>
    </w:lvl>
    <w:lvl w:ilvl="5" w:tentative="0">
      <w:start w:val="1"/>
      <w:numFmt w:val="decimal"/>
      <w:isLgl/>
      <w:suff w:val="space"/>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03D62ECE"/>
    <w:multiLevelType w:val="multilevel"/>
    <w:tmpl w:val="03D62ECE"/>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ind w:left="0" w:firstLine="0"/>
      </w:pPr>
      <w:rPr>
        <w:rFonts w:hint="eastAsia"/>
        <w:b w:val="0"/>
        <w:color w:val="auto"/>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5657D9"/>
    <w:rsid w:val="1F896CFC"/>
    <w:rsid w:val="245178DA"/>
    <w:rsid w:val="34B64098"/>
    <w:rsid w:val="3A310894"/>
    <w:rsid w:val="3D547175"/>
    <w:rsid w:val="3E235EF4"/>
    <w:rsid w:val="504D7302"/>
    <w:rsid w:val="5C181CC6"/>
    <w:rsid w:val="5D445532"/>
    <w:rsid w:val="5D4A70E4"/>
    <w:rsid w:val="6FAD2D36"/>
    <w:rsid w:val="7B0457FD"/>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link w:val="16"/>
    <w:qFormat/>
    <w:uiPriority w:val="0"/>
    <w:pPr>
      <w:keepNext/>
      <w:keepLines/>
      <w:outlineLvl w:val="0"/>
    </w:pPr>
    <w:rPr>
      <w:b/>
      <w:bCs/>
      <w:kern w:val="44"/>
      <w:szCs w:val="44"/>
    </w:rPr>
  </w:style>
  <w:style w:type="paragraph" w:styleId="5">
    <w:name w:val="heading 2"/>
    <w:basedOn w:val="1"/>
    <w:next w:val="1"/>
    <w:link w:val="17"/>
    <w:qFormat/>
    <w:uiPriority w:val="0"/>
    <w:pPr>
      <w:keepNext/>
      <w:keepLines/>
      <w:outlineLvl w:val="1"/>
    </w:pPr>
    <w:rPr>
      <w:rFonts w:hAnsi="Arial"/>
      <w:b/>
      <w:bCs/>
      <w:szCs w:val="32"/>
    </w:rPr>
  </w:style>
  <w:style w:type="paragraph" w:styleId="6">
    <w:name w:val="heading 3"/>
    <w:basedOn w:val="1"/>
    <w:next w:val="1"/>
    <w:unhideWhenUsed/>
    <w:qFormat/>
    <w:uiPriority w:val="9"/>
    <w:pPr>
      <w:numPr>
        <w:ilvl w:val="2"/>
        <w:numId w:val="1"/>
      </w:numPr>
      <w:ind w:firstLineChars="0"/>
      <w:outlineLvl w:val="2"/>
    </w:pPr>
    <w:rPr>
      <w:b/>
      <w:bCs/>
      <w:sz w:val="30"/>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before="100" w:after="100"/>
      <w:jc w:val="left"/>
    </w:pPr>
    <w:rPr>
      <w:rFonts w:eastAsia="仿宋_GB2312"/>
    </w:rPr>
  </w:style>
  <w:style w:type="paragraph" w:styleId="3">
    <w:name w:val="Title"/>
    <w:basedOn w:val="1"/>
    <w:next w:val="1"/>
    <w:qFormat/>
    <w:uiPriority w:val="10"/>
    <w:pPr>
      <w:spacing w:before="100" w:beforeLines="100" w:after="100" w:afterLines="100"/>
      <w:jc w:val="left"/>
      <w:outlineLvl w:val="0"/>
    </w:pPr>
    <w:rPr>
      <w:rFonts w:ascii="Arial" w:hAnsi="Arial" w:eastAsia="仿宋" w:cs="Arial"/>
      <w:bCs/>
      <w:sz w:val="32"/>
      <w:szCs w:val="32"/>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tabs>
        <w:tab w:val="right" w:leader="dot" w:pos="8296"/>
      </w:tabs>
    </w:pPr>
  </w:style>
  <w:style w:type="table" w:styleId="1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Hyperlink"/>
    <w:qFormat/>
    <w:uiPriority w:val="99"/>
    <w:rPr>
      <w:color w:val="0000FF"/>
      <w:u w:val="single"/>
    </w:rPr>
  </w:style>
  <w:style w:type="character" w:customStyle="1" w:styleId="14">
    <w:name w:val="页眉 Char"/>
    <w:basedOn w:val="12"/>
    <w:link w:val="8"/>
    <w:qFormat/>
    <w:uiPriority w:val="99"/>
    <w:rPr>
      <w:sz w:val="18"/>
      <w:szCs w:val="18"/>
    </w:rPr>
  </w:style>
  <w:style w:type="character" w:customStyle="1" w:styleId="15">
    <w:name w:val="页脚 Char"/>
    <w:basedOn w:val="12"/>
    <w:link w:val="7"/>
    <w:qFormat/>
    <w:uiPriority w:val="99"/>
    <w:rPr>
      <w:sz w:val="18"/>
      <w:szCs w:val="18"/>
    </w:rPr>
  </w:style>
  <w:style w:type="character" w:customStyle="1" w:styleId="16">
    <w:name w:val="标题 1 Char"/>
    <w:basedOn w:val="12"/>
    <w:link w:val="4"/>
    <w:qFormat/>
    <w:uiPriority w:val="0"/>
    <w:rPr>
      <w:rFonts w:ascii="宋体" w:hAnsi="Calibri" w:eastAsia="宋体" w:cs="Times New Roman"/>
      <w:b/>
      <w:bCs/>
      <w:kern w:val="44"/>
      <w:sz w:val="24"/>
      <w:szCs w:val="44"/>
    </w:rPr>
  </w:style>
  <w:style w:type="character" w:customStyle="1" w:styleId="17">
    <w:name w:val="标题 2 Char"/>
    <w:basedOn w:val="12"/>
    <w:link w:val="5"/>
    <w:qFormat/>
    <w:uiPriority w:val="0"/>
    <w:rPr>
      <w:rFonts w:ascii="宋体" w:hAnsi="Arial" w:eastAsia="宋体" w:cs="Times New Roman"/>
      <w:b/>
      <w:bCs/>
      <w:sz w:val="24"/>
      <w:szCs w:val="32"/>
    </w:rPr>
  </w:style>
  <w:style w:type="paragraph" w:customStyle="1" w:styleId="18">
    <w:name w:val="样式1"/>
    <w:basedOn w:val="1"/>
    <w:qFormat/>
    <w:uiPriority w:val="0"/>
  </w:style>
  <w:style w:type="paragraph" w:styleId="19">
    <w:name w:val="List Paragraph"/>
    <w:basedOn w:val="1"/>
    <w:qFormat/>
    <w:uiPriority w:val="99"/>
    <w:pPr>
      <w:adjustRightInd w:val="0"/>
      <w:spacing w:line="312" w:lineRule="atLeast"/>
      <w:ind w:firstLine="420"/>
      <w:textAlignment w:val="baseline"/>
    </w:pPr>
    <w:rPr>
      <w:kern w:val="0"/>
      <w:sz w:val="21"/>
      <w:szCs w:val="20"/>
    </w:rPr>
  </w:style>
  <w:style w:type="paragraph" w:customStyle="1" w:styleId="20">
    <w:name w:val="正文首行缩进2 字符"/>
    <w:basedOn w:val="1"/>
    <w:qFormat/>
    <w:uiPriority w:val="0"/>
    <w:pPr>
      <w:ind w:firstLine="480" w:firstLineChars="200"/>
    </w:pPr>
    <w:rPr>
      <w:rFonts w:ascii="宋体" w:hAnsi="宋体"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7.xml"/><Relationship Id="rId17" Type="http://schemas.openxmlformats.org/officeDocument/2006/relationships/customXml" Target="../customXml/item6.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15"/>
    <customShpInfo spid="_x0000_s4116"/>
    <customShpInfo spid="_x0000_s4117"/>
    <customShpInfo spid="_x0000_s4118"/>
    <customShpInfo spid="_x0000_s4119"/>
    <customShpInfo spid="_x0000_s4120"/>
    <customShpInfo spid="_x0000_s4121"/>
    <customShpInfo spid="_x0000_s4122"/>
    <customShpInfo spid="_x0000_s4123"/>
    <customShpInfo spid="_x0000_s4124"/>
    <customShpInfo spid="_x0000_s4125"/>
    <customShpInfo spid="_x0000_s4126"/>
    <customShpInfo spid="_x0000_s4127"/>
    <customShpInfo spid="_x0000_s4128"/>
    <customShpInfo spid="_x0000_s4129"/>
    <customShpInfo spid="_x0000_s4130"/>
    <customShpInfo spid="_x0000_s4131"/>
    <customShpInfo spid="_x0000_s4132"/>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52CEA2E21F7243B597A65D7A24BDB2EE_13</vt:lpwstr>
  </property>
  <property fmtid="{D5CDD505-2E9C-101B-9397-08002B2CF9AE}" pid="4" name="KSOTemplateDocerSaveRecord">
    <vt:lpwstr>eyJoZGlkIjoiOTE4ZWM4OWRjNGFiYmM5MTZiZWIwOTc2OGRkNWE4OTAiLCJ1c2VySWQiOiIzODQxNDI0NzYifQ==</vt:lpwstr>
  </property>
</Properties>
</file>

<file path=customXml/item3.xml><?xml version="1.0" encoding="utf-8"?>
<Properties xmlns="http://schemas.openxmlformats.org/officeDocument/2006/extended-properties" xmlns:vt="http://schemas.openxmlformats.org/officeDocument/2006/docPropsVTypes">
  <Template>Normal.dotm</Template>
  <Pages>14</Pages>
  <Words>9267</Words>
  <Characters>11011</Characters>
  <Lines>66</Lines>
  <Paragraphs>18</Paragraphs>
  <TotalTime>33</TotalTime>
  <ScaleCrop>false</ScaleCrop>
  <LinksUpToDate>false</LinksUpToDate>
  <CharactersWithSpaces>11150</CharactersWithSpaces>
  <Application>WPS Office_11.8.2.11716_F1E327BC-269C-435d-A152-05C5408002CA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2017-07-26T17:38:00Z</dcterms:created>
  <dc:creator>余小晴</dc:creator>
  <cp:lastModifiedBy>马慧灵</cp:lastModifiedBy>
  <dcterms:modified xsi:type="dcterms:W3CDTF">2025-08-21T07:30:07Z</dcterms:modified>
  <cp:revision>2</cp:revision>
</cp:coreProperties>
</file>

<file path=customXml/item5.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080FF26A02F74EA7BCAF95154245FB21</vt:lpwstr>
  </property>
</Properties>
</file>

<file path=customXml/item6.xml><?xml version="1.0" encoding="utf-8"?>
<Properties xmlns="http://schemas.openxmlformats.org/officeDocument/2006/extended-properties" xmlns:vt="http://schemas.openxmlformats.org/officeDocument/2006/docPropsVTypes">
  <Template>Normal.dotm</Template>
  <Pages>14</Pages>
  <Words>9267</Words>
  <Characters>11011</Characters>
  <Lines>66</Lines>
  <Paragraphs>18</Paragraphs>
  <TotalTime>35</TotalTime>
  <ScaleCrop>false</ScaleCrop>
  <LinksUpToDate>false</LinksUpToDate>
  <CharactersWithSpaces>11150</CharactersWithSpaces>
  <Application>WPS Office_11.8.2.12309_F1E327BC-269C-435d-A152-05C5408002CA</Application>
  <DocSecurity>0</DocSecurity>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2017-07-26T17:38:00Z</dcterms:created>
  <dc:creator>余小晴</dc:creator>
  <cp:lastModifiedBy>赵丕坚</cp:lastModifiedBy>
  <dcterms:modified xsi:type="dcterms:W3CDTF">2025-09-02T00:27:58Z</dcterms:modified>
  <cp:revision>2</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d2d93f-03f2-4831-92dd-0cef40d12c30}">
  <ds:schemaRefs/>
</ds:datastoreItem>
</file>

<file path=customXml/itemProps3.xml><?xml version="1.0" encoding="utf-8"?>
<ds:datastoreItem xmlns:ds="http://schemas.openxmlformats.org/officeDocument/2006/customXml" ds:itemID="{8f90f3e5-f8d1-42d1-9397-41a6b31191e5}">
  <ds:schemaRefs/>
</ds:datastoreItem>
</file>

<file path=customXml/itemProps4.xml><?xml version="1.0" encoding="utf-8"?>
<ds:datastoreItem xmlns:ds="http://schemas.openxmlformats.org/officeDocument/2006/customXml" ds:itemID="{ed9e8290-dade-4ae6-bff3-b121d8233b89}">
  <ds:schemaRefs/>
</ds:datastoreItem>
</file>

<file path=customXml/itemProps5.xml><?xml version="1.0" encoding="utf-8"?>
<ds:datastoreItem xmlns:ds="http://schemas.openxmlformats.org/officeDocument/2006/customXml" ds:itemID="{1cafc2d8-8f5d-4a3f-8e1b-d25ccfb0a003}">
  <ds:schemaRefs/>
</ds:datastoreItem>
</file>

<file path=customXml/itemProps6.xml><?xml version="1.0" encoding="utf-8"?>
<ds:datastoreItem xmlns:ds="http://schemas.openxmlformats.org/officeDocument/2006/customXml" ds:itemID="{146d9699-caa8-4195-96aa-054787cb01ee}">
  <ds:schemaRefs/>
</ds:datastoreItem>
</file>

<file path=customXml/itemProps7.xml><?xml version="1.0" encoding="utf-8"?>
<ds:datastoreItem xmlns:ds="http://schemas.openxmlformats.org/officeDocument/2006/customXml" ds:itemID="{1231f6a0-32a7-4c2b-a784-bc31969abb9b}">
  <ds:schemaRefs/>
</ds:datastoreItem>
</file>

<file path=docProps/app.xml><?xml version="1.0" encoding="utf-8"?>
<Properties xmlns="http://schemas.openxmlformats.org/officeDocument/2006/extended-properties" xmlns:vt="http://schemas.openxmlformats.org/officeDocument/2006/docPropsVTypes">
  <Template>Normal.dotm</Template>
  <Pages>13</Pages>
  <Words>9267</Words>
  <Characters>11011</Characters>
  <Lines>66</Lines>
  <Paragraphs>18</Paragraphs>
  <TotalTime>52</TotalTime>
  <ScaleCrop>false</ScaleCrop>
  <LinksUpToDate>false</LinksUpToDate>
  <CharactersWithSpaces>11150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2017-07-26T17:38:00Z</dcterms:created>
  <dc:creator>余小晴</dc:creator>
  <cp:lastModifiedBy>覃潇</cp:lastModifiedBy>
  <dcterms:modified xsi:type="dcterms:W3CDTF">2025-11-07T02:53:37Z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29BFC9A654F243388334AFFB4D2DEBA3</vt:lpwstr>
  </property>
</Properties>
</file>