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36F95D">
      <w:pPr>
        <w:jc w:val="center"/>
        <w:rPr>
          <w:rFonts w:ascii="宋体" w:hAnsi="宋体" w:cs="宋体"/>
          <w:sz w:val="44"/>
        </w:rPr>
      </w:pPr>
      <w:bookmarkStart w:id="0" w:name="_Toc98920284"/>
    </w:p>
    <w:p w14:paraId="3F055455">
      <w:pPr>
        <w:jc w:val="center"/>
        <w:rPr>
          <w:rFonts w:hint="eastAsia" w:ascii="宋体" w:hAnsi="宋体" w:cs="宋体"/>
          <w:b/>
          <w:sz w:val="52"/>
          <w:szCs w:val="52"/>
        </w:rPr>
      </w:pPr>
      <w:r>
        <w:rPr>
          <w:rFonts w:hint="eastAsia" w:ascii="宋体" w:hAnsi="宋体" w:cs="宋体"/>
          <w:b/>
          <w:sz w:val="52"/>
          <w:szCs w:val="52"/>
        </w:rPr>
        <w:t>绝缘油介损仪自动进油排油改进装置</w:t>
      </w:r>
    </w:p>
    <w:p w14:paraId="2BA28FAD">
      <w:pPr>
        <w:jc w:val="center"/>
        <w:rPr>
          <w:rFonts w:ascii="宋体" w:hAnsi="宋体" w:cs="宋体"/>
          <w:b/>
          <w:sz w:val="52"/>
          <w:szCs w:val="52"/>
        </w:rPr>
      </w:pPr>
      <w:r>
        <w:rPr>
          <w:rFonts w:hint="eastAsia" w:ascii="宋体" w:hAnsi="宋体" w:cs="宋体"/>
          <w:b/>
          <w:sz w:val="52"/>
          <w:szCs w:val="52"/>
        </w:rPr>
        <w:t>加工服务技术规范书</w:t>
      </w:r>
    </w:p>
    <w:p w14:paraId="0916FA28">
      <w:pPr>
        <w:rPr>
          <w:rFonts w:ascii="宋体" w:hAnsi="宋体" w:cs="宋体"/>
          <w:sz w:val="28"/>
        </w:rPr>
      </w:pPr>
    </w:p>
    <w:p w14:paraId="5F88934B">
      <w:pPr>
        <w:jc w:val="center"/>
        <w:rPr>
          <w:rFonts w:ascii="宋体" w:hAnsi="宋体" w:cs="宋体"/>
          <w:sz w:val="28"/>
        </w:rPr>
      </w:pPr>
      <w:r>
        <w:rPr>
          <w:rFonts w:hint="eastAsia" w:ascii="宋体" w:hAnsi="宋体" w:cs="宋体"/>
          <w:sz w:val="28"/>
        </w:rPr>
        <w:t xml:space="preserve">  </w:t>
      </w:r>
    </w:p>
    <w:p w14:paraId="711B8CC9">
      <w:pPr>
        <w:ind w:firstLine="560" w:firstLineChars="200"/>
        <w:rPr>
          <w:rFonts w:ascii="宋体" w:hAnsi="宋体" w:cs="宋体"/>
          <w:sz w:val="28"/>
        </w:rPr>
      </w:pPr>
    </w:p>
    <w:p w14:paraId="663C2C51">
      <w:pPr>
        <w:ind w:firstLine="560" w:firstLineChars="200"/>
        <w:rPr>
          <w:rFonts w:ascii="宋体" w:hAnsi="宋体" w:cs="宋体"/>
          <w:sz w:val="28"/>
        </w:rPr>
      </w:pPr>
    </w:p>
    <w:p w14:paraId="7F50EE66">
      <w:pPr>
        <w:ind w:firstLine="560" w:firstLineChars="200"/>
        <w:rPr>
          <w:rFonts w:ascii="宋体" w:hAnsi="宋体" w:cs="宋体"/>
          <w:sz w:val="28"/>
        </w:rPr>
      </w:pPr>
    </w:p>
    <w:p w14:paraId="03BE0522">
      <w:pPr>
        <w:pStyle w:val="2"/>
        <w:rPr>
          <w:rFonts w:ascii="宋体" w:hAnsi="宋体" w:cs="宋体"/>
          <w:sz w:val="28"/>
        </w:rPr>
      </w:pPr>
    </w:p>
    <w:p w14:paraId="7EFE7210">
      <w:pPr>
        <w:pStyle w:val="3"/>
      </w:pPr>
    </w:p>
    <w:p w14:paraId="4878375F">
      <w:pPr>
        <w:ind w:firstLine="560" w:firstLineChars="200"/>
        <w:rPr>
          <w:rFonts w:ascii="宋体" w:hAnsi="宋体" w:cs="宋体"/>
          <w:sz w:val="28"/>
        </w:rPr>
      </w:pPr>
    </w:p>
    <w:p w14:paraId="448C64F5"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广西电网有限责任公司</w:t>
      </w:r>
    </w:p>
    <w:p w14:paraId="3F7F0EFE"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柳州供电局</w:t>
      </w:r>
    </w:p>
    <w:p w14:paraId="4AC42996"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202</w:t>
      </w:r>
      <w:r>
        <w:rPr>
          <w:rFonts w:hint="eastAsia" w:ascii="宋体" w:hAnsi="宋体" w:cs="宋体"/>
          <w:sz w:val="44"/>
          <w:szCs w:val="44"/>
          <w:lang w:val="en-US" w:eastAsia="zh-CN"/>
        </w:rPr>
        <w:t>5</w:t>
      </w:r>
      <w:r>
        <w:rPr>
          <w:rFonts w:hint="eastAsia" w:ascii="宋体" w:hAnsi="宋体" w:cs="宋体"/>
          <w:sz w:val="44"/>
          <w:szCs w:val="44"/>
        </w:rPr>
        <w:t>年</w:t>
      </w:r>
      <w:r>
        <w:rPr>
          <w:rFonts w:hint="eastAsia" w:ascii="宋体" w:hAnsi="宋体" w:cs="宋体"/>
          <w:sz w:val="44"/>
          <w:szCs w:val="44"/>
          <w:lang w:val="en-US" w:eastAsia="zh-CN"/>
        </w:rPr>
        <w:t>8</w:t>
      </w:r>
      <w:r>
        <w:rPr>
          <w:rFonts w:hint="eastAsia" w:ascii="宋体" w:hAnsi="宋体" w:cs="宋体"/>
          <w:sz w:val="44"/>
          <w:szCs w:val="44"/>
        </w:rPr>
        <w:t>月</w:t>
      </w:r>
    </w:p>
    <w:p w14:paraId="0CEF7FDD">
      <w:pPr>
        <w:pStyle w:val="5"/>
        <w:numPr>
          <w:ilvl w:val="0"/>
          <w:numId w:val="1"/>
        </w:numPr>
        <w:rPr>
          <w:rFonts w:hint="eastAsia" w:ascii="宋体" w:hAnsi="宋体" w:eastAsia="宋体" w:cs="宋体"/>
        </w:rPr>
      </w:pPr>
      <w:bookmarkStart w:id="1" w:name="_Toc28526"/>
      <w:bookmarkStart w:id="2" w:name="_Toc444945508"/>
      <w:bookmarkStart w:id="3" w:name="_Toc318799924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服务范围</w:t>
      </w:r>
      <w:bookmarkEnd w:id="1"/>
      <w:bookmarkEnd w:id="2"/>
      <w:bookmarkEnd w:id="3"/>
    </w:p>
    <w:p w14:paraId="6E5C61AB">
      <w:pPr>
        <w:numPr>
          <w:ilvl w:val="0"/>
          <w:numId w:val="0"/>
        </w:numPr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本技术条款主要描述</w:t>
      </w:r>
      <w:r>
        <w:rPr>
          <w:rFonts w:hint="eastAsia" w:ascii="宋体" w:hAnsi="宋体"/>
          <w:u w:val="single"/>
        </w:rPr>
        <w:t>广西电网有限</w:t>
      </w:r>
      <w:r>
        <w:rPr>
          <w:rFonts w:hint="eastAsia" w:ascii="宋体" w:hAnsi="宋体"/>
          <w:u w:val="single"/>
          <w:lang w:eastAsia="zh-CN"/>
        </w:rPr>
        <w:t>责任</w:t>
      </w:r>
      <w:r>
        <w:rPr>
          <w:rFonts w:hint="eastAsia" w:ascii="宋体" w:hAnsi="宋体"/>
          <w:u w:val="single"/>
        </w:rPr>
        <w:t>公司柳州供电局绝缘油介损仪自动进油排油改进装置加工服务项目</w:t>
      </w:r>
      <w:r>
        <w:rPr>
          <w:rFonts w:hint="eastAsia" w:ascii="宋体" w:hAnsi="宋体"/>
        </w:rPr>
        <w:t>有关事项。</w:t>
      </w:r>
    </w:p>
    <w:p w14:paraId="46845C56">
      <w:pPr>
        <w:pStyle w:val="5"/>
        <w:numPr>
          <w:ilvl w:val="0"/>
          <w:numId w:val="1"/>
        </w:numPr>
        <w:rPr>
          <w:rFonts w:hint="eastAsia" w:ascii="Times New Roman" w:hAnsi="Times New Roman"/>
          <w:color w:val="000000"/>
          <w:sz w:val="28"/>
          <w:szCs w:val="28"/>
          <w:lang w:eastAsia="zh-CN"/>
        </w:rPr>
      </w:pPr>
      <w:bookmarkStart w:id="4" w:name="_Toc444945516"/>
      <w:bookmarkStart w:id="5" w:name="_Toc22626"/>
      <w:bookmarkStart w:id="6" w:name="_Toc205543260"/>
      <w:bookmarkStart w:id="7" w:name="_Toc480800900"/>
      <w:bookmarkStart w:id="8" w:name="_Toc23830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服务要求</w:t>
      </w:r>
      <w:bookmarkEnd w:id="4"/>
      <w:bookmarkEnd w:id="5"/>
    </w:p>
    <w:p w14:paraId="71E0D96C"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bookmarkStart w:id="9" w:name="_Toc19695"/>
      <w:r>
        <w:rPr>
          <w:rFonts w:hint="eastAsia" w:ascii="宋体" w:hAnsi="宋体"/>
          <w:lang w:val="en-US" w:eastAsia="zh-CN"/>
        </w:rPr>
        <w:t>按照绝缘油介损仪自动进油排油改进装置技术指标的要求，加工进油、排油的不锈钢管路，管路的接口要求方便连接；</w:t>
      </w:r>
    </w:p>
    <w:p w14:paraId="0A44FEDD"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按照绝缘油介损仪自动进油排油改进装置技术指标的要求，加工进油泵、排油泵的安装座和管路接头，要求进油泵、排油泵方便拆卸；</w:t>
      </w:r>
    </w:p>
    <w:p w14:paraId="2DEDFBC4"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 w:cs="Times New Roman"/>
          <w:lang w:val="en-US" w:eastAsia="zh-CN"/>
        </w:rPr>
      </w:pPr>
      <w:r>
        <w:rPr>
          <w:rFonts w:hint="eastAsia" w:ascii="宋体" w:hAnsi="宋体" w:cs="Times New Roman"/>
          <w:lang w:val="en-US" w:eastAsia="zh-CN"/>
        </w:rPr>
        <w:t>按照绝缘油介损仪自动进油排油改进装置技术指标的要求，加工管路的三通阀，要求三通阀的接口方便连接；</w:t>
      </w:r>
    </w:p>
    <w:p w14:paraId="17F4BC99"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 w:cs="Times New Roman"/>
          <w:lang w:val="en-US" w:eastAsia="zh-CN"/>
        </w:rPr>
      </w:pPr>
      <w:r>
        <w:rPr>
          <w:rFonts w:hint="eastAsia" w:ascii="宋体" w:hAnsi="宋体" w:cs="Times New Roman"/>
          <w:lang w:val="en-US" w:eastAsia="zh-CN"/>
        </w:rPr>
        <w:t>按照绝缘油介损仪自动进油排油改进装置技术指标的要求，加工装置机箱和其他功能部件；</w:t>
      </w:r>
    </w:p>
    <w:p w14:paraId="64FE9745"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 w:cs="Times New Roman"/>
          <w:lang w:val="en-US" w:eastAsia="zh-CN"/>
        </w:rPr>
      </w:pPr>
      <w:r>
        <w:rPr>
          <w:rFonts w:hint="eastAsia" w:ascii="宋体" w:hAnsi="宋体" w:cs="Times New Roman"/>
          <w:lang w:val="en-US" w:eastAsia="zh-CN"/>
        </w:rPr>
        <w:t>按照绝缘油介损仪自动进油排油改进装置技术指标的要求，对样机进行整体组装；</w:t>
      </w:r>
    </w:p>
    <w:p w14:paraId="7C8965A2"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按照相关标准对加工的样机进行检测；</w:t>
      </w:r>
    </w:p>
    <w:p w14:paraId="566A6FC7"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样机的安装试运行。</w:t>
      </w:r>
    </w:p>
    <w:p w14:paraId="0EA73F6F">
      <w:pPr>
        <w:pStyle w:val="5"/>
        <w:numPr>
          <w:ilvl w:val="0"/>
          <w:numId w:val="1"/>
        </w:numPr>
        <w:ind w:left="0" w:leftChars="0" w:firstLine="420" w:firstLineChars="0"/>
        <w:rPr>
          <w:rFonts w:hint="eastAsia"/>
        </w:rPr>
      </w:pPr>
      <w:r>
        <w:rPr>
          <w:rFonts w:hint="eastAsia"/>
          <w:lang w:val="en-US" w:eastAsia="zh-CN"/>
        </w:rPr>
        <w:t>技术指标要求</w:t>
      </w:r>
    </w:p>
    <w:p w14:paraId="540C01E7">
      <w:pPr>
        <w:keepNext w:val="0"/>
        <w:keepLines w:val="0"/>
        <w:widowControl/>
        <w:suppressLineNumbers w:val="0"/>
        <w:ind w:firstLine="480"/>
        <w:jc w:val="left"/>
        <w:textAlignment w:val="center"/>
        <w:rPr>
          <w:rFonts w:hint="eastAsia" w:hAnsi="宋体" w:cs="Times New Roman"/>
          <w:sz w:val="24"/>
          <w:szCs w:val="24"/>
          <w:lang w:val="en-US" w:eastAsia="zh-CN"/>
        </w:rPr>
      </w:pPr>
      <w:r>
        <w:rPr>
          <w:rFonts w:hint="eastAsia" w:hAnsi="宋体" w:cs="Times New Roman"/>
          <w:sz w:val="24"/>
          <w:szCs w:val="24"/>
          <w:lang w:val="en-US" w:eastAsia="zh-CN"/>
        </w:rPr>
        <w:t>在2023年的职创项目《绝缘油介损仪自动进油排油装置》的基础上，对装置的密封性、耐久性、易用性等性能进行整体升级，要求装置方便与介损仪配合使用，实现装置准确、定量、无气泡地进油及无残留排油，实现进样迅速、定量准确。装置各管路为不锈钢管，进油泵、排油泵为可拆卸泵，三通阀替换三通管，确保装置不会出现因油管泡发、泵中的胶管变形、三通管进气泡导致装置漏气等问题。</w:t>
      </w:r>
    </w:p>
    <w:p w14:paraId="5C478446">
      <w:pPr>
        <w:pStyle w:val="2"/>
        <w:rPr>
          <w:rFonts w:hint="eastAsia"/>
          <w:lang w:val="en-US" w:eastAsia="zh-CN"/>
        </w:rPr>
      </w:pPr>
    </w:p>
    <w:p w14:paraId="3FCE775A">
      <w:pPr>
        <w:spacing w:line="360" w:lineRule="auto"/>
        <w:ind w:firstLine="480" w:firstLineChars="200"/>
        <w:rPr>
          <w:rFonts w:hint="eastAsia" w:ascii="Times New Roman" w:hAnsi="Times New Roman" w:cs="Times New Roman"/>
          <w:color w:val="000000"/>
          <w:sz w:val="24"/>
          <w:szCs w:val="21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sz w:val="24"/>
          <w:szCs w:val="21"/>
          <w:lang w:val="en-US" w:eastAsia="zh-CN"/>
        </w:rPr>
        <w:t>绝缘油介损仪自动进油排油改进装置结构图如下所示：</w:t>
      </w:r>
    </w:p>
    <w:p w14:paraId="63E9FF5B">
      <w:pPr>
        <w:pStyle w:val="2"/>
        <w:jc w:val="center"/>
        <w:rPr>
          <w:rFonts w:ascii="Times New Roman" w:hAnsi="Times New Roman"/>
          <w:sz w:val="28"/>
          <w:szCs w:val="28"/>
        </w:rPr>
      </w:pPr>
      <w:r>
        <w:rPr>
          <w:rFonts w:hint="eastAsia"/>
          <w:sz w:val="28"/>
          <w:szCs w:val="36"/>
          <w:lang w:val="en-US" w:eastAsia="zh-CN"/>
        </w:rPr>
        <w:drawing>
          <wp:inline distT="0" distB="0" distL="114300" distR="114300">
            <wp:extent cx="3768725" cy="1749425"/>
            <wp:effectExtent l="0" t="0" r="3175" b="3175"/>
            <wp:docPr id="2" name="图片 1" descr="控制方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控制方式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68725" cy="174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3DF34">
      <w:pPr>
        <w:rPr>
          <w:rFonts w:hint="eastAsia"/>
        </w:rPr>
      </w:pPr>
    </w:p>
    <w:bookmarkEnd w:id="0"/>
    <w:bookmarkEnd w:id="6"/>
    <w:bookmarkEnd w:id="7"/>
    <w:bookmarkEnd w:id="8"/>
    <w:bookmarkEnd w:id="9"/>
    <w:tbl>
      <w:tblPr>
        <w:tblStyle w:val="8"/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0"/>
        <w:gridCol w:w="7371"/>
      </w:tblGrid>
      <w:tr w14:paraId="6F879E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2599D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名称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D1C5930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技术参数</w:t>
            </w:r>
          </w:p>
        </w:tc>
      </w:tr>
      <w:tr w14:paraId="4899A4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E615E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工作电压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FEB567E">
            <w:pPr>
              <w:numPr>
                <w:ilvl w:val="0"/>
                <w:numId w:val="0"/>
              </w:numPr>
              <w:bidi w:val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 w:hAnsi="Times New Roman" w:cs="Times New Roman"/>
                <w:lang w:val="en-US" w:eastAsia="zh-CN"/>
              </w:rPr>
              <w:t>交流220V</w:t>
            </w:r>
          </w:p>
        </w:tc>
      </w:tr>
      <w:tr w14:paraId="5B2078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CF55E"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绝缘性能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4C84F"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eastAsia" w:hAnsi="Times New Roman" w:cs="Times New Roman"/>
                <w:lang w:val="en-US" w:eastAsia="zh-CN"/>
              </w:rPr>
              <w:t>外机箱金属部分接地确保不漏电</w:t>
            </w:r>
          </w:p>
        </w:tc>
      </w:tr>
      <w:tr w14:paraId="16BE3E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21206"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耐温性能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5BA61"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在</w:t>
            </w:r>
            <w:r>
              <w:rPr>
                <w:rFonts w:hint="eastAsia" w:hAnsi="Times New Roman" w:cs="Times New Roman"/>
                <w:lang w:val="en-US" w:eastAsia="zh-CN"/>
              </w:rPr>
              <w:t>正常环境</w:t>
            </w:r>
            <w:r>
              <w:rPr>
                <w:rFonts w:hint="default" w:hAnsi="Times New Roman" w:eastAsia="宋体" w:cs="Times New Roman"/>
                <w:lang w:val="en-US" w:eastAsia="zh-CN"/>
              </w:rPr>
              <w:t>温度下（</w:t>
            </w:r>
            <w:r>
              <w:rPr>
                <w:rFonts w:hint="eastAsia" w:hAnsi="Times New Roman" w:cs="Times New Roman"/>
                <w:lang w:val="en-US" w:eastAsia="zh-CN"/>
              </w:rPr>
              <w:t>0</w:t>
            </w:r>
            <w:r>
              <w:rPr>
                <w:rFonts w:hint="default" w:hAnsi="Times New Roman" w:eastAsia="宋体" w:cs="Times New Roman"/>
                <w:lang w:val="en-US" w:eastAsia="zh-CN"/>
              </w:rPr>
              <w:t>℃至+</w:t>
            </w:r>
            <w:r>
              <w:rPr>
                <w:rFonts w:hint="eastAsia" w:hAnsi="Times New Roman" w:cs="Times New Roman"/>
                <w:lang w:val="en-US" w:eastAsia="zh-CN"/>
              </w:rPr>
              <w:t>4</w:t>
            </w:r>
            <w:r>
              <w:rPr>
                <w:rFonts w:hint="default" w:hAnsi="Times New Roman" w:eastAsia="宋体" w:cs="Times New Roman"/>
                <w:lang w:val="en-US" w:eastAsia="zh-CN"/>
              </w:rPr>
              <w:t>5℃）能保持正常工作，适应各种环境条件</w:t>
            </w:r>
            <w:bookmarkStart w:id="10" w:name="_GoBack"/>
            <w:bookmarkEnd w:id="10"/>
          </w:p>
        </w:tc>
      </w:tr>
      <w:tr w14:paraId="4582F1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CBDD6"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eastAsia" w:hAnsi="Times New Roman" w:eastAsia="宋体" w:cs="Times New Roman"/>
                <w:lang w:val="en-US" w:eastAsia="zh-CN"/>
              </w:rPr>
              <w:t>机械性能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B5E44"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管路为不锈钢管，进油泵、排油泵为可拆卸泵，不能使用三通管，可使用三通阀</w:t>
            </w:r>
            <w:r>
              <w:rPr>
                <w:rFonts w:hint="eastAsia" w:hAnsi="Times New Roman" w:cs="Times New Roman"/>
                <w:lang w:val="en-US" w:eastAsia="zh-CN"/>
              </w:rPr>
              <w:t>，接头方便连接和拆卸</w:t>
            </w:r>
          </w:p>
        </w:tc>
      </w:tr>
      <w:tr w14:paraId="29EB9E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5BCE95"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重量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AA2DA"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eastAsia" w:hAnsi="Times New Roman" w:eastAsia="宋体" w:cs="Times New Roman"/>
                <w:lang w:val="en-US" w:eastAsia="zh-CN"/>
              </w:rPr>
              <w:t>整体重量小于</w:t>
            </w:r>
            <w:r>
              <w:rPr>
                <w:rFonts w:hint="eastAsia" w:hAnsi="Times New Roman" w:cs="Times New Roman"/>
                <w:lang w:val="en-US" w:eastAsia="zh-CN"/>
              </w:rPr>
              <w:t>5</w:t>
            </w:r>
            <w:r>
              <w:rPr>
                <w:rFonts w:hint="eastAsia" w:hAnsi="Times New Roman" w:eastAsia="宋体" w:cs="Times New Roman"/>
                <w:lang w:val="en-US" w:eastAsia="zh-CN"/>
              </w:rPr>
              <w:t>kg，</w:t>
            </w:r>
            <w:r>
              <w:rPr>
                <w:rFonts w:hint="default" w:hAnsi="Times New Roman" w:eastAsia="宋体" w:cs="Times New Roman"/>
                <w:lang w:val="en-US" w:eastAsia="zh-CN"/>
              </w:rPr>
              <w:t>轻量设计，确保操作人员长时间作业不易疲劳</w:t>
            </w:r>
          </w:p>
        </w:tc>
      </w:tr>
      <w:tr w14:paraId="525133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01F8AFC"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使用寿命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C8C1F85"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耐用性高，经久耐用，可重复使用，减少更换频率和维护成本</w:t>
            </w:r>
          </w:p>
        </w:tc>
      </w:tr>
    </w:tbl>
    <w:p w14:paraId="72D5DF0E">
      <w:pPr>
        <w:numPr>
          <w:ilvl w:val="0"/>
          <w:numId w:val="1"/>
        </w:numPr>
        <w:spacing w:before="0" w:beforeAutospacing="0" w:after="0" w:afterAutospacing="0" w:line="540" w:lineRule="exact"/>
        <w:ind w:left="0" w:leftChars="0" w:firstLine="420" w:firstLineChars="0"/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  <w:t>其他要求：</w:t>
      </w:r>
    </w:p>
    <w:p w14:paraId="2ADFC4BF">
      <w:pPr>
        <w:numPr>
          <w:ilvl w:val="0"/>
          <w:numId w:val="3"/>
        </w:numPr>
        <w:spacing w:before="0" w:beforeAutospacing="0" w:after="0" w:afterAutospacing="0" w:line="540" w:lineRule="exact"/>
        <w:ind w:left="420" w:leftChars="0" w:firstLine="540" w:firstLineChars="22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服</w:t>
      </w:r>
      <w:r>
        <w:rPr>
          <w:rFonts w:hint="eastAsia" w:ascii="宋体" w:hAnsi="宋体" w:eastAsia="宋体" w:cs="宋体"/>
          <w:sz w:val="24"/>
          <w:szCs w:val="24"/>
        </w:rPr>
        <w:t>务单位应明确项目负责人及其联系方式，并告知采购方项目负责人。</w:t>
      </w:r>
    </w:p>
    <w:p w14:paraId="54B655A6">
      <w:pPr>
        <w:numPr>
          <w:ilvl w:val="0"/>
          <w:numId w:val="3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服务单位应在规定时间内完成本协议的工作内容，并符合国家相关规范和建设单位的使用要求。</w:t>
      </w:r>
    </w:p>
    <w:p w14:paraId="082FE703">
      <w:pPr>
        <w:numPr>
          <w:ilvl w:val="0"/>
          <w:numId w:val="3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本项目的结算方式为“总价包干”。</w:t>
      </w:r>
    </w:p>
    <w:p w14:paraId="35F8497D"/>
    <w:sectPr>
      <w:footerReference r:id="rId5" w:type="default"/>
      <w:pgSz w:w="11906" w:h="16838"/>
      <w:pgMar w:top="1474" w:right="1134" w:bottom="1134" w:left="1418" w:header="1134" w:footer="1077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Book Antiqua">
    <w:altName w:val="Segoe Print"/>
    <w:panose1 w:val="02040602050305030304"/>
    <w:charset w:val="00"/>
    <w:family w:val="roman"/>
    <w:pitch w:val="default"/>
    <w:sig w:usb0="00000000" w:usb1="00000000" w:usb2="00000000" w:usb3="00000000" w:csb0="2000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041DC1">
    <w:pPr>
      <w:pStyle w:val="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86248A"/>
    <w:multiLevelType w:val="singleLevel"/>
    <w:tmpl w:val="9886248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9732EDA"/>
    <w:multiLevelType w:val="singleLevel"/>
    <w:tmpl w:val="E9732ED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FB656EE4"/>
    <w:multiLevelType w:val="singleLevel"/>
    <w:tmpl w:val="FB656EE4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MyNGQ4Yzg2NjQ1MDZjMWM2OTc5ZjgxYmUxNzRhZTAifQ=="/>
  </w:docVars>
  <w:rsids>
    <w:rsidRoot w:val="2F43059D"/>
    <w:rsid w:val="00565F6E"/>
    <w:rsid w:val="00610E1A"/>
    <w:rsid w:val="00E128BA"/>
    <w:rsid w:val="00F35C9C"/>
    <w:rsid w:val="04D44E36"/>
    <w:rsid w:val="0C533633"/>
    <w:rsid w:val="16517489"/>
    <w:rsid w:val="18CB2F7E"/>
    <w:rsid w:val="19741C88"/>
    <w:rsid w:val="1B29692D"/>
    <w:rsid w:val="20A73C6F"/>
    <w:rsid w:val="256A1315"/>
    <w:rsid w:val="258E70E1"/>
    <w:rsid w:val="25D235CE"/>
    <w:rsid w:val="266C043F"/>
    <w:rsid w:val="2F43059D"/>
    <w:rsid w:val="2FC46EA0"/>
    <w:rsid w:val="32067DEF"/>
    <w:rsid w:val="32481C53"/>
    <w:rsid w:val="33F87C9A"/>
    <w:rsid w:val="38ED3A6E"/>
    <w:rsid w:val="3A2B35BD"/>
    <w:rsid w:val="3E12767D"/>
    <w:rsid w:val="3F744629"/>
    <w:rsid w:val="41A8543F"/>
    <w:rsid w:val="4BB1398F"/>
    <w:rsid w:val="4D813E5E"/>
    <w:rsid w:val="59152109"/>
    <w:rsid w:val="598D6DCE"/>
    <w:rsid w:val="5FF34000"/>
    <w:rsid w:val="65AA798C"/>
    <w:rsid w:val="6A2B5103"/>
    <w:rsid w:val="6D626C75"/>
    <w:rsid w:val="6F904BDE"/>
    <w:rsid w:val="70396ED2"/>
    <w:rsid w:val="72CD57BE"/>
    <w:rsid w:val="734C52BE"/>
    <w:rsid w:val="747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99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before="100" w:beforeAutospacing="1" w:after="100" w:afterAutospacing="1" w:line="360" w:lineRule="auto"/>
    </w:pPr>
    <w:rPr>
      <w:rFonts w:ascii="Book Antiqua" w:hAnsi="Book Antiqua" w:eastAsia="宋体" w:cs="Times New Roman"/>
      <w:sz w:val="24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99"/>
    <w:pPr>
      <w:keepNext/>
      <w:keepLines/>
      <w:tabs>
        <w:tab w:val="left" w:pos="0"/>
      </w:tabs>
      <w:outlineLvl w:val="1"/>
    </w:pPr>
    <w:rPr>
      <w:rFonts w:ascii="宋体" w:hAnsi="宋体" w:cs="宋体"/>
      <w:b/>
      <w:bCs/>
      <w:sz w:val="28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Autospacing="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Document Map"/>
    <w:basedOn w:val="1"/>
    <w:next w:val="1"/>
    <w:semiHidden/>
    <w:qFormat/>
    <w:uiPriority w:val="99"/>
    <w:rPr>
      <w:rFonts w:ascii="宋体"/>
      <w:sz w:val="18"/>
      <w:szCs w:val="18"/>
    </w:rPr>
  </w:style>
  <w:style w:type="paragraph" w:styleId="7">
    <w:name w:val="footer"/>
    <w:basedOn w:val="1"/>
    <w:unhideWhenUsed/>
    <w:qFormat/>
    <w:uiPriority w:val="0"/>
    <w:pPr>
      <w:tabs>
        <w:tab w:val="center" w:pos="4320"/>
        <w:tab w:val="right" w:pos="8640"/>
      </w:tabs>
      <w:spacing w:before="0" w:after="0" w:line="240" w:lineRule="auto"/>
    </w:pPr>
  </w:style>
  <w:style w:type="paragraph" w:customStyle="1" w:styleId="10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584</Words>
  <Characters>623</Characters>
  <Lines>27</Lines>
  <Paragraphs>7</Paragraphs>
  <TotalTime>5</TotalTime>
  <ScaleCrop>false</ScaleCrop>
  <LinksUpToDate>false</LinksUpToDate>
  <CharactersWithSpaces>625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2023-05-31T09:29:00Z</dcterms:created>
  <dc:creator>左边口袋</dc:creator>
  <cp:lastModifiedBy>陈子飞</cp:lastModifiedBy>
  <dcterms:modified xsi:type="dcterms:W3CDTF">2025-10-29T03:06:47Z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0D9585C383444C8BBB1E58EA8F4F6DB8</vt:lpwstr>
  </property>
  <property fmtid="{D5CDD505-2E9C-101B-9397-08002B2CF9AE}" pid="4" name="KSOTemplateDocerSaveRecord">
    <vt:lpwstr>eyJoZGlkIjoiMjNmOTBjOTVhMzIyYzdjNWEyYWI5OTAwYjVjMjk2ZjMiLCJ1c2VySWQiOiI0NTMxMTkxMzQifQ==</vt:lpwstr>
  </property>
</Properties>
</file>