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Times New Roman"/>
          <w:b/>
          <w:bCs/>
          <w:color w:val="FF0000"/>
          <w:sz w:val="48"/>
          <w:szCs w:val="48"/>
        </w:rPr>
      </w:pPr>
    </w:p>
    <w:p>
      <w:pPr>
        <w:jc w:val="center"/>
        <w:rPr>
          <w:rFonts w:cs="Times New Roman"/>
        </w:rPr>
      </w:pPr>
      <w:r>
        <w:rPr>
          <w:rFonts w:hint="eastAsia" w:ascii="宋体" w:hAnsi="宋体" w:eastAsia="宋体" w:cs="宋体"/>
          <w:b/>
          <w:sz w:val="52"/>
          <w:szCs w:val="52"/>
        </w:rPr>
        <w:t>应急发电机组启动电源优化及可靠性评估装置</w:t>
      </w:r>
      <w:r>
        <w:rPr>
          <w:rFonts w:hint="eastAsia" w:ascii="宋体" w:hAnsi="宋体" w:cs="宋体"/>
          <w:b/>
          <w:sz w:val="52"/>
          <w:szCs w:val="52"/>
        </w:rPr>
        <w:t>加工服务</w:t>
      </w:r>
      <w:r>
        <w:rPr>
          <w:rFonts w:hint="eastAsia" w:ascii="宋体" w:hAnsi="宋体" w:eastAsia="宋体" w:cs="宋体"/>
          <w:b/>
          <w:sz w:val="52"/>
          <w:szCs w:val="52"/>
        </w:rPr>
        <w:t>技术规范书</w:t>
      </w:r>
    </w:p>
    <w:p>
      <w:pPr>
        <w:rPr>
          <w:rFonts w:cs="Times New Roman"/>
        </w:rPr>
      </w:pPr>
    </w:p>
    <w:p>
      <w:pPr>
        <w:pStyle w:val="6"/>
        <w:rPr>
          <w:rFonts w:cs="Times New Roman"/>
        </w:rPr>
      </w:pPr>
    </w:p>
    <w:p>
      <w:pPr>
        <w:pStyle w:val="7"/>
        <w:rPr>
          <w:rFonts w:cs="Times New Roman"/>
        </w:rPr>
      </w:pPr>
    </w:p>
    <w:p>
      <w:pPr>
        <w:rPr>
          <w:rFonts w:cs="Times New Roman"/>
        </w:rPr>
      </w:pPr>
    </w:p>
    <w:p>
      <w:pPr>
        <w:pStyle w:val="6"/>
        <w:rPr>
          <w:rFonts w:cs="Times New Roman"/>
        </w:rPr>
      </w:pPr>
    </w:p>
    <w:p>
      <w:pPr>
        <w:pStyle w:val="7"/>
        <w:rPr>
          <w:rFonts w:cs="Times New Roman"/>
        </w:rPr>
      </w:pPr>
    </w:p>
    <w:p>
      <w:pPr>
        <w:rPr>
          <w:rFonts w:cs="Times New Roman"/>
        </w:rPr>
      </w:pPr>
    </w:p>
    <w:p>
      <w:pPr>
        <w:pStyle w:val="6"/>
        <w:rPr>
          <w:rFonts w:cs="Times New Roman"/>
        </w:rPr>
      </w:pPr>
    </w:p>
    <w:p>
      <w:pPr>
        <w:pStyle w:val="7"/>
        <w:rPr>
          <w:rFonts w:cs="Times New Roman"/>
        </w:rPr>
      </w:pPr>
    </w:p>
    <w:p>
      <w:pPr>
        <w:rPr>
          <w:rFonts w:cs="Times New Roman"/>
        </w:rPr>
      </w:pPr>
    </w:p>
    <w:p>
      <w:pPr>
        <w:pStyle w:val="6"/>
        <w:rPr>
          <w:rFonts w:cs="Times New Roman"/>
        </w:rPr>
      </w:pPr>
    </w:p>
    <w:p>
      <w:pPr>
        <w:pStyle w:val="7"/>
        <w:rPr>
          <w:rFonts w:cs="Times New Roman"/>
        </w:rPr>
      </w:pPr>
    </w:p>
    <w:p>
      <w:pPr>
        <w:rPr>
          <w:rFonts w:cs="Times New Roman"/>
        </w:rPr>
      </w:pPr>
    </w:p>
    <w:p>
      <w:pPr>
        <w:pStyle w:val="2"/>
        <w:rPr>
          <w:rFonts w:cs="Times New Roman"/>
        </w:rPr>
      </w:pPr>
    </w:p>
    <w:p>
      <w:pPr>
        <w:rPr>
          <w:rFonts w:cs="Times New Roman"/>
        </w:rPr>
      </w:pPr>
    </w:p>
    <w:p>
      <w:pPr>
        <w:pStyle w:val="2"/>
      </w:pPr>
    </w:p>
    <w:p>
      <w:pPr>
        <w:rPr>
          <w:rFonts w:cs="Times New Roman"/>
        </w:rPr>
      </w:pPr>
    </w:p>
    <w:p>
      <w:pPr>
        <w:jc w:val="center"/>
        <w:rPr>
          <w:rFonts w:ascii="宋体" w:hAnsi="宋体" w:cs="宋体"/>
          <w:sz w:val="44"/>
          <w:szCs w:val="44"/>
        </w:rPr>
      </w:pPr>
      <w:r>
        <w:rPr>
          <w:rFonts w:hint="eastAsia" w:ascii="宋体" w:hAnsi="宋体" w:cs="宋体"/>
          <w:sz w:val="44"/>
          <w:szCs w:val="44"/>
        </w:rPr>
        <w:t>广西电网有限责任公司</w:t>
      </w:r>
    </w:p>
    <w:p>
      <w:pPr>
        <w:jc w:val="center"/>
        <w:rPr>
          <w:rFonts w:ascii="宋体" w:hAnsi="宋体" w:cs="宋体"/>
          <w:sz w:val="44"/>
          <w:szCs w:val="44"/>
        </w:rPr>
      </w:pPr>
      <w:r>
        <w:rPr>
          <w:rFonts w:hint="eastAsia" w:ascii="宋体" w:hAnsi="宋体" w:cs="宋体"/>
          <w:sz w:val="44"/>
          <w:szCs w:val="44"/>
        </w:rPr>
        <w:t>柳州供电局</w:t>
      </w:r>
    </w:p>
    <w:p>
      <w:pPr>
        <w:jc w:val="center"/>
        <w:rPr>
          <w:rFonts w:ascii="宋体" w:hAnsi="宋体" w:cs="宋体"/>
          <w:sz w:val="44"/>
          <w:szCs w:val="44"/>
        </w:rPr>
      </w:pPr>
      <w:r>
        <w:rPr>
          <w:rFonts w:hint="eastAsia" w:ascii="宋体" w:hAnsi="宋体" w:cs="宋体"/>
          <w:sz w:val="44"/>
          <w:szCs w:val="44"/>
        </w:rPr>
        <w:t>202</w:t>
      </w:r>
      <w:r>
        <w:rPr>
          <w:rFonts w:hint="eastAsia" w:ascii="宋体" w:hAnsi="宋体" w:cs="宋体"/>
          <w:sz w:val="44"/>
          <w:szCs w:val="44"/>
          <w:lang w:val="en-US" w:eastAsia="zh-CN"/>
        </w:rPr>
        <w:t>5</w:t>
      </w:r>
      <w:r>
        <w:rPr>
          <w:rFonts w:hint="eastAsia" w:ascii="宋体" w:hAnsi="宋体" w:cs="宋体"/>
          <w:sz w:val="44"/>
          <w:szCs w:val="44"/>
        </w:rPr>
        <w:t>年</w:t>
      </w:r>
      <w:r>
        <w:rPr>
          <w:rFonts w:hint="eastAsia" w:ascii="宋体" w:hAnsi="宋体" w:cs="宋体"/>
          <w:sz w:val="44"/>
          <w:szCs w:val="44"/>
          <w:lang w:val="en-US" w:eastAsia="zh-CN"/>
        </w:rPr>
        <w:t>10</w:t>
      </w:r>
      <w:r>
        <w:rPr>
          <w:rFonts w:hint="eastAsia" w:ascii="宋体" w:hAnsi="宋体" w:cs="宋体"/>
          <w:sz w:val="44"/>
          <w:szCs w:val="44"/>
        </w:rPr>
        <w:t>月</w:t>
      </w:r>
    </w:p>
    <w:p>
      <w:pPr>
        <w:rPr>
          <w:rFonts w:cs="Times New Roman"/>
          <w:sz w:val="24"/>
          <w:szCs w:val="24"/>
        </w:rPr>
      </w:pPr>
      <w:r>
        <w:rPr>
          <w:rFonts w:cs="Times New Roman"/>
        </w:rPr>
        <w:br w:type="page"/>
      </w:r>
    </w:p>
    <w:p>
      <w:pPr>
        <w:pStyle w:val="4"/>
        <w:numPr>
          <w:ilvl w:val="0"/>
          <w:numId w:val="1"/>
        </w:numPr>
        <w:tabs>
          <w:tab w:val="left" w:pos="0"/>
        </w:tabs>
        <w:rPr>
          <w:rFonts w:hint="eastAsia" w:ascii="宋体" w:hAnsi="宋体" w:eastAsia="宋体" w:cs="宋体"/>
        </w:rPr>
      </w:pPr>
      <w:bookmarkStart w:id="0" w:name="_Toc28526"/>
      <w:bookmarkStart w:id="1" w:name="_Toc318799924"/>
      <w:bookmarkStart w:id="2" w:name="_Toc444945508"/>
      <w:bookmarkStart w:id="3" w:name="_Toc2053"/>
      <w:r>
        <w:rPr>
          <w:rFonts w:hint="eastAsia" w:ascii="Times New Roman" w:hAnsi="Times New Roman"/>
          <w:color w:val="000000"/>
          <w:sz w:val="28"/>
          <w:szCs w:val="28"/>
          <w:lang w:eastAsia="zh-CN"/>
        </w:rPr>
        <w:t>服务范围</w:t>
      </w:r>
      <w:bookmarkEnd w:id="0"/>
      <w:bookmarkEnd w:id="1"/>
      <w:bookmarkEnd w:id="2"/>
    </w:p>
    <w:p>
      <w:pPr>
        <w:spacing w:line="360" w:lineRule="auto"/>
        <w:ind w:firstLine="560" w:firstLineChars="200"/>
        <w:rPr>
          <w:rFonts w:hint="eastAsia" w:ascii="宋体" w:hAnsi="宋体" w:cs="宋体"/>
          <w:sz w:val="28"/>
          <w:szCs w:val="28"/>
        </w:rPr>
      </w:pPr>
      <w:r>
        <w:rPr>
          <w:rFonts w:hint="eastAsia" w:ascii="宋体" w:hAnsi="宋体" w:cs="宋体"/>
          <w:sz w:val="28"/>
          <w:szCs w:val="28"/>
        </w:rPr>
        <w:t>本技术条款主要描述广西电网有限</w:t>
      </w:r>
      <w:r>
        <w:rPr>
          <w:rFonts w:hint="eastAsia" w:ascii="宋体" w:hAnsi="宋体" w:cs="宋体"/>
          <w:sz w:val="28"/>
          <w:szCs w:val="28"/>
          <w:lang w:eastAsia="zh-CN"/>
        </w:rPr>
        <w:t>责任</w:t>
      </w:r>
      <w:r>
        <w:rPr>
          <w:rFonts w:hint="eastAsia" w:ascii="宋体" w:hAnsi="宋体" w:cs="宋体"/>
          <w:sz w:val="28"/>
          <w:szCs w:val="28"/>
        </w:rPr>
        <w:t>公司柳州供电局应急发电机组启动电源优化及可靠性评估装置加工服务项目有关事项。</w:t>
      </w:r>
    </w:p>
    <w:bookmarkEnd w:id="3"/>
    <w:p>
      <w:pPr>
        <w:pStyle w:val="4"/>
        <w:numPr>
          <w:ilvl w:val="0"/>
          <w:numId w:val="1"/>
        </w:numPr>
        <w:tabs>
          <w:tab w:val="left" w:pos="0"/>
        </w:tabs>
        <w:rPr>
          <w:rFonts w:hint="eastAsia" w:ascii="Times New Roman" w:hAnsi="Times New Roman"/>
          <w:color w:val="000000"/>
          <w:sz w:val="28"/>
          <w:szCs w:val="28"/>
          <w:lang w:eastAsia="zh-CN"/>
        </w:rPr>
      </w:pPr>
      <w:bookmarkStart w:id="4" w:name="_Toc444945516"/>
      <w:bookmarkStart w:id="5" w:name="_Toc22626"/>
      <w:r>
        <w:rPr>
          <w:rFonts w:hint="eastAsia" w:ascii="Times New Roman" w:hAnsi="Times New Roman"/>
          <w:color w:val="000000"/>
          <w:sz w:val="28"/>
          <w:szCs w:val="28"/>
          <w:lang w:eastAsia="zh-CN"/>
        </w:rPr>
        <w:t>服务要求</w:t>
      </w:r>
      <w:bookmarkEnd w:id="4"/>
      <w:bookmarkEnd w:id="5"/>
    </w:p>
    <w:p>
      <w:pPr>
        <w:spacing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1.按照</w:t>
      </w:r>
      <w:r>
        <w:rPr>
          <w:rFonts w:hint="eastAsia" w:ascii="宋体" w:hAnsi="宋体" w:cs="宋体"/>
          <w:sz w:val="28"/>
          <w:szCs w:val="28"/>
        </w:rPr>
        <w:t>应急发电机组启动电源优化及可靠性评估装置</w:t>
      </w:r>
      <w:r>
        <w:rPr>
          <w:rFonts w:hint="eastAsia" w:ascii="宋体" w:hAnsi="宋体" w:cs="宋体"/>
          <w:sz w:val="28"/>
          <w:szCs w:val="28"/>
          <w:lang w:val="en-US" w:eastAsia="zh-CN"/>
        </w:rPr>
        <w:t>技术指标的要求，绘制样机的图纸文件；</w:t>
      </w:r>
    </w:p>
    <w:p>
      <w:pPr>
        <w:spacing w:line="360" w:lineRule="auto"/>
        <w:ind w:firstLine="560" w:firstLineChars="200"/>
        <w:rPr>
          <w:rFonts w:hint="default" w:ascii="宋体" w:hAnsi="宋体" w:cs="宋体"/>
          <w:sz w:val="28"/>
          <w:szCs w:val="28"/>
          <w:lang w:val="en-US" w:eastAsia="zh-CN"/>
        </w:rPr>
      </w:pPr>
      <w:r>
        <w:rPr>
          <w:rFonts w:hint="eastAsia" w:ascii="宋体" w:hAnsi="宋体" w:cs="宋体"/>
          <w:sz w:val="28"/>
          <w:szCs w:val="28"/>
          <w:lang w:val="en-US" w:eastAsia="zh-CN"/>
        </w:rPr>
        <w:t>2.按照绘制的图纸文件进行样机钣金加工，包括（钣金、喷漆等）；</w:t>
      </w:r>
    </w:p>
    <w:p>
      <w:pPr>
        <w:spacing w:line="360" w:lineRule="auto"/>
        <w:ind w:firstLine="560" w:firstLineChars="200"/>
        <w:rPr>
          <w:rFonts w:hint="default" w:ascii="宋体" w:hAnsi="宋体" w:cs="宋体"/>
          <w:sz w:val="28"/>
          <w:szCs w:val="28"/>
          <w:lang w:val="en-US" w:eastAsia="zh-CN"/>
        </w:rPr>
      </w:pPr>
      <w:r>
        <w:rPr>
          <w:rFonts w:hint="eastAsia" w:ascii="宋体" w:hAnsi="宋体" w:cs="宋体"/>
          <w:sz w:val="28"/>
          <w:szCs w:val="28"/>
          <w:lang w:val="en-US" w:eastAsia="zh-CN"/>
        </w:rPr>
        <w:t>3.按照国家标准对加工的样机进行检测；</w:t>
      </w:r>
    </w:p>
    <w:p>
      <w:pPr>
        <w:spacing w:line="360" w:lineRule="auto"/>
        <w:ind w:firstLine="560" w:firstLineChars="200"/>
        <w:rPr>
          <w:rFonts w:hint="eastAsia" w:ascii="宋体" w:hAnsi="宋体" w:cs="宋体"/>
          <w:sz w:val="28"/>
          <w:szCs w:val="28"/>
        </w:rPr>
      </w:pPr>
      <w:r>
        <w:rPr>
          <w:rFonts w:hint="eastAsia" w:ascii="宋体" w:hAnsi="宋体" w:cs="宋体"/>
          <w:sz w:val="28"/>
          <w:szCs w:val="28"/>
          <w:lang w:val="en-US" w:eastAsia="zh-CN"/>
        </w:rPr>
        <w:t>4.样机的安装试运行。</w:t>
      </w:r>
    </w:p>
    <w:p>
      <w:pPr>
        <w:pStyle w:val="4"/>
        <w:numPr>
          <w:ilvl w:val="0"/>
          <w:numId w:val="1"/>
        </w:numPr>
        <w:tabs>
          <w:tab w:val="left" w:pos="0"/>
        </w:tabs>
        <w:ind w:left="0" w:leftChars="0" w:firstLine="420" w:firstLineChars="0"/>
        <w:rPr>
          <w:rFonts w:hint="eastAsia"/>
          <w:sz w:val="28"/>
          <w:szCs w:val="28"/>
        </w:rPr>
      </w:pPr>
      <w:r>
        <w:rPr>
          <w:rFonts w:hint="eastAsia"/>
          <w:sz w:val="28"/>
          <w:szCs w:val="28"/>
          <w:lang w:val="en-US" w:eastAsia="zh-CN"/>
        </w:rPr>
        <w:t>技术指标要求</w:t>
      </w:r>
    </w:p>
    <w:p>
      <w:pPr>
        <w:spacing w:line="360" w:lineRule="auto"/>
        <w:ind w:firstLine="560" w:firstLineChars="200"/>
        <w:rPr>
          <w:rFonts w:ascii="宋体" w:hAnsi="宋体" w:cs="宋体"/>
          <w:sz w:val="28"/>
          <w:szCs w:val="28"/>
        </w:rPr>
      </w:pPr>
      <w:r>
        <w:rPr>
          <w:rFonts w:hint="eastAsia" w:cs="仿宋" w:asciiTheme="minorEastAsia" w:hAnsiTheme="minorEastAsia" w:eastAsiaTheme="minorEastAsia"/>
          <w:sz w:val="28"/>
          <w:szCs w:val="28"/>
        </w:rPr>
        <w:t>适用于在不增加运维人员工作量的前提下，对站用应急发电机组启动电源进行优化及提高应急系统的可靠性。利用动力电容模组并联电池回路，增加了启动功率，使得机组应急工况工作更加可靠，减少电源转换时间，延长了启动铅酸电池的寿命，提高了变电站应急状态工作的可靠性，降低安全风险，保证应急柴油发电机组的正常运行，充分发挥后备电源的作用，避免重大事故</w:t>
      </w:r>
      <w:r>
        <w:rPr>
          <w:rFonts w:hint="eastAsia" w:ascii="宋体" w:hAnsi="宋体" w:cs="宋体"/>
          <w:sz w:val="28"/>
          <w:szCs w:val="28"/>
        </w:rPr>
        <w:t>。</w:t>
      </w:r>
    </w:p>
    <w:p>
      <w:pPr>
        <w:spacing w:line="360" w:lineRule="auto"/>
        <w:rPr>
          <w:rFonts w:ascii="宋体" w:cs="Times New Roman"/>
          <w:sz w:val="28"/>
          <w:szCs w:val="28"/>
        </w:rPr>
      </w:pPr>
      <w:r>
        <w:rPr>
          <w:rFonts w:ascii="宋体" w:hAnsi="宋体" w:cs="宋体"/>
          <w:sz w:val="28"/>
          <w:szCs w:val="28"/>
        </w:rPr>
        <w:t>1</w:t>
      </w:r>
      <w:r>
        <w:rPr>
          <w:rFonts w:hint="eastAsia" w:ascii="宋体" w:hAnsi="宋体" w:cs="宋体"/>
          <w:sz w:val="28"/>
          <w:szCs w:val="28"/>
          <w:lang w:val="en-US" w:eastAsia="zh-CN"/>
        </w:rPr>
        <w:t>.</w:t>
      </w:r>
      <w:r>
        <w:rPr>
          <w:rFonts w:hint="eastAsia" w:ascii="宋体" w:hAnsi="宋体" w:cs="宋体"/>
          <w:sz w:val="28"/>
          <w:szCs w:val="28"/>
        </w:rPr>
        <w:t>运行环境条件</w:t>
      </w:r>
    </w:p>
    <w:p>
      <w:pPr>
        <w:numPr>
          <w:ilvl w:val="0"/>
          <w:numId w:val="2"/>
        </w:numPr>
        <w:spacing w:line="360" w:lineRule="auto"/>
        <w:rPr>
          <w:rFonts w:ascii="宋体" w:cs="Times New Roman"/>
          <w:sz w:val="28"/>
          <w:szCs w:val="28"/>
        </w:rPr>
      </w:pPr>
      <w:r>
        <w:rPr>
          <w:rFonts w:hint="eastAsia" w:ascii="宋体" w:hAnsi="宋体" w:cs="宋体"/>
          <w:sz w:val="28"/>
          <w:szCs w:val="28"/>
        </w:rPr>
        <w:t>环境温度：</w:t>
      </w:r>
      <w:r>
        <w:rPr>
          <w:rFonts w:ascii="宋体" w:hAnsi="宋体" w:cs="宋体"/>
          <w:sz w:val="28"/>
          <w:szCs w:val="28"/>
        </w:rPr>
        <w:t xml:space="preserve">       </w:t>
      </w:r>
      <w:r>
        <w:rPr>
          <w:rFonts w:hAnsi="宋体"/>
          <w:color w:val="000000"/>
          <w:sz w:val="28"/>
          <w:szCs w:val="28"/>
        </w:rPr>
        <w:t>-10</w:t>
      </w:r>
      <w:r>
        <w:rPr>
          <w:rFonts w:hint="eastAsia" w:hAnsi="宋体" w:cs="宋体"/>
          <w:color w:val="000000"/>
          <w:sz w:val="28"/>
          <w:szCs w:val="28"/>
        </w:rPr>
        <w:t>℃～</w:t>
      </w:r>
      <w:r>
        <w:rPr>
          <w:rFonts w:hAnsi="宋体"/>
          <w:color w:val="000000"/>
          <w:sz w:val="28"/>
          <w:szCs w:val="28"/>
        </w:rPr>
        <w:t>+55</w:t>
      </w:r>
      <w:r>
        <w:rPr>
          <w:rFonts w:hint="eastAsia" w:hAnsi="宋体" w:cs="宋体"/>
          <w:color w:val="000000"/>
          <w:sz w:val="28"/>
          <w:szCs w:val="28"/>
        </w:rPr>
        <w:t>℃</w:t>
      </w:r>
    </w:p>
    <w:p>
      <w:pPr>
        <w:numPr>
          <w:ilvl w:val="0"/>
          <w:numId w:val="2"/>
        </w:numPr>
        <w:spacing w:line="360" w:lineRule="auto"/>
        <w:rPr>
          <w:rFonts w:ascii="宋体" w:cs="Times New Roman"/>
          <w:sz w:val="28"/>
          <w:szCs w:val="28"/>
        </w:rPr>
      </w:pPr>
      <w:r>
        <w:rPr>
          <w:rFonts w:hint="eastAsia" w:ascii="宋体" w:hAnsi="宋体" w:cs="宋体"/>
          <w:sz w:val="28"/>
          <w:szCs w:val="28"/>
        </w:rPr>
        <w:t>环境相对湿度：</w:t>
      </w:r>
      <w:r>
        <w:rPr>
          <w:rFonts w:ascii="宋体" w:hAnsi="宋体" w:cs="宋体"/>
          <w:sz w:val="28"/>
          <w:szCs w:val="28"/>
        </w:rPr>
        <w:t xml:space="preserve">   10%RH</w:t>
      </w:r>
      <w:r>
        <w:rPr>
          <w:rFonts w:hint="eastAsia" w:ascii="宋体" w:hAnsi="宋体" w:cs="宋体"/>
          <w:sz w:val="28"/>
          <w:szCs w:val="28"/>
        </w:rPr>
        <w:t>～</w:t>
      </w:r>
      <w:r>
        <w:rPr>
          <w:rFonts w:ascii="宋体" w:hAnsi="宋体" w:cs="宋体"/>
          <w:sz w:val="28"/>
          <w:szCs w:val="28"/>
        </w:rPr>
        <w:t xml:space="preserve"> 95%RH</w:t>
      </w:r>
    </w:p>
    <w:p>
      <w:pPr>
        <w:numPr>
          <w:ilvl w:val="0"/>
          <w:numId w:val="2"/>
        </w:numPr>
        <w:spacing w:line="360" w:lineRule="auto"/>
        <w:rPr>
          <w:rFonts w:ascii="宋体" w:cs="Times New Roman"/>
          <w:sz w:val="28"/>
          <w:szCs w:val="28"/>
        </w:rPr>
      </w:pPr>
      <w:r>
        <w:rPr>
          <w:rFonts w:hint="eastAsia" w:hAnsi="宋体" w:cs="宋体"/>
          <w:color w:val="000000"/>
          <w:sz w:val="28"/>
          <w:szCs w:val="28"/>
        </w:rPr>
        <w:t>相对湿度：</w:t>
      </w:r>
      <w:r>
        <w:rPr>
          <w:rFonts w:hAnsi="宋体"/>
          <w:color w:val="000000"/>
          <w:sz w:val="28"/>
          <w:szCs w:val="28"/>
        </w:rPr>
        <w:t xml:space="preserve">        5%~90%</w:t>
      </w:r>
      <w:r>
        <w:rPr>
          <w:rFonts w:hint="eastAsia" w:hAnsi="宋体" w:cs="宋体"/>
          <w:color w:val="000000"/>
          <w:sz w:val="28"/>
          <w:szCs w:val="28"/>
        </w:rPr>
        <w:t>（内部既不应凝露，也不应结冰）；</w:t>
      </w:r>
    </w:p>
    <w:p>
      <w:pPr>
        <w:numPr>
          <w:ilvl w:val="0"/>
          <w:numId w:val="2"/>
        </w:numPr>
        <w:spacing w:line="360" w:lineRule="auto"/>
        <w:rPr>
          <w:rFonts w:ascii="宋体" w:cs="Times New Roman"/>
          <w:sz w:val="28"/>
          <w:szCs w:val="28"/>
        </w:rPr>
      </w:pPr>
      <w:r>
        <w:rPr>
          <w:rFonts w:hint="eastAsia" w:hAnsi="宋体" w:cs="宋体"/>
          <w:color w:val="000000"/>
          <w:sz w:val="28"/>
          <w:szCs w:val="28"/>
        </w:rPr>
        <w:t>大气压力：</w:t>
      </w:r>
      <w:r>
        <w:rPr>
          <w:rFonts w:hAnsi="宋体"/>
          <w:color w:val="000000"/>
          <w:sz w:val="28"/>
          <w:szCs w:val="28"/>
        </w:rPr>
        <w:t xml:space="preserve">       80kPa</w:t>
      </w:r>
      <w:r>
        <w:rPr>
          <w:rFonts w:hint="eastAsia" w:hAnsi="宋体" w:cs="宋体"/>
          <w:color w:val="000000"/>
          <w:sz w:val="28"/>
          <w:szCs w:val="28"/>
        </w:rPr>
        <w:t>～</w:t>
      </w:r>
      <w:r>
        <w:rPr>
          <w:rFonts w:hAnsi="宋体"/>
          <w:color w:val="000000"/>
          <w:sz w:val="28"/>
          <w:szCs w:val="28"/>
        </w:rPr>
        <w:t>106kPa</w:t>
      </w:r>
      <w:r>
        <w:rPr>
          <w:rFonts w:hint="eastAsia" w:hAnsi="宋体" w:cs="宋体"/>
          <w:color w:val="000000"/>
          <w:sz w:val="28"/>
          <w:szCs w:val="28"/>
        </w:rPr>
        <w:t>；</w:t>
      </w:r>
    </w:p>
    <w:p>
      <w:pPr>
        <w:numPr>
          <w:ilvl w:val="0"/>
          <w:numId w:val="2"/>
        </w:numPr>
        <w:spacing w:line="360" w:lineRule="auto"/>
        <w:rPr>
          <w:rFonts w:ascii="宋体" w:cs="Times New Roman"/>
          <w:sz w:val="28"/>
          <w:szCs w:val="28"/>
        </w:rPr>
      </w:pPr>
      <w:r>
        <w:rPr>
          <w:rFonts w:hint="eastAsia" w:hAnsi="宋体" w:cs="宋体"/>
          <w:color w:val="000000"/>
          <w:sz w:val="28"/>
          <w:szCs w:val="28"/>
        </w:rPr>
        <w:t>场地要求：</w:t>
      </w:r>
      <w:r>
        <w:rPr>
          <w:rFonts w:hAnsi="宋体"/>
          <w:color w:val="000000"/>
          <w:sz w:val="28"/>
          <w:szCs w:val="28"/>
        </w:rPr>
        <w:t xml:space="preserve">       GB/T 9361-2011 </w:t>
      </w:r>
      <w:r>
        <w:rPr>
          <w:rFonts w:hint="eastAsia" w:hAnsi="宋体" w:cs="宋体"/>
          <w:color w:val="000000"/>
          <w:sz w:val="28"/>
          <w:szCs w:val="28"/>
        </w:rPr>
        <w:t>中</w:t>
      </w:r>
      <w:r>
        <w:rPr>
          <w:rFonts w:hAnsi="宋体"/>
          <w:color w:val="000000"/>
          <w:sz w:val="28"/>
          <w:szCs w:val="28"/>
        </w:rPr>
        <w:t xml:space="preserve"> B </w:t>
      </w:r>
      <w:r>
        <w:rPr>
          <w:rFonts w:hint="eastAsia" w:hAnsi="宋体" w:cs="宋体"/>
          <w:color w:val="000000"/>
          <w:sz w:val="28"/>
          <w:szCs w:val="28"/>
        </w:rPr>
        <w:t>类安全要求；</w:t>
      </w:r>
    </w:p>
    <w:p>
      <w:pPr>
        <w:ind w:firstLine="420"/>
        <w:rPr>
          <w:rFonts w:cs="Times New Roman"/>
          <w:sz w:val="28"/>
          <w:szCs w:val="28"/>
        </w:rPr>
      </w:pPr>
      <w:r>
        <w:rPr>
          <w:rFonts w:hint="eastAsia" w:ascii="宋体" w:hAnsi="宋体" w:cs="宋体"/>
          <w:sz w:val="28"/>
          <w:szCs w:val="28"/>
        </w:rPr>
        <w:t>⑹</w:t>
      </w:r>
      <w:r>
        <w:rPr>
          <w:rFonts w:hint="eastAsia" w:cs="宋体"/>
          <w:sz w:val="28"/>
          <w:szCs w:val="28"/>
        </w:rPr>
        <w:t>适应海拨：</w:t>
      </w:r>
      <w:r>
        <w:rPr>
          <w:sz w:val="28"/>
          <w:szCs w:val="28"/>
        </w:rPr>
        <w:t xml:space="preserve">        1000</w:t>
      </w:r>
      <w:r>
        <w:rPr>
          <w:rFonts w:hint="eastAsia" w:cs="宋体"/>
          <w:sz w:val="28"/>
          <w:szCs w:val="28"/>
        </w:rPr>
        <w:t>～</w:t>
      </w:r>
      <w:r>
        <w:rPr>
          <w:sz w:val="28"/>
          <w:szCs w:val="28"/>
        </w:rPr>
        <w:t>2500</w:t>
      </w:r>
      <w:r>
        <w:rPr>
          <w:rFonts w:hint="eastAsia" w:cs="宋体"/>
          <w:sz w:val="28"/>
          <w:szCs w:val="28"/>
        </w:rPr>
        <w:t>米。</w:t>
      </w:r>
    </w:p>
    <w:p>
      <w:pPr>
        <w:ind w:firstLine="420"/>
        <w:rPr>
          <w:rFonts w:hint="eastAsia" w:hAnsi="宋体" w:eastAsia="宋体" w:cs="宋体"/>
          <w:color w:val="000000"/>
          <w:sz w:val="28"/>
          <w:szCs w:val="28"/>
          <w:lang w:val="en-US" w:eastAsia="zh-CN"/>
        </w:rPr>
      </w:pPr>
      <w:r>
        <w:rPr>
          <w:rFonts w:hint="eastAsia" w:ascii="宋体" w:hAnsi="宋体" w:cs="宋体"/>
          <w:sz w:val="28"/>
          <w:szCs w:val="28"/>
        </w:rPr>
        <w:t>⑺使</w:t>
      </w:r>
      <w:r>
        <w:rPr>
          <w:rFonts w:hint="eastAsia" w:hAnsi="宋体" w:cs="宋体"/>
          <w:color w:val="000000"/>
          <w:sz w:val="28"/>
          <w:szCs w:val="28"/>
        </w:rPr>
        <w:t>用地点无爆炸危险的物质，周围介质中不含有能腐蚀金属、破坏绝缘和表面敷层的介质及导电介质，没有严重的霉菌存在</w:t>
      </w:r>
      <w:r>
        <w:rPr>
          <w:rFonts w:hint="eastAsia" w:hAnsi="宋体" w:cs="宋体"/>
          <w:color w:val="000000"/>
          <w:sz w:val="28"/>
          <w:szCs w:val="28"/>
          <w:lang w:eastAsia="zh-CN"/>
        </w:rPr>
        <w:t>。</w:t>
      </w:r>
    </w:p>
    <w:p>
      <w:pPr>
        <w:rPr>
          <w:rFonts w:ascii="宋体" w:hAnsi="宋体" w:cs="宋体"/>
          <w:sz w:val="28"/>
          <w:szCs w:val="28"/>
        </w:rPr>
      </w:pPr>
      <w:r>
        <w:rPr>
          <w:rFonts w:ascii="宋体" w:hAnsi="宋体" w:cs="宋体"/>
          <w:sz w:val="28"/>
          <w:szCs w:val="28"/>
        </w:rPr>
        <w:t>2</w:t>
      </w:r>
      <w:r>
        <w:rPr>
          <w:rFonts w:hint="eastAsia" w:ascii="宋体" w:hAnsi="宋体" w:cs="宋体"/>
          <w:sz w:val="28"/>
          <w:szCs w:val="28"/>
          <w:lang w:val="en-US" w:eastAsia="zh-CN"/>
        </w:rPr>
        <w:t>.</w:t>
      </w:r>
      <w:r>
        <w:rPr>
          <w:rFonts w:hint="eastAsia" w:ascii="宋体" w:hAnsi="宋体" w:cs="宋体"/>
          <w:sz w:val="28"/>
          <w:szCs w:val="28"/>
        </w:rPr>
        <w:t>技术参数</w:t>
      </w:r>
    </w:p>
    <w:tbl>
      <w:tblPr>
        <w:tblStyle w:val="13"/>
        <w:tblW w:w="9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4"/>
        <w:gridCol w:w="6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测试项目</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内置电池</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24V/10000mAh锂电池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充电电源</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自适应管理充放电，配合瞬时负载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hint="eastAsia" w:ascii="宋体" w:hAnsi="宋体" w:eastAsia="宋体"/>
                <w:sz w:val="24"/>
                <w:szCs w:val="24"/>
                <w:lang w:eastAsia="zh-CN"/>
              </w:rPr>
            </w:pPr>
            <w:r>
              <w:rPr>
                <w:rFonts w:hint="eastAsia" w:ascii="宋体" w:hAnsi="宋体"/>
                <w:sz w:val="24"/>
                <w:szCs w:val="24"/>
                <w:lang w:eastAsia="zh-CN"/>
              </w:rPr>
              <w:t>控制方式</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hint="eastAsia" w:ascii="宋体" w:hAnsi="宋体" w:eastAsia="宋体"/>
                <w:sz w:val="24"/>
                <w:szCs w:val="24"/>
                <w:lang w:eastAsia="zh-CN"/>
              </w:rPr>
            </w:pPr>
            <w:r>
              <w:rPr>
                <w:rFonts w:hint="eastAsia" w:ascii="宋体" w:hAnsi="宋体"/>
                <w:sz w:val="24"/>
                <w:szCs w:val="24"/>
                <w:lang w:eastAsia="zh-CN"/>
              </w:rPr>
              <w:t>软件控制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动力电容模组容量</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5-50F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模组电压</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模组等效串联电阻（ESR）</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ESR ≤1 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模组最大持续电流</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典型值100A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自放电率</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5 %～20 %/24 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模组漏电流</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1mA～3.5mA（模组）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工作时长</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完整启动周期循环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启动方式</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自动、手动启动、手动脱离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启动动作指示</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启动（绿色）、脱离（红色）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投切电流</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≤63A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机械寿命</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14000次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模拟冲击负荷电流</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50-100A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冲击负荷电力器件</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大功率FET+合金无感电阻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模拟启动周期</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最大60S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启动转速传感器</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霍尔无接触式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自启动控制</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3次，可设置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机组输出电压范围</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line="240" w:lineRule="exact"/>
              <w:ind w:left="482"/>
              <w:jc w:val="center"/>
              <w:rPr>
                <w:rFonts w:ascii="宋体" w:hAnsi="宋体"/>
                <w:sz w:val="24"/>
                <w:szCs w:val="24"/>
              </w:rPr>
            </w:pPr>
            <w:r>
              <w:rPr>
                <w:rFonts w:hint="eastAsia" w:ascii="宋体" w:hAnsi="宋体"/>
                <w:sz w:val="24"/>
                <w:szCs w:val="24"/>
              </w:rPr>
              <w:t>0～250VDC/0-380VAC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工作温度</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-10～45℃, 相对湿度：5％RH～90％RH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绝缘电阻</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firstLine="480" w:firstLineChars="200"/>
              <w:jc w:val="center"/>
              <w:rPr>
                <w:rFonts w:ascii="宋体" w:hAnsi="宋体"/>
                <w:sz w:val="24"/>
                <w:szCs w:val="24"/>
              </w:rPr>
            </w:pPr>
            <w:r>
              <w:rPr>
                <w:rFonts w:hint="eastAsia" w:ascii="宋体" w:hAnsi="宋体"/>
                <w:sz w:val="24"/>
                <w:szCs w:val="24"/>
              </w:rPr>
              <w:t>≥50MΩ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耐湿热性能</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firstLine="480" w:firstLineChars="200"/>
              <w:jc w:val="center"/>
              <w:rPr>
                <w:rFonts w:ascii="宋体" w:hAnsi="宋体"/>
                <w:sz w:val="24"/>
                <w:szCs w:val="24"/>
              </w:rPr>
            </w:pPr>
            <w:r>
              <w:rPr>
                <w:rFonts w:hint="eastAsia" w:ascii="宋体" w:hAnsi="宋体"/>
                <w:sz w:val="24"/>
                <w:szCs w:val="24"/>
              </w:rPr>
              <w:t>符合GB/T 2423.4-2008规定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kern w:val="0"/>
                <w:sz w:val="24"/>
                <w:szCs w:val="24"/>
              </w:rPr>
              <w:t>电磁兼容性</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jc w:val="center"/>
              <w:rPr>
                <w:rFonts w:ascii="宋体" w:hAnsi="宋体"/>
                <w:sz w:val="24"/>
                <w:szCs w:val="24"/>
              </w:rPr>
            </w:pPr>
            <w:r>
              <w:rPr>
                <w:rFonts w:hint="eastAsia" w:ascii="宋体" w:hAnsi="宋体" w:cs="Arial"/>
                <w:sz w:val="24"/>
                <w:szCs w:val="24"/>
              </w:rPr>
              <w:t>屏蔽单元模组设计，适应电力环境，可靠性高，免维护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kern w:val="0"/>
                <w:sz w:val="24"/>
                <w:szCs w:val="24"/>
              </w:rPr>
            </w:pPr>
            <w:r>
              <w:rPr>
                <w:rFonts w:hint="eastAsia" w:ascii="宋体" w:hAnsi="宋体"/>
                <w:kern w:val="0"/>
                <w:sz w:val="24"/>
                <w:szCs w:val="24"/>
              </w:rPr>
              <w:t>设计标准</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firstLine="480" w:firstLineChars="200"/>
              <w:jc w:val="center"/>
              <w:rPr>
                <w:rFonts w:ascii="宋体" w:hAnsi="宋体"/>
                <w:kern w:val="0"/>
                <w:sz w:val="24"/>
                <w:szCs w:val="24"/>
              </w:rPr>
            </w:pPr>
            <w:r>
              <w:rPr>
                <w:rFonts w:hint="eastAsia" w:ascii="宋体" w:hAnsi="宋体"/>
                <w:sz w:val="24"/>
                <w:szCs w:val="24"/>
              </w:rPr>
              <w:t>符合中国南方电网企业标准Q/CSG 411002-2012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kern w:val="0"/>
                <w:sz w:val="24"/>
                <w:szCs w:val="24"/>
              </w:rPr>
            </w:pPr>
            <w:r>
              <w:rPr>
                <w:rFonts w:hint="eastAsia" w:ascii="宋体" w:hAnsi="宋体"/>
                <w:kern w:val="0"/>
                <w:sz w:val="24"/>
                <w:szCs w:val="24"/>
              </w:rPr>
              <w:t>报警功能</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ind w:firstLine="480" w:firstLineChars="200"/>
              <w:jc w:val="center"/>
              <w:rPr>
                <w:rFonts w:ascii="宋体" w:hAnsi="宋体"/>
                <w:sz w:val="24"/>
                <w:szCs w:val="24"/>
              </w:rPr>
            </w:pPr>
            <w:r>
              <w:rPr>
                <w:rFonts w:hint="eastAsia" w:ascii="宋体" w:hAnsi="宋体"/>
                <w:sz w:val="24"/>
                <w:szCs w:val="24"/>
              </w:rPr>
              <w:t>启动过欠压报警、启动次数报警、转速不足报警、输出故障报警、充电提示报警、过温报警、紧急手动停止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exact"/>
          <w:jc w:val="center"/>
        </w:trPr>
        <w:tc>
          <w:tcPr>
            <w:tcW w:w="2864" w:type="dxa"/>
            <w:tcBorders>
              <w:top w:val="single" w:color="auto" w:sz="4" w:space="0"/>
              <w:left w:val="single" w:color="auto" w:sz="4" w:space="0"/>
              <w:bottom w:val="single" w:color="auto" w:sz="4" w:space="0"/>
              <w:right w:val="single" w:color="auto" w:sz="4" w:space="0"/>
            </w:tcBorders>
            <w:vAlign w:val="center"/>
          </w:tcPr>
          <w:p>
            <w:pPr>
              <w:spacing w:beforeLines="50"/>
              <w:ind w:left="482"/>
              <w:jc w:val="center"/>
              <w:rPr>
                <w:rFonts w:ascii="宋体" w:hAnsi="宋体"/>
                <w:sz w:val="24"/>
                <w:szCs w:val="24"/>
              </w:rPr>
            </w:pPr>
            <w:r>
              <w:rPr>
                <w:rFonts w:hint="eastAsia" w:ascii="宋体" w:hAnsi="宋体"/>
                <w:sz w:val="24"/>
                <w:szCs w:val="24"/>
              </w:rPr>
              <w:t>设备安装</w:t>
            </w:r>
          </w:p>
        </w:tc>
        <w:tc>
          <w:tcPr>
            <w:tcW w:w="6264" w:type="dxa"/>
            <w:tcBorders>
              <w:top w:val="single" w:color="auto" w:sz="4" w:space="0"/>
              <w:left w:val="single" w:color="auto" w:sz="4" w:space="0"/>
              <w:bottom w:val="single" w:color="auto" w:sz="4" w:space="0"/>
              <w:right w:val="single" w:color="auto" w:sz="4" w:space="0"/>
            </w:tcBorders>
            <w:vAlign w:val="center"/>
          </w:tcPr>
          <w:p>
            <w:pPr>
              <w:spacing w:beforeLines="50"/>
              <w:jc w:val="center"/>
              <w:rPr>
                <w:rFonts w:ascii="宋体" w:hAnsi="宋体"/>
                <w:sz w:val="24"/>
                <w:szCs w:val="24"/>
              </w:rPr>
            </w:pPr>
            <w:r>
              <w:rPr>
                <w:rFonts w:hint="eastAsia" w:ascii="宋体" w:hAnsi="宋体"/>
                <w:sz w:val="24"/>
                <w:szCs w:val="24"/>
              </w:rPr>
              <w:t>可与发电机组一体化固定嵌入式安装和连接，浮地设计</w:t>
            </w:r>
          </w:p>
        </w:tc>
      </w:tr>
    </w:tbl>
    <w:p>
      <w:pPr>
        <w:pStyle w:val="3"/>
        <w:adjustRightInd w:val="0"/>
        <w:snapToGrid w:val="0"/>
        <w:spacing w:before="0" w:after="0" w:line="360" w:lineRule="auto"/>
        <w:rPr>
          <w:rFonts w:cs="Times New Roman" w:asciiTheme="minorEastAsia" w:hAnsiTheme="minorEastAsia" w:eastAsiaTheme="minorEastAsia"/>
          <w:b w:val="0"/>
          <w:bCs w:val="0"/>
          <w:sz w:val="28"/>
          <w:szCs w:val="28"/>
        </w:rPr>
      </w:pPr>
      <w:bookmarkStart w:id="7" w:name="_GoBack"/>
      <w:bookmarkEnd w:id="7"/>
      <w:bookmarkStart w:id="6" w:name="_Toc5407"/>
      <w:r>
        <w:rPr>
          <w:rFonts w:hint="eastAsia" w:cs="宋体" w:asciiTheme="minorEastAsia" w:hAnsiTheme="minorEastAsia" w:eastAsiaTheme="minorEastAsia"/>
          <w:b w:val="0"/>
          <w:bCs w:val="0"/>
          <w:sz w:val="28"/>
          <w:szCs w:val="28"/>
          <w:lang w:val="en-US" w:eastAsia="zh-CN"/>
        </w:rPr>
        <w:t>3.</w:t>
      </w:r>
      <w:r>
        <w:rPr>
          <w:rFonts w:hint="eastAsia" w:cs="宋体" w:asciiTheme="minorEastAsia" w:hAnsiTheme="minorEastAsia" w:eastAsiaTheme="minorEastAsia"/>
          <w:b w:val="0"/>
          <w:bCs w:val="0"/>
          <w:sz w:val="28"/>
          <w:szCs w:val="28"/>
        </w:rPr>
        <w:t>功能要求</w:t>
      </w:r>
      <w:bookmarkEnd w:id="6"/>
    </w:p>
    <w:p>
      <w:pPr>
        <w:pStyle w:val="6"/>
        <w:adjustRightInd w:val="0"/>
        <w:snapToGrid w:val="0"/>
        <w:spacing w:after="0" w:line="360" w:lineRule="auto"/>
        <w:jc w:val="left"/>
        <w:rPr>
          <w:rFonts w:asciiTheme="minorEastAsia" w:hAnsiTheme="minorEastAsia" w:eastAsiaTheme="minorEastAsia"/>
          <w:sz w:val="28"/>
          <w:szCs w:val="28"/>
        </w:rPr>
      </w:pPr>
      <w:r>
        <w:rPr>
          <w:rFonts w:hint="eastAsia" w:asciiTheme="minorEastAsia" w:hAnsiTheme="minorEastAsia" w:eastAsiaTheme="minorEastAsia"/>
          <w:b w:val="0"/>
          <w:sz w:val="28"/>
          <w:szCs w:val="28"/>
          <w:lang w:val="en-US" w:eastAsia="zh-CN"/>
        </w:rPr>
        <w:t>(1)</w:t>
      </w:r>
      <w:r>
        <w:rPr>
          <w:rFonts w:hint="eastAsia" w:asciiTheme="minorEastAsia" w:hAnsiTheme="minorEastAsia" w:eastAsiaTheme="minorEastAsia"/>
          <w:b w:val="0"/>
          <w:sz w:val="28"/>
          <w:szCs w:val="28"/>
        </w:rPr>
        <w:t>制作一套程控电子负载冲击放电电路，电子负载采用FET设计，模拟真实的应急工况，内部有自我诊断系统设计，能够准确检测出电池电压，程序自动精确调整放电测量电流，可以实现模拟电池短路，模拟油机启动电机的感性阻抗以及电流上升时间，实现快速准确检测启动电池的实有容量。</w:t>
      </w:r>
    </w:p>
    <w:p>
      <w:pPr>
        <w:pStyle w:val="6"/>
        <w:adjustRightInd w:val="0"/>
        <w:snapToGrid w:val="0"/>
        <w:spacing w:after="0" w:line="360" w:lineRule="auto"/>
        <w:jc w:val="left"/>
        <w:rPr>
          <w:rFonts w:asciiTheme="minorEastAsia" w:hAnsiTheme="minorEastAsia" w:eastAsiaTheme="minorEastAsia"/>
          <w:b w:val="0"/>
          <w:sz w:val="28"/>
          <w:szCs w:val="28"/>
        </w:rPr>
      </w:pPr>
      <w:r>
        <w:rPr>
          <w:rFonts w:hint="eastAsia" w:asciiTheme="minorEastAsia" w:hAnsiTheme="minorEastAsia" w:eastAsiaTheme="minorEastAsia"/>
          <w:b w:val="0"/>
          <w:sz w:val="28"/>
          <w:szCs w:val="28"/>
          <w:lang w:val="en-US" w:eastAsia="zh-CN"/>
        </w:rPr>
        <w:t>(2)</w:t>
      </w:r>
      <w:r>
        <w:rPr>
          <w:rFonts w:hint="eastAsia" w:asciiTheme="minorEastAsia" w:hAnsiTheme="minorEastAsia" w:eastAsiaTheme="minorEastAsia"/>
          <w:b w:val="0"/>
          <w:sz w:val="28"/>
          <w:szCs w:val="28"/>
        </w:rPr>
        <w:t>制作一套动力电容模组，通过极化电解质来储能，可以反复充放电数十万次，且最大容量可达数千法拉，充电10秒～10分钟可达到其额定容量的95%以上，同时采用隔离与地浮接方式，避免造成启动回路短路。</w:t>
      </w:r>
    </w:p>
    <w:p>
      <w:pPr>
        <w:pStyle w:val="6"/>
        <w:adjustRightInd w:val="0"/>
        <w:snapToGrid w:val="0"/>
        <w:spacing w:after="0" w:line="360" w:lineRule="auto"/>
        <w:jc w:val="left"/>
        <w:rPr>
          <w:rFonts w:asciiTheme="minorEastAsia" w:hAnsiTheme="minorEastAsia" w:eastAsiaTheme="minorEastAsia"/>
          <w:b w:val="0"/>
          <w:sz w:val="28"/>
          <w:szCs w:val="28"/>
        </w:rPr>
      </w:pPr>
      <w:r>
        <w:rPr>
          <w:rFonts w:hint="eastAsia" w:asciiTheme="minorEastAsia" w:hAnsiTheme="minorEastAsia" w:eastAsiaTheme="minorEastAsia"/>
          <w:b w:val="0"/>
          <w:sz w:val="28"/>
          <w:szCs w:val="28"/>
          <w:lang w:val="en-US" w:eastAsia="zh-CN"/>
        </w:rPr>
        <w:t>(3)</w:t>
      </w:r>
      <w:r>
        <w:rPr>
          <w:rFonts w:hint="eastAsia" w:asciiTheme="minorEastAsia" w:hAnsiTheme="minorEastAsia" w:eastAsiaTheme="minorEastAsia"/>
          <w:b w:val="0"/>
          <w:sz w:val="28"/>
          <w:szCs w:val="28"/>
        </w:rPr>
        <w:t>编制一套兼容电池/电容双模充放电管理系统程序。通过常规的恒流-恒压充电曲线控制保证铅酸电池的充电管理，同时反激变换器的动力电容模组快速充电电路拓扑，控制电路结合动力电容模组初充电，满足动力电容模组初次充电时长时间短路限流充电的要求。</w:t>
      </w:r>
    </w:p>
    <w:p>
      <w:pPr>
        <w:pStyle w:val="6"/>
        <w:adjustRightInd w:val="0"/>
        <w:snapToGrid w:val="0"/>
        <w:spacing w:after="0" w:line="360" w:lineRule="auto"/>
        <w:jc w:val="left"/>
        <w:rPr>
          <w:rFonts w:asciiTheme="minorEastAsia" w:hAnsiTheme="minorEastAsia" w:eastAsiaTheme="minorEastAsia"/>
          <w:b w:val="0"/>
          <w:sz w:val="28"/>
          <w:szCs w:val="28"/>
        </w:rPr>
      </w:pPr>
      <w:r>
        <w:rPr>
          <w:rFonts w:hint="eastAsia" w:asciiTheme="minorEastAsia" w:hAnsiTheme="minorEastAsia" w:eastAsiaTheme="minorEastAsia"/>
          <w:b w:val="0"/>
          <w:sz w:val="28"/>
          <w:szCs w:val="28"/>
          <w:lang w:val="en-US" w:eastAsia="zh-CN"/>
        </w:rPr>
        <w:t>(4)</w:t>
      </w:r>
      <w:r>
        <w:rPr>
          <w:rFonts w:hint="eastAsia" w:asciiTheme="minorEastAsia" w:hAnsiTheme="minorEastAsia" w:eastAsiaTheme="minorEastAsia"/>
          <w:b w:val="0"/>
          <w:sz w:val="28"/>
          <w:szCs w:val="28"/>
        </w:rPr>
        <w:t>制作的单向大电流电路，可将动力电容模组和电子负载并联，在启动电压根据负载条件变化时，动力电容模组的稳压点会自动移动，依靠程序控制完成模拟启动冲击容量试验，准确的实现预测启动电池寿命及更换维护依据。</w:t>
      </w:r>
      <w:r>
        <w:rPr>
          <w:rFonts w:asciiTheme="minorEastAsia" w:hAnsiTheme="minorEastAsia" w:eastAsiaTheme="minorEastAsia"/>
          <w:b w:val="0"/>
          <w:sz w:val="28"/>
          <w:szCs w:val="28"/>
        </w:rPr>
        <w:t xml:space="preserve"> </w:t>
      </w:r>
    </w:p>
    <w:p>
      <w:pPr>
        <w:pStyle w:val="6"/>
        <w:adjustRightInd w:val="0"/>
        <w:snapToGrid w:val="0"/>
        <w:spacing w:after="0" w:line="360" w:lineRule="auto"/>
        <w:jc w:val="left"/>
        <w:rPr>
          <w:rFonts w:asciiTheme="minorEastAsia" w:hAnsiTheme="minorEastAsia" w:eastAsiaTheme="minorEastAsia"/>
          <w:b w:val="0"/>
          <w:sz w:val="28"/>
          <w:szCs w:val="28"/>
        </w:rPr>
      </w:pPr>
      <w:r>
        <w:rPr>
          <w:rFonts w:hint="eastAsia" w:asciiTheme="minorEastAsia" w:hAnsiTheme="minorEastAsia" w:eastAsiaTheme="minorEastAsia"/>
          <w:b w:val="0"/>
          <w:sz w:val="28"/>
          <w:szCs w:val="28"/>
          <w:lang w:val="en-US" w:eastAsia="zh-CN"/>
        </w:rPr>
        <w:t>(5)</w:t>
      </w:r>
      <w:r>
        <w:rPr>
          <w:rFonts w:hint="eastAsia" w:asciiTheme="minorEastAsia" w:hAnsiTheme="minorEastAsia" w:eastAsiaTheme="minorEastAsia"/>
          <w:b w:val="0"/>
          <w:sz w:val="28"/>
          <w:szCs w:val="28"/>
        </w:rPr>
        <w:t>研制的装置工作可靠，体积小巧，可选择安装在发电机组内部，不影响原有油机的正常工作条件，也可选择便携式单人携带设计，提高应用范围。</w:t>
      </w:r>
    </w:p>
    <w:p>
      <w:pPr>
        <w:adjustRightInd w:val="0"/>
        <w:snapToGrid w:val="0"/>
        <w:spacing w:line="360" w:lineRule="auto"/>
        <w:outlineLvl w:val="0"/>
        <w:rPr>
          <w:rFonts w:ascii="宋体" w:cs="Times New Roman"/>
          <w:sz w:val="28"/>
          <w:szCs w:val="28"/>
        </w:rPr>
      </w:pPr>
      <w:r>
        <w:rPr>
          <w:rFonts w:hint="eastAsia" w:asciiTheme="minorEastAsia" w:hAnsiTheme="minorEastAsia" w:eastAsiaTheme="minorEastAsia"/>
          <w:b w:val="0"/>
          <w:sz w:val="28"/>
          <w:szCs w:val="28"/>
          <w:lang w:val="en-US" w:eastAsia="zh-CN"/>
        </w:rPr>
        <w:t>(6)</w:t>
      </w:r>
      <w:r>
        <w:rPr>
          <w:rFonts w:hint="eastAsia" w:ascii="宋体" w:hAnsi="宋体" w:cs="宋体"/>
          <w:sz w:val="28"/>
          <w:szCs w:val="28"/>
        </w:rPr>
        <w:t>材料明细：</w:t>
      </w:r>
    </w:p>
    <w:tbl>
      <w:tblPr>
        <w:tblStyle w:val="13"/>
        <w:tblW w:w="8276" w:type="dxa"/>
        <w:tblInd w:w="-2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17"/>
        <w:gridCol w:w="5149"/>
        <w:gridCol w:w="241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blHeader/>
        </w:trPr>
        <w:tc>
          <w:tcPr>
            <w:tcW w:w="717" w:type="dxa"/>
            <w:tcBorders>
              <w:top w:val="single" w:color="auto" w:sz="12" w:space="0"/>
            </w:tcBorders>
            <w:vAlign w:val="center"/>
          </w:tcPr>
          <w:p>
            <w:pPr>
              <w:spacing w:line="360" w:lineRule="auto"/>
              <w:jc w:val="center"/>
              <w:rPr>
                <w:rFonts w:ascii="宋体" w:cs="宋体"/>
                <w:sz w:val="28"/>
                <w:szCs w:val="28"/>
              </w:rPr>
            </w:pPr>
            <w:r>
              <w:rPr>
                <w:rFonts w:hint="eastAsia" w:ascii="宋体" w:hAnsi="宋体" w:cs="宋体"/>
                <w:sz w:val="28"/>
                <w:szCs w:val="28"/>
              </w:rPr>
              <w:t>序号</w:t>
            </w:r>
          </w:p>
        </w:tc>
        <w:tc>
          <w:tcPr>
            <w:tcW w:w="5149" w:type="dxa"/>
            <w:tcBorders>
              <w:top w:val="single" w:color="auto" w:sz="12" w:space="0"/>
              <w:right w:val="single" w:color="auto" w:sz="4" w:space="0"/>
            </w:tcBorders>
            <w:vAlign w:val="center"/>
          </w:tcPr>
          <w:p>
            <w:pPr>
              <w:spacing w:line="360" w:lineRule="auto"/>
              <w:jc w:val="center"/>
              <w:rPr>
                <w:rFonts w:ascii="宋体" w:cs="宋体"/>
                <w:sz w:val="28"/>
                <w:szCs w:val="28"/>
              </w:rPr>
            </w:pPr>
            <w:r>
              <w:rPr>
                <w:rFonts w:hint="eastAsia" w:ascii="宋体" w:hAnsi="宋体" w:cs="宋体"/>
                <w:sz w:val="28"/>
                <w:szCs w:val="28"/>
              </w:rPr>
              <w:t>名</w:t>
            </w:r>
            <w:r>
              <w:rPr>
                <w:rFonts w:ascii="宋体" w:hAnsi="宋体" w:cs="宋体"/>
                <w:sz w:val="28"/>
                <w:szCs w:val="28"/>
              </w:rPr>
              <w:t xml:space="preserve">  </w:t>
            </w:r>
            <w:r>
              <w:rPr>
                <w:rFonts w:hint="eastAsia" w:ascii="宋体" w:hAnsi="宋体" w:cs="宋体"/>
                <w:sz w:val="28"/>
                <w:szCs w:val="28"/>
              </w:rPr>
              <w:t>称</w:t>
            </w:r>
          </w:p>
        </w:tc>
        <w:tc>
          <w:tcPr>
            <w:tcW w:w="2410" w:type="dxa"/>
            <w:tcBorders>
              <w:top w:val="single" w:color="auto" w:sz="12" w:space="0"/>
              <w:right w:val="single" w:color="auto" w:sz="4" w:space="0"/>
            </w:tcBorders>
            <w:vAlign w:val="center"/>
          </w:tcPr>
          <w:p>
            <w:pPr>
              <w:spacing w:line="360" w:lineRule="auto"/>
              <w:jc w:val="center"/>
              <w:rPr>
                <w:rFonts w:ascii="宋体" w:cs="宋体"/>
                <w:sz w:val="28"/>
                <w:szCs w:val="28"/>
              </w:rPr>
            </w:pPr>
            <w:r>
              <w:rPr>
                <w:rFonts w:hint="eastAsia" w:ascii="宋体" w:hAnsi="宋体" w:cs="宋体"/>
                <w:sz w:val="28"/>
                <w:szCs w:val="28"/>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717" w:type="dxa"/>
          </w:tcPr>
          <w:p>
            <w:pPr>
              <w:spacing w:line="360" w:lineRule="auto"/>
              <w:jc w:val="center"/>
              <w:rPr>
                <w:rFonts w:ascii="宋体" w:hAnsi="宋体" w:cs="宋体"/>
                <w:sz w:val="28"/>
                <w:szCs w:val="28"/>
              </w:rPr>
            </w:pPr>
            <w:r>
              <w:rPr>
                <w:rFonts w:ascii="宋体" w:hAnsi="宋体" w:cs="宋体"/>
                <w:sz w:val="28"/>
                <w:szCs w:val="28"/>
              </w:rPr>
              <w:t>1</w:t>
            </w:r>
          </w:p>
        </w:tc>
        <w:tc>
          <w:tcPr>
            <w:tcW w:w="5149" w:type="dxa"/>
            <w:tcBorders>
              <w:right w:val="single" w:color="auto" w:sz="4" w:space="0"/>
            </w:tcBorders>
          </w:tcPr>
          <w:p>
            <w:pPr>
              <w:spacing w:line="360" w:lineRule="auto"/>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程控式电子负载模块</w:t>
            </w:r>
          </w:p>
        </w:tc>
        <w:tc>
          <w:tcPr>
            <w:tcW w:w="2410" w:type="dxa"/>
            <w:tcBorders>
              <w:right w:val="single" w:color="auto" w:sz="4" w:space="0"/>
            </w:tcBorders>
          </w:tcPr>
          <w:p>
            <w:pPr>
              <w:spacing w:line="360" w:lineRule="auto"/>
              <w:jc w:val="center"/>
              <w:rPr>
                <w:rFonts w:ascii="宋体" w:cs="宋体"/>
                <w:sz w:val="28"/>
                <w:szCs w:val="28"/>
              </w:rPr>
            </w:pPr>
            <w:r>
              <w:rPr>
                <w:rFonts w:ascii="宋体" w:hAnsi="宋体" w:cs="宋体"/>
                <w:sz w:val="28"/>
                <w:szCs w:val="28"/>
              </w:rPr>
              <w:t>1</w:t>
            </w:r>
            <w:r>
              <w:rPr>
                <w:rFonts w:hint="eastAsia" w:ascii="宋体" w:hAnsi="宋体" w:cs="宋体"/>
                <w:sz w:val="28"/>
                <w:szCs w:val="28"/>
              </w:rPr>
              <w:t>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717" w:type="dxa"/>
          </w:tcPr>
          <w:p>
            <w:pPr>
              <w:spacing w:line="360" w:lineRule="auto"/>
              <w:jc w:val="center"/>
              <w:rPr>
                <w:rFonts w:ascii="宋体" w:hAnsi="宋体" w:cs="宋体"/>
                <w:sz w:val="28"/>
                <w:szCs w:val="28"/>
              </w:rPr>
            </w:pPr>
            <w:r>
              <w:rPr>
                <w:rFonts w:ascii="宋体" w:hAnsi="宋体" w:cs="宋体"/>
                <w:sz w:val="28"/>
                <w:szCs w:val="28"/>
              </w:rPr>
              <w:t>2</w:t>
            </w:r>
          </w:p>
        </w:tc>
        <w:tc>
          <w:tcPr>
            <w:tcW w:w="5149" w:type="dxa"/>
            <w:tcBorders>
              <w:right w:val="single" w:color="auto" w:sz="4" w:space="0"/>
            </w:tcBorders>
            <w:vAlign w:val="center"/>
          </w:tcPr>
          <w:p>
            <w:pPr>
              <w:adjustRightInd w:val="0"/>
              <w:snapToGrid w:val="0"/>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动力电容模组单元</w:t>
            </w:r>
          </w:p>
        </w:tc>
        <w:tc>
          <w:tcPr>
            <w:tcW w:w="2410" w:type="dxa"/>
            <w:tcBorders>
              <w:right w:val="single" w:color="auto" w:sz="4" w:space="0"/>
            </w:tcBorders>
          </w:tcPr>
          <w:p>
            <w:pPr>
              <w:spacing w:line="360" w:lineRule="auto"/>
              <w:jc w:val="center"/>
              <w:rPr>
                <w:rFonts w:ascii="宋体" w:cs="宋体"/>
                <w:sz w:val="28"/>
                <w:szCs w:val="28"/>
              </w:rPr>
            </w:pPr>
            <w:r>
              <w:rPr>
                <w:rFonts w:ascii="宋体" w:hAnsi="宋体" w:cs="宋体"/>
                <w:sz w:val="28"/>
                <w:szCs w:val="28"/>
              </w:rPr>
              <w:t>1</w:t>
            </w:r>
            <w:r>
              <w:rPr>
                <w:rFonts w:hint="eastAsia" w:ascii="宋体" w:hAnsi="宋体" w:cs="宋体"/>
                <w:sz w:val="28"/>
                <w:szCs w:val="28"/>
              </w:rPr>
              <w:t>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717" w:type="dxa"/>
          </w:tcPr>
          <w:p>
            <w:pPr>
              <w:spacing w:line="360" w:lineRule="auto"/>
              <w:jc w:val="center"/>
              <w:rPr>
                <w:rFonts w:ascii="宋体" w:hAnsi="宋体" w:cs="宋体"/>
                <w:sz w:val="28"/>
                <w:szCs w:val="28"/>
              </w:rPr>
            </w:pPr>
            <w:r>
              <w:rPr>
                <w:rFonts w:ascii="宋体" w:hAnsi="宋体" w:cs="宋体"/>
                <w:sz w:val="28"/>
                <w:szCs w:val="28"/>
              </w:rPr>
              <w:t>3</w:t>
            </w:r>
          </w:p>
        </w:tc>
        <w:tc>
          <w:tcPr>
            <w:tcW w:w="5149" w:type="dxa"/>
            <w:tcBorders>
              <w:right w:val="single" w:color="auto" w:sz="4" w:space="0"/>
            </w:tcBorders>
            <w:vAlign w:val="center"/>
          </w:tcPr>
          <w:p>
            <w:pPr>
              <w:spacing w:line="360" w:lineRule="auto"/>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DC/DC模块</w:t>
            </w:r>
          </w:p>
        </w:tc>
        <w:tc>
          <w:tcPr>
            <w:tcW w:w="2410" w:type="dxa"/>
            <w:tcBorders>
              <w:right w:val="single" w:color="auto" w:sz="4" w:space="0"/>
            </w:tcBorders>
            <w:vAlign w:val="center"/>
          </w:tcPr>
          <w:p>
            <w:pPr>
              <w:spacing w:line="360" w:lineRule="auto"/>
              <w:jc w:val="center"/>
              <w:rPr>
                <w:rFonts w:ascii="宋体" w:cs="宋体"/>
                <w:sz w:val="28"/>
                <w:szCs w:val="28"/>
              </w:rPr>
            </w:pPr>
            <w:r>
              <w:rPr>
                <w:rFonts w:ascii="宋体" w:hAnsi="宋体" w:cs="宋体"/>
                <w:sz w:val="28"/>
                <w:szCs w:val="28"/>
              </w:rPr>
              <w:t>1</w:t>
            </w:r>
            <w:r>
              <w:rPr>
                <w:rFonts w:hint="eastAsia" w:ascii="宋体" w:hAnsi="宋体" w:cs="宋体"/>
                <w:sz w:val="28"/>
                <w:szCs w:val="28"/>
              </w:rPr>
              <w:t>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717" w:type="dxa"/>
            <w:vAlign w:val="center"/>
          </w:tcPr>
          <w:p>
            <w:pPr>
              <w:spacing w:line="360" w:lineRule="auto"/>
              <w:jc w:val="center"/>
              <w:rPr>
                <w:rFonts w:ascii="宋体" w:hAnsi="宋体" w:cs="宋体"/>
                <w:sz w:val="28"/>
                <w:szCs w:val="28"/>
              </w:rPr>
            </w:pPr>
            <w:r>
              <w:rPr>
                <w:rFonts w:ascii="宋体" w:hAnsi="宋体" w:cs="宋体"/>
                <w:sz w:val="28"/>
                <w:szCs w:val="28"/>
              </w:rPr>
              <w:t>4</w:t>
            </w:r>
          </w:p>
        </w:tc>
        <w:tc>
          <w:tcPr>
            <w:tcW w:w="5149" w:type="dxa"/>
            <w:tcBorders>
              <w:right w:val="single" w:color="auto" w:sz="4" w:space="0"/>
            </w:tcBorders>
          </w:tcPr>
          <w:p>
            <w:pPr>
              <w:spacing w:line="360" w:lineRule="auto"/>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定制壳体</w:t>
            </w:r>
          </w:p>
        </w:tc>
        <w:tc>
          <w:tcPr>
            <w:tcW w:w="2410" w:type="dxa"/>
            <w:tcBorders>
              <w:right w:val="single" w:color="auto" w:sz="4" w:space="0"/>
            </w:tcBorders>
          </w:tcPr>
          <w:p>
            <w:pPr>
              <w:spacing w:line="360" w:lineRule="auto"/>
              <w:jc w:val="center"/>
              <w:rPr>
                <w:rFonts w:ascii="宋体" w:cs="宋体"/>
                <w:sz w:val="28"/>
                <w:szCs w:val="28"/>
              </w:rPr>
            </w:pPr>
            <w:r>
              <w:rPr>
                <w:rFonts w:ascii="宋体" w:hAnsi="宋体" w:cs="宋体"/>
                <w:sz w:val="28"/>
                <w:szCs w:val="28"/>
              </w:rPr>
              <w:t>1</w:t>
            </w:r>
            <w:r>
              <w:rPr>
                <w:rFonts w:hint="eastAsia" w:ascii="宋体" w:hAnsi="宋体" w:cs="宋体"/>
                <w:sz w:val="28"/>
                <w:szCs w:val="28"/>
              </w:rPr>
              <w:t>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717" w:type="dxa"/>
          </w:tcPr>
          <w:p>
            <w:pPr>
              <w:spacing w:line="360" w:lineRule="auto"/>
              <w:jc w:val="center"/>
              <w:rPr>
                <w:rFonts w:ascii="宋体" w:hAnsi="宋体" w:cs="宋体"/>
                <w:sz w:val="28"/>
                <w:szCs w:val="28"/>
              </w:rPr>
            </w:pPr>
            <w:r>
              <w:rPr>
                <w:rFonts w:ascii="宋体" w:hAnsi="宋体" w:cs="宋体"/>
                <w:sz w:val="28"/>
                <w:szCs w:val="28"/>
              </w:rPr>
              <w:t>5</w:t>
            </w:r>
          </w:p>
        </w:tc>
        <w:tc>
          <w:tcPr>
            <w:tcW w:w="5149" w:type="dxa"/>
            <w:tcBorders>
              <w:right w:val="single" w:color="auto" w:sz="4" w:space="0"/>
            </w:tcBorders>
          </w:tcPr>
          <w:p>
            <w:pPr>
              <w:spacing w:line="360" w:lineRule="auto"/>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电池/电容双模充放电管理模组</w:t>
            </w:r>
          </w:p>
        </w:tc>
        <w:tc>
          <w:tcPr>
            <w:tcW w:w="2410" w:type="dxa"/>
            <w:tcBorders>
              <w:right w:val="single" w:color="auto" w:sz="4" w:space="0"/>
            </w:tcBorders>
          </w:tcPr>
          <w:p>
            <w:pPr>
              <w:spacing w:line="360" w:lineRule="auto"/>
              <w:jc w:val="center"/>
              <w:rPr>
                <w:rFonts w:ascii="宋体" w:cs="宋体"/>
                <w:sz w:val="28"/>
                <w:szCs w:val="28"/>
              </w:rPr>
            </w:pPr>
            <w:r>
              <w:rPr>
                <w:rFonts w:ascii="宋体" w:hAnsi="宋体" w:cs="宋体"/>
                <w:sz w:val="28"/>
                <w:szCs w:val="28"/>
              </w:rPr>
              <w:t>1</w:t>
            </w:r>
            <w:r>
              <w:rPr>
                <w:rFonts w:hint="eastAsia" w:ascii="宋体" w:hAnsi="宋体" w:cs="宋体"/>
                <w:sz w:val="28"/>
                <w:szCs w:val="28"/>
              </w:rPr>
              <w:t>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717" w:type="dxa"/>
          </w:tcPr>
          <w:p>
            <w:pPr>
              <w:spacing w:line="360" w:lineRule="auto"/>
              <w:jc w:val="center"/>
              <w:rPr>
                <w:rFonts w:ascii="宋体" w:hAnsi="宋体" w:cs="宋体"/>
                <w:sz w:val="28"/>
                <w:szCs w:val="28"/>
              </w:rPr>
            </w:pPr>
            <w:r>
              <w:rPr>
                <w:rFonts w:hint="eastAsia" w:ascii="宋体" w:hAnsi="宋体" w:cs="宋体"/>
                <w:sz w:val="28"/>
                <w:szCs w:val="28"/>
              </w:rPr>
              <w:t>6</w:t>
            </w:r>
          </w:p>
        </w:tc>
        <w:tc>
          <w:tcPr>
            <w:tcW w:w="5149" w:type="dxa"/>
            <w:tcBorders>
              <w:right w:val="single" w:color="auto" w:sz="4" w:space="0"/>
            </w:tcBorders>
          </w:tcPr>
          <w:p>
            <w:pPr>
              <w:spacing w:line="360" w:lineRule="auto"/>
              <w:jc w:val="center"/>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控制和保护电路插件</w:t>
            </w:r>
          </w:p>
        </w:tc>
        <w:tc>
          <w:tcPr>
            <w:tcW w:w="2410" w:type="dxa"/>
            <w:tcBorders>
              <w:right w:val="single" w:color="auto" w:sz="4" w:space="0"/>
            </w:tcBorders>
          </w:tcPr>
          <w:p>
            <w:pPr>
              <w:spacing w:line="360" w:lineRule="auto"/>
              <w:jc w:val="center"/>
              <w:rPr>
                <w:rFonts w:ascii="宋体" w:hAnsi="宋体" w:cs="宋体"/>
                <w:sz w:val="28"/>
                <w:szCs w:val="28"/>
              </w:rPr>
            </w:pPr>
            <w:r>
              <w:rPr>
                <w:rFonts w:ascii="宋体" w:hAnsi="宋体" w:cs="宋体"/>
                <w:sz w:val="28"/>
                <w:szCs w:val="28"/>
              </w:rPr>
              <w:t>1</w:t>
            </w:r>
            <w:r>
              <w:rPr>
                <w:rFonts w:hint="eastAsia" w:ascii="宋体" w:hAnsi="宋体" w:cs="宋体"/>
                <w:sz w:val="28"/>
                <w:szCs w:val="28"/>
              </w:rPr>
              <w:t>套</w:t>
            </w:r>
          </w:p>
        </w:tc>
      </w:tr>
    </w:tbl>
    <w:p>
      <w:pPr>
        <w:rPr>
          <w:rFonts w:cs="Times New Roman"/>
        </w:rPr>
      </w:pPr>
    </w:p>
    <w:p>
      <w:pPr>
        <w:numPr>
          <w:ilvl w:val="0"/>
          <w:numId w:val="1"/>
        </w:numPr>
        <w:spacing w:before="0" w:beforeAutospacing="0" w:after="0" w:afterAutospacing="0" w:line="540" w:lineRule="exact"/>
        <w:ind w:left="0" w:leftChars="0" w:firstLine="420" w:firstLineChars="0"/>
        <w:rPr>
          <w:rFonts w:hint="eastAsia" w:ascii="宋体" w:hAnsi="宋体" w:eastAsia="宋体" w:cs="宋体"/>
          <w:b/>
          <w:bCs/>
          <w:sz w:val="28"/>
          <w:szCs w:val="24"/>
          <w:lang w:val="en-US" w:eastAsia="zh-CN" w:bidi="ar-SA"/>
        </w:rPr>
      </w:pPr>
      <w:r>
        <w:rPr>
          <w:rFonts w:hint="eastAsia" w:ascii="宋体" w:hAnsi="宋体" w:eastAsia="宋体" w:cs="宋体"/>
          <w:b/>
          <w:bCs/>
          <w:sz w:val="28"/>
          <w:szCs w:val="24"/>
          <w:lang w:val="en-US" w:eastAsia="zh-CN" w:bidi="ar-SA"/>
        </w:rPr>
        <w:t>其他要求：</w:t>
      </w:r>
    </w:p>
    <w:p>
      <w:pPr>
        <w:numPr>
          <w:ilvl w:val="0"/>
          <w:numId w:val="3"/>
        </w:numPr>
        <w:spacing w:before="0" w:beforeAutospacing="0" w:after="0" w:afterAutospacing="0" w:line="540" w:lineRule="exact"/>
        <w:ind w:left="420" w:leftChars="0" w:firstLine="540" w:firstLineChars="225"/>
        <w:rPr>
          <w:rFonts w:hint="eastAsia" w:ascii="宋体" w:hAnsi="宋体" w:eastAsia="宋体" w:cs="宋体"/>
          <w:sz w:val="24"/>
          <w:szCs w:val="24"/>
        </w:rPr>
      </w:pPr>
      <w:r>
        <w:rPr>
          <w:rFonts w:hint="eastAsia" w:ascii="宋体" w:hAnsi="宋体" w:cs="宋体"/>
          <w:sz w:val="24"/>
          <w:szCs w:val="24"/>
          <w:lang w:eastAsia="zh-CN"/>
        </w:rPr>
        <w:t>服</w:t>
      </w:r>
      <w:r>
        <w:rPr>
          <w:rFonts w:hint="eastAsia" w:ascii="宋体" w:hAnsi="宋体" w:eastAsia="宋体" w:cs="宋体"/>
          <w:sz w:val="24"/>
          <w:szCs w:val="24"/>
        </w:rPr>
        <w:t>务单位应明确项目负责人及其联系方式，并告知采购方项目负责人。</w:t>
      </w:r>
    </w:p>
    <w:p>
      <w:pPr>
        <w:numPr>
          <w:ilvl w:val="0"/>
          <w:numId w:val="3"/>
        </w:numPr>
        <w:spacing w:before="0" w:beforeAutospacing="0" w:after="0" w:afterAutospacing="0" w:line="540" w:lineRule="exact"/>
        <w:ind w:left="420" w:leftChars="0" w:firstLine="540" w:firstLineChars="225"/>
        <w:rPr>
          <w:rFonts w:ascii="宋体" w:hAnsi="宋体" w:eastAsia="宋体" w:cs="宋体"/>
          <w:sz w:val="24"/>
          <w:szCs w:val="24"/>
        </w:rPr>
      </w:pPr>
      <w:r>
        <w:rPr>
          <w:rFonts w:hint="eastAsia" w:ascii="宋体" w:hAnsi="宋体" w:eastAsia="宋体" w:cs="宋体"/>
          <w:sz w:val="24"/>
          <w:szCs w:val="24"/>
        </w:rPr>
        <w:t>服务单位应在规定时间内完成本协议的工作内容，并符合国家相关规范和建设单位的使用要求。</w:t>
      </w:r>
    </w:p>
    <w:p>
      <w:pPr>
        <w:numPr>
          <w:ilvl w:val="0"/>
          <w:numId w:val="3"/>
        </w:numPr>
        <w:spacing w:before="0" w:beforeAutospacing="0" w:after="0" w:afterAutospacing="0" w:line="540" w:lineRule="exact"/>
        <w:ind w:left="420" w:leftChars="0" w:firstLine="540" w:firstLineChars="225"/>
        <w:rPr>
          <w:rFonts w:ascii="宋体" w:hAnsi="宋体" w:eastAsia="宋体" w:cs="宋体"/>
          <w:sz w:val="24"/>
          <w:szCs w:val="24"/>
        </w:rPr>
      </w:pPr>
      <w:r>
        <w:rPr>
          <w:rFonts w:hint="eastAsia" w:ascii="宋体" w:hAnsi="宋体" w:eastAsia="宋体" w:cs="宋体"/>
          <w:sz w:val="24"/>
          <w:szCs w:val="24"/>
        </w:rPr>
        <w:t>本项目的结算方式为“总价包干”。</w:t>
      </w:r>
    </w:p>
    <w:p>
      <w:pPr>
        <w:spacing w:line="360" w:lineRule="auto"/>
        <w:ind w:firstLine="280" w:firstLineChars="100"/>
        <w:rPr>
          <w:rFonts w:ascii="宋体"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732EDA"/>
    <w:multiLevelType w:val="singleLevel"/>
    <w:tmpl w:val="E9732EDA"/>
    <w:lvl w:ilvl="0" w:tentative="0">
      <w:start w:val="1"/>
      <w:numFmt w:val="decimal"/>
      <w:lvlText w:val="%1."/>
      <w:lvlJc w:val="left"/>
      <w:pPr>
        <w:tabs>
          <w:tab w:val="left" w:pos="312"/>
        </w:tabs>
      </w:pPr>
    </w:lvl>
  </w:abstractNum>
  <w:abstractNum w:abstractNumId="1">
    <w:nsid w:val="FB656EE4"/>
    <w:multiLevelType w:val="singleLevel"/>
    <w:tmpl w:val="FB656EE4"/>
    <w:lvl w:ilvl="0" w:tentative="0">
      <w:start w:val="1"/>
      <w:numFmt w:val="chineseCounting"/>
      <w:suff w:val="nothing"/>
      <w:lvlText w:val="（%1）"/>
      <w:lvlJc w:val="left"/>
      <w:pPr>
        <w:ind w:left="0" w:firstLine="420"/>
      </w:pPr>
      <w:rPr>
        <w:rFonts w:hint="eastAsia"/>
      </w:rPr>
    </w:lvl>
  </w:abstractNum>
  <w:abstractNum w:abstractNumId="2">
    <w:nsid w:val="651474EE"/>
    <w:multiLevelType w:val="multilevel"/>
    <w:tmpl w:val="651474EE"/>
    <w:lvl w:ilvl="0" w:tentative="0">
      <w:start w:val="1"/>
      <w:numFmt w:val="decimalEnclosedParen"/>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3B32BA"/>
    <w:rsid w:val="0000347D"/>
    <w:rsid w:val="0009249A"/>
    <w:rsid w:val="00096618"/>
    <w:rsid w:val="000C33C6"/>
    <w:rsid w:val="000C5062"/>
    <w:rsid w:val="000C6D20"/>
    <w:rsid w:val="000E5E5B"/>
    <w:rsid w:val="00132F0B"/>
    <w:rsid w:val="001363AE"/>
    <w:rsid w:val="00192F60"/>
    <w:rsid w:val="001A16E8"/>
    <w:rsid w:val="001A29E4"/>
    <w:rsid w:val="001B5C1B"/>
    <w:rsid w:val="001C071B"/>
    <w:rsid w:val="001F2393"/>
    <w:rsid w:val="00237B17"/>
    <w:rsid w:val="00247EF5"/>
    <w:rsid w:val="002A091D"/>
    <w:rsid w:val="002F34D6"/>
    <w:rsid w:val="002F40C4"/>
    <w:rsid w:val="00304E19"/>
    <w:rsid w:val="00316F10"/>
    <w:rsid w:val="00325613"/>
    <w:rsid w:val="00336DA9"/>
    <w:rsid w:val="003B32BA"/>
    <w:rsid w:val="003C03FC"/>
    <w:rsid w:val="003E71BC"/>
    <w:rsid w:val="003F4752"/>
    <w:rsid w:val="00422C98"/>
    <w:rsid w:val="004317CE"/>
    <w:rsid w:val="00445676"/>
    <w:rsid w:val="00546C0B"/>
    <w:rsid w:val="00555852"/>
    <w:rsid w:val="00563C21"/>
    <w:rsid w:val="005649F5"/>
    <w:rsid w:val="00595B84"/>
    <w:rsid w:val="005B1254"/>
    <w:rsid w:val="005C6A9C"/>
    <w:rsid w:val="005D0AA3"/>
    <w:rsid w:val="005D61BC"/>
    <w:rsid w:val="005E4095"/>
    <w:rsid w:val="005F591F"/>
    <w:rsid w:val="00624B7F"/>
    <w:rsid w:val="00625359"/>
    <w:rsid w:val="00651E02"/>
    <w:rsid w:val="00660D42"/>
    <w:rsid w:val="00671434"/>
    <w:rsid w:val="006737E9"/>
    <w:rsid w:val="00674768"/>
    <w:rsid w:val="00674817"/>
    <w:rsid w:val="006B0D3C"/>
    <w:rsid w:val="006C3DD3"/>
    <w:rsid w:val="006E0B10"/>
    <w:rsid w:val="006F1AC4"/>
    <w:rsid w:val="006F3375"/>
    <w:rsid w:val="00730762"/>
    <w:rsid w:val="007C1326"/>
    <w:rsid w:val="007E1334"/>
    <w:rsid w:val="007F00DD"/>
    <w:rsid w:val="008141A7"/>
    <w:rsid w:val="00814E3B"/>
    <w:rsid w:val="0089374A"/>
    <w:rsid w:val="008B1182"/>
    <w:rsid w:val="008B5568"/>
    <w:rsid w:val="008B5D75"/>
    <w:rsid w:val="008C01CF"/>
    <w:rsid w:val="008D02D7"/>
    <w:rsid w:val="008F3AAC"/>
    <w:rsid w:val="0090265A"/>
    <w:rsid w:val="009771F7"/>
    <w:rsid w:val="009A5C63"/>
    <w:rsid w:val="009D1371"/>
    <w:rsid w:val="009E648D"/>
    <w:rsid w:val="00A1149B"/>
    <w:rsid w:val="00A251D6"/>
    <w:rsid w:val="00A80C4A"/>
    <w:rsid w:val="00AC2704"/>
    <w:rsid w:val="00B0475A"/>
    <w:rsid w:val="00B618A5"/>
    <w:rsid w:val="00B723F3"/>
    <w:rsid w:val="00B917D5"/>
    <w:rsid w:val="00BF7B63"/>
    <w:rsid w:val="00C12DD9"/>
    <w:rsid w:val="00C14438"/>
    <w:rsid w:val="00C17B3B"/>
    <w:rsid w:val="00C21DFD"/>
    <w:rsid w:val="00C43928"/>
    <w:rsid w:val="00C53027"/>
    <w:rsid w:val="00CD7AC5"/>
    <w:rsid w:val="00CF0829"/>
    <w:rsid w:val="00D0788D"/>
    <w:rsid w:val="00D62F0D"/>
    <w:rsid w:val="00D824AA"/>
    <w:rsid w:val="00DA5389"/>
    <w:rsid w:val="00DD5357"/>
    <w:rsid w:val="00DD7A0B"/>
    <w:rsid w:val="00DF7A7C"/>
    <w:rsid w:val="00E30A8F"/>
    <w:rsid w:val="00E33F81"/>
    <w:rsid w:val="00EF235F"/>
    <w:rsid w:val="00EF68A3"/>
    <w:rsid w:val="00F11173"/>
    <w:rsid w:val="00F22709"/>
    <w:rsid w:val="00F3597B"/>
    <w:rsid w:val="00F512B2"/>
    <w:rsid w:val="00F524B0"/>
    <w:rsid w:val="00F56982"/>
    <w:rsid w:val="00F82C64"/>
    <w:rsid w:val="00FB34BD"/>
    <w:rsid w:val="00FC21C5"/>
    <w:rsid w:val="00FF07F2"/>
    <w:rsid w:val="00FF2E87"/>
    <w:rsid w:val="072C5972"/>
    <w:rsid w:val="095F4F6E"/>
    <w:rsid w:val="0C8711CC"/>
    <w:rsid w:val="12662F8B"/>
    <w:rsid w:val="15AD5F8B"/>
    <w:rsid w:val="18BA72FD"/>
    <w:rsid w:val="1E243617"/>
    <w:rsid w:val="220E6F1E"/>
    <w:rsid w:val="2635270A"/>
    <w:rsid w:val="267D55BB"/>
    <w:rsid w:val="274A7088"/>
    <w:rsid w:val="2E712A6A"/>
    <w:rsid w:val="30A06540"/>
    <w:rsid w:val="3B9F4427"/>
    <w:rsid w:val="3E8308D2"/>
    <w:rsid w:val="4A6E1422"/>
    <w:rsid w:val="4CD25091"/>
    <w:rsid w:val="54345304"/>
    <w:rsid w:val="572A4459"/>
    <w:rsid w:val="5B714AE5"/>
    <w:rsid w:val="6678672C"/>
    <w:rsid w:val="68AD6BB7"/>
    <w:rsid w:val="749234CF"/>
    <w:rsid w:val="75EC3368"/>
    <w:rsid w:val="7C2A1172"/>
    <w:rsid w:val="7D420F4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link w:val="17"/>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18"/>
    <w:qFormat/>
    <w:uiPriority w:val="99"/>
    <w:pPr>
      <w:keepNext/>
      <w:keepLines/>
      <w:spacing w:before="260" w:after="260" w:line="416" w:lineRule="auto"/>
      <w:outlineLvl w:val="1"/>
    </w:pPr>
    <w:rPr>
      <w:rFonts w:ascii="Cambria" w:hAnsi="Cambria" w:cs="Cambria"/>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1"/>
    <w:semiHidden/>
    <w:qFormat/>
    <w:uiPriority w:val="99"/>
    <w:rPr>
      <w:rFonts w:ascii="宋体"/>
      <w:sz w:val="18"/>
      <w:szCs w:val="18"/>
    </w:rPr>
  </w:style>
  <w:style w:type="paragraph" w:styleId="5">
    <w:name w:val="Normal Indent"/>
    <w:basedOn w:val="1"/>
    <w:qFormat/>
    <w:uiPriority w:val="0"/>
    <w:pPr>
      <w:ind w:firstLine="420"/>
    </w:pPr>
    <w:rPr>
      <w:rFonts w:ascii="Times New Roman" w:hAnsi="Times New Roman" w:cs="Times New Roman"/>
      <w:kern w:val="0"/>
      <w:sz w:val="28"/>
      <w:szCs w:val="20"/>
    </w:rPr>
  </w:style>
  <w:style w:type="paragraph" w:styleId="6">
    <w:name w:val="Body Text"/>
    <w:basedOn w:val="7"/>
    <w:next w:val="7"/>
    <w:link w:val="19"/>
    <w:qFormat/>
    <w:uiPriority w:val="99"/>
    <w:pPr>
      <w:spacing w:after="120"/>
    </w:pPr>
  </w:style>
  <w:style w:type="paragraph" w:styleId="7">
    <w:name w:val="Title"/>
    <w:basedOn w:val="1"/>
    <w:next w:val="1"/>
    <w:link w:val="20"/>
    <w:qFormat/>
    <w:uiPriority w:val="99"/>
    <w:pPr>
      <w:jc w:val="center"/>
      <w:outlineLvl w:val="0"/>
    </w:pPr>
    <w:rPr>
      <w:rFonts w:ascii="Arial" w:hAnsi="Arial" w:cs="Arial"/>
      <w:b/>
      <w:bCs/>
      <w:sz w:val="32"/>
      <w:szCs w:val="32"/>
    </w:rPr>
  </w:style>
  <w:style w:type="paragraph" w:styleId="8">
    <w:name w:val="Balloon Text"/>
    <w:basedOn w:val="1"/>
    <w:link w:val="21"/>
    <w:semiHidden/>
    <w:qFormat/>
    <w:uiPriority w:val="99"/>
    <w:rPr>
      <w:sz w:val="18"/>
      <w:szCs w:val="18"/>
    </w:rPr>
  </w:style>
  <w:style w:type="paragraph" w:styleId="9">
    <w:name w:val="footer"/>
    <w:basedOn w:val="1"/>
    <w:link w:val="22"/>
    <w:qFormat/>
    <w:uiPriority w:val="99"/>
    <w:pPr>
      <w:tabs>
        <w:tab w:val="center" w:pos="4153"/>
        <w:tab w:val="right" w:pos="8306"/>
      </w:tabs>
      <w:snapToGrid w:val="0"/>
      <w:jc w:val="left"/>
    </w:pPr>
    <w:rPr>
      <w:sz w:val="18"/>
      <w:szCs w:val="18"/>
    </w:rPr>
  </w:style>
  <w:style w:type="paragraph" w:styleId="10">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semiHidden/>
    <w:qFormat/>
    <w:uiPriority w:val="99"/>
  </w:style>
  <w:style w:type="paragraph" w:styleId="12">
    <w:name w:val="toc 2"/>
    <w:basedOn w:val="1"/>
    <w:next w:val="1"/>
    <w:semiHidden/>
    <w:qFormat/>
    <w:uiPriority w:val="99"/>
    <w:pPr>
      <w:ind w:left="420" w:leftChars="200"/>
    </w:pPr>
  </w:style>
  <w:style w:type="table" w:styleId="14">
    <w:name w:val="Table Grid"/>
    <w:basedOn w:val="1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basedOn w:val="15"/>
    <w:qFormat/>
    <w:uiPriority w:val="99"/>
    <w:rPr>
      <w:color w:val="0000FF"/>
      <w:u w:val="single"/>
    </w:rPr>
  </w:style>
  <w:style w:type="character" w:customStyle="1" w:styleId="17">
    <w:name w:val="标题 1 Char"/>
    <w:basedOn w:val="15"/>
    <w:link w:val="3"/>
    <w:qFormat/>
    <w:locked/>
    <w:uiPriority w:val="99"/>
    <w:rPr>
      <w:b/>
      <w:bCs/>
      <w:kern w:val="44"/>
      <w:sz w:val="44"/>
      <w:szCs w:val="44"/>
    </w:rPr>
  </w:style>
  <w:style w:type="character" w:customStyle="1" w:styleId="18">
    <w:name w:val="标题 2 Char"/>
    <w:basedOn w:val="15"/>
    <w:link w:val="4"/>
    <w:qFormat/>
    <w:locked/>
    <w:uiPriority w:val="99"/>
    <w:rPr>
      <w:rFonts w:ascii="Cambria" w:hAnsi="Cambria" w:eastAsia="宋体" w:cs="Cambria"/>
      <w:b/>
      <w:bCs/>
      <w:sz w:val="32"/>
      <w:szCs w:val="32"/>
    </w:rPr>
  </w:style>
  <w:style w:type="character" w:customStyle="1" w:styleId="19">
    <w:name w:val="正文文本 Char"/>
    <w:basedOn w:val="15"/>
    <w:link w:val="6"/>
    <w:semiHidden/>
    <w:qFormat/>
    <w:uiPriority w:val="99"/>
    <w:rPr>
      <w:rFonts w:ascii="Calibri" w:hAnsi="Calibri" w:cs="Calibri"/>
      <w:szCs w:val="21"/>
    </w:rPr>
  </w:style>
  <w:style w:type="character" w:customStyle="1" w:styleId="20">
    <w:name w:val="标题 Char"/>
    <w:basedOn w:val="15"/>
    <w:link w:val="7"/>
    <w:qFormat/>
    <w:uiPriority w:val="10"/>
    <w:rPr>
      <w:rFonts w:ascii="Cambria" w:hAnsi="Cambria" w:cs="Times New Roman"/>
      <w:b/>
      <w:bCs/>
      <w:sz w:val="32"/>
      <w:szCs w:val="32"/>
    </w:rPr>
  </w:style>
  <w:style w:type="character" w:customStyle="1" w:styleId="21">
    <w:name w:val="批注框文本 Char"/>
    <w:basedOn w:val="15"/>
    <w:link w:val="8"/>
    <w:semiHidden/>
    <w:qFormat/>
    <w:locked/>
    <w:uiPriority w:val="99"/>
    <w:rPr>
      <w:sz w:val="18"/>
      <w:szCs w:val="18"/>
    </w:rPr>
  </w:style>
  <w:style w:type="character" w:customStyle="1" w:styleId="22">
    <w:name w:val="页脚 Char"/>
    <w:basedOn w:val="15"/>
    <w:link w:val="9"/>
    <w:qFormat/>
    <w:locked/>
    <w:uiPriority w:val="99"/>
    <w:rPr>
      <w:sz w:val="18"/>
      <w:szCs w:val="18"/>
    </w:rPr>
  </w:style>
  <w:style w:type="character" w:customStyle="1" w:styleId="23">
    <w:name w:val="页眉 Char"/>
    <w:basedOn w:val="15"/>
    <w:link w:val="10"/>
    <w:qFormat/>
    <w:locked/>
    <w:uiPriority w:val="99"/>
    <w:rPr>
      <w:sz w:val="18"/>
      <w:szCs w:val="18"/>
    </w:rPr>
  </w:style>
  <w:style w:type="paragraph" w:customStyle="1" w:styleId="24">
    <w:name w:val="TOC 标题1"/>
    <w:basedOn w:val="3"/>
    <w:next w:val="1"/>
    <w:semiHidden/>
    <w:qFormat/>
    <w:uiPriority w:val="99"/>
    <w:pPr>
      <w:widowControl/>
      <w:spacing w:before="480" w:after="0" w:line="276" w:lineRule="auto"/>
      <w:jc w:val="left"/>
      <w:outlineLvl w:val="9"/>
    </w:pPr>
    <w:rPr>
      <w:rFonts w:ascii="Cambria" w:hAnsi="Cambria" w:cs="Cambria"/>
      <w:color w:val="365F91"/>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9</Pages>
  <Words>2935</Words>
  <Characters>3249</Characters>
  <Lines>9</Lines>
  <Paragraphs>8</Paragraphs>
  <TotalTime>1</TotalTime>
  <ScaleCrop>false</ScaleCrop>
  <LinksUpToDate>false</LinksUpToDate>
  <CharactersWithSpaces>3397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2025-10-13T06:03:00Z</dcterms:created>
  <dc:creator>admin</dc:creator>
  <cp:lastModifiedBy>xxzx</cp:lastModifiedBy>
  <dcterms:modified xsi:type="dcterms:W3CDTF">2025-10-28T17:56:59Z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KSOTemplateDocerSaveRecord">
    <vt:lpwstr>eyJoZGlkIjoiZjYwZDk0NWVlNmI3ZDljOWVkNzM4ODAxYjUzMDQ3OTUifQ==</vt:lpwstr>
  </property>
  <property fmtid="{D5CDD505-2E9C-101B-9397-08002B2CF9AE}" pid="4" name="ICV">
    <vt:lpwstr>E8BF1FD415C9415887CE5A38E8FDEC37_12</vt:lpwstr>
  </property>
</Properties>
</file>