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36F95D">
      <w:pPr>
        <w:jc w:val="center"/>
        <w:rPr>
          <w:rFonts w:ascii="宋体" w:hAnsi="宋体" w:cs="宋体"/>
          <w:sz w:val="44"/>
        </w:rPr>
      </w:pPr>
      <w:bookmarkStart w:id="0" w:name="_Toc98920284"/>
    </w:p>
    <w:p w14:paraId="5F2E4B58">
      <w:pPr>
        <w:jc w:val="center"/>
        <w:rPr>
          <w:rFonts w:hint="eastAsia"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</w:rPr>
        <w:t>10kV开关小车防坠护盾加工服务</w:t>
      </w:r>
    </w:p>
    <w:p w14:paraId="2BA28FAD">
      <w:pPr>
        <w:jc w:val="center"/>
        <w:rPr>
          <w:rFonts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</w:rPr>
        <w:t>技术规范书</w:t>
      </w:r>
    </w:p>
    <w:p w14:paraId="0916FA28">
      <w:pPr>
        <w:rPr>
          <w:rFonts w:ascii="宋体" w:hAnsi="宋体" w:cs="宋体"/>
          <w:sz w:val="28"/>
        </w:rPr>
      </w:pPr>
    </w:p>
    <w:p w14:paraId="5F88934B">
      <w:pPr>
        <w:jc w:val="center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 xml:space="preserve">  </w:t>
      </w:r>
    </w:p>
    <w:p w14:paraId="711B8CC9">
      <w:pPr>
        <w:ind w:firstLine="560" w:firstLineChars="200"/>
        <w:rPr>
          <w:rFonts w:ascii="宋体" w:hAnsi="宋体" w:cs="宋体"/>
          <w:sz w:val="28"/>
        </w:rPr>
      </w:pPr>
    </w:p>
    <w:p w14:paraId="663C2C51">
      <w:pPr>
        <w:ind w:firstLine="560" w:firstLineChars="200"/>
        <w:rPr>
          <w:rFonts w:ascii="宋体" w:hAnsi="宋体" w:cs="宋体"/>
          <w:sz w:val="28"/>
        </w:rPr>
      </w:pPr>
    </w:p>
    <w:p w14:paraId="7F50EE66">
      <w:pPr>
        <w:ind w:firstLine="560" w:firstLineChars="200"/>
        <w:rPr>
          <w:rFonts w:ascii="宋体" w:hAnsi="宋体" w:cs="宋体"/>
          <w:sz w:val="28"/>
        </w:rPr>
      </w:pPr>
    </w:p>
    <w:p w14:paraId="03BE0522">
      <w:pPr>
        <w:pStyle w:val="2"/>
        <w:rPr>
          <w:rFonts w:ascii="宋体" w:hAnsi="宋体" w:cs="宋体"/>
          <w:sz w:val="28"/>
        </w:rPr>
      </w:pPr>
    </w:p>
    <w:p w14:paraId="7EFE7210">
      <w:pPr>
        <w:pStyle w:val="3"/>
      </w:pPr>
    </w:p>
    <w:p w14:paraId="4878375F">
      <w:pPr>
        <w:ind w:firstLine="560" w:firstLineChars="200"/>
        <w:rPr>
          <w:rFonts w:ascii="宋体" w:hAnsi="宋体" w:cs="宋体"/>
          <w:sz w:val="28"/>
        </w:rPr>
      </w:pPr>
    </w:p>
    <w:p w14:paraId="448C64F5"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广西电网有限责任公司</w:t>
      </w:r>
    </w:p>
    <w:p w14:paraId="3F7F0EFE"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柳州供电局</w:t>
      </w:r>
    </w:p>
    <w:p w14:paraId="4AC42996"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202</w:t>
      </w:r>
      <w:r>
        <w:rPr>
          <w:rFonts w:hint="eastAsia" w:ascii="宋体" w:hAnsi="宋体" w:cs="宋体"/>
          <w:sz w:val="44"/>
          <w:szCs w:val="44"/>
          <w:lang w:val="en-US" w:eastAsia="zh-CN"/>
        </w:rPr>
        <w:t>5</w:t>
      </w:r>
      <w:r>
        <w:rPr>
          <w:rFonts w:hint="eastAsia" w:ascii="宋体" w:hAnsi="宋体" w:cs="宋体"/>
          <w:sz w:val="44"/>
          <w:szCs w:val="44"/>
        </w:rPr>
        <w:t>年</w:t>
      </w:r>
      <w:r>
        <w:rPr>
          <w:rFonts w:hint="eastAsia" w:ascii="宋体" w:hAnsi="宋体" w:cs="宋体"/>
          <w:sz w:val="44"/>
          <w:szCs w:val="44"/>
          <w:lang w:val="en-US" w:eastAsia="zh-CN"/>
        </w:rPr>
        <w:t>8</w:t>
      </w:r>
      <w:r>
        <w:rPr>
          <w:rFonts w:hint="eastAsia" w:ascii="宋体" w:hAnsi="宋体" w:cs="宋体"/>
          <w:sz w:val="44"/>
          <w:szCs w:val="44"/>
        </w:rPr>
        <w:t>月</w:t>
      </w:r>
    </w:p>
    <w:p w14:paraId="0CEF7FDD">
      <w:pPr>
        <w:pStyle w:val="5"/>
        <w:numPr>
          <w:ilvl w:val="0"/>
          <w:numId w:val="1"/>
        </w:numPr>
        <w:rPr>
          <w:rFonts w:hint="eastAsia" w:ascii="宋体" w:hAnsi="宋体" w:eastAsia="宋体" w:cs="宋体"/>
        </w:rPr>
      </w:pPr>
      <w:bookmarkStart w:id="1" w:name="_Toc28526"/>
      <w:bookmarkStart w:id="2" w:name="_Toc444945508"/>
      <w:bookmarkStart w:id="3" w:name="_Toc318799924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服务范围</w:t>
      </w:r>
      <w:bookmarkEnd w:id="1"/>
      <w:bookmarkEnd w:id="2"/>
      <w:bookmarkEnd w:id="3"/>
    </w:p>
    <w:p w14:paraId="6E5C61AB">
      <w:pPr>
        <w:numPr>
          <w:ilvl w:val="0"/>
          <w:numId w:val="0"/>
        </w:numPr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本技术条款主要描述</w:t>
      </w:r>
      <w:r>
        <w:rPr>
          <w:rFonts w:hint="eastAsia" w:ascii="宋体" w:hAnsi="宋体"/>
          <w:u w:val="single"/>
        </w:rPr>
        <w:t>广西电网有限</w:t>
      </w:r>
      <w:r>
        <w:rPr>
          <w:rFonts w:hint="eastAsia" w:ascii="宋体" w:hAnsi="宋体"/>
          <w:u w:val="single"/>
          <w:lang w:eastAsia="zh-CN"/>
        </w:rPr>
        <w:t>责任</w:t>
      </w:r>
      <w:r>
        <w:rPr>
          <w:rFonts w:hint="eastAsia" w:ascii="宋体" w:hAnsi="宋体"/>
          <w:u w:val="single"/>
        </w:rPr>
        <w:t>公司柳州供电局10kV开关小车防坠护盾加工服务项目</w:t>
      </w:r>
      <w:r>
        <w:rPr>
          <w:rFonts w:hint="eastAsia" w:ascii="宋体" w:hAnsi="宋体"/>
        </w:rPr>
        <w:t>有关事项。</w:t>
      </w:r>
    </w:p>
    <w:p w14:paraId="46845C56">
      <w:pPr>
        <w:pStyle w:val="5"/>
        <w:numPr>
          <w:ilvl w:val="0"/>
          <w:numId w:val="1"/>
        </w:numPr>
        <w:rPr>
          <w:rFonts w:hint="eastAsia" w:ascii="Times New Roman" w:hAnsi="Times New Roman"/>
          <w:color w:val="000000"/>
          <w:sz w:val="28"/>
          <w:szCs w:val="28"/>
          <w:lang w:eastAsia="zh-CN"/>
        </w:rPr>
      </w:pPr>
      <w:bookmarkStart w:id="4" w:name="_Toc444945516"/>
      <w:bookmarkStart w:id="5" w:name="_Toc22626"/>
      <w:bookmarkStart w:id="6" w:name="_Toc480800900"/>
      <w:bookmarkStart w:id="7" w:name="_Toc205543260"/>
      <w:bookmarkStart w:id="8" w:name="_Toc23830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服务要求</w:t>
      </w:r>
      <w:bookmarkEnd w:id="4"/>
      <w:bookmarkEnd w:id="5"/>
    </w:p>
    <w:p w14:paraId="71E0D96C"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bookmarkStart w:id="9" w:name="_Toc19695"/>
      <w:r>
        <w:rPr>
          <w:rFonts w:hint="eastAsia" w:ascii="宋体" w:hAnsi="宋体"/>
          <w:lang w:val="en-US" w:eastAsia="zh-CN"/>
        </w:rPr>
        <w:t>按照10kV开关小车防坠护盾技术指标的要求，绘制样机的图纸文件；</w:t>
      </w:r>
    </w:p>
    <w:p w14:paraId="0A44FEDD"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按照绘制的图纸文件进行样机钣金加工，包括四面高强度护板及其铰链、卡扣等连接副件；</w:t>
      </w:r>
    </w:p>
    <w:p w14:paraId="7C8965A2"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按照相关标准对加工的样机进行检测；</w:t>
      </w:r>
    </w:p>
    <w:p w14:paraId="566A6FC7"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样机的安装试运行。</w:t>
      </w:r>
    </w:p>
    <w:p w14:paraId="0EA73F6F">
      <w:pPr>
        <w:pStyle w:val="5"/>
        <w:numPr>
          <w:ilvl w:val="0"/>
          <w:numId w:val="1"/>
        </w:numPr>
        <w:ind w:left="0" w:leftChars="0" w:firstLine="420" w:firstLineChars="0"/>
        <w:rPr>
          <w:rFonts w:hint="eastAsia"/>
        </w:rPr>
      </w:pPr>
      <w:r>
        <w:rPr>
          <w:rFonts w:hint="eastAsia"/>
          <w:lang w:val="en-US" w:eastAsia="zh-CN"/>
        </w:rPr>
        <w:t>技术指标要求</w:t>
      </w:r>
    </w:p>
    <w:p w14:paraId="5D206E7A">
      <w:pPr>
        <w:keepNext w:val="0"/>
        <w:keepLines w:val="0"/>
        <w:widowControl/>
        <w:suppressLineNumbers w:val="0"/>
        <w:ind w:firstLine="480"/>
        <w:jc w:val="left"/>
        <w:textAlignment w:val="center"/>
        <w:rPr>
          <w:rFonts w:hint="eastAsia" w:hAnsi="宋体" w:cs="Times New Roman"/>
          <w:sz w:val="24"/>
          <w:szCs w:val="24"/>
          <w:lang w:val="en-US" w:eastAsia="zh-CN"/>
        </w:rPr>
      </w:pPr>
      <w:r>
        <w:rPr>
          <w:rFonts w:hint="eastAsia" w:hAnsi="宋体" w:cs="Times New Roman"/>
          <w:sz w:val="24"/>
          <w:szCs w:val="24"/>
          <w:lang w:val="en-US" w:eastAsia="zh-CN"/>
        </w:rPr>
        <w:t>10kV开关小车防坠护盾，通过在转运小车上端增设四块高强度材料制成的护板，集成四向联动卡扣，使开关小车不会发生位移至跌落。护板采用不易生锈的高强度材料。护盾采用铰链翻转结构，单面翻转角度可调，适配各类检修试验工作。</w:t>
      </w:r>
      <w:r>
        <w:rPr>
          <w:rFonts w:hint="eastAsia" w:hAnsi="宋体" w:cs="Times New Roman"/>
          <w:sz w:val="24"/>
          <w:szCs w:val="24"/>
          <w:lang w:val="en-US" w:eastAsia="zh-CN"/>
        </w:rPr>
        <w:t>护盾</w:t>
      </w:r>
      <w:r>
        <w:rPr>
          <w:rFonts w:hint="eastAsia" w:hAnsi="宋体" w:cs="Times New Roman"/>
          <w:sz w:val="24"/>
          <w:szCs w:val="24"/>
          <w:lang w:val="en-US" w:eastAsia="zh-CN"/>
        </w:rPr>
        <w:t>采用模块化结构设计，可适配KYN28-12等主流柜型，兼容性覆盖90%存量设备。要求装置结构设计合理，兼容性强、适用性广。</w:t>
      </w:r>
    </w:p>
    <w:p w14:paraId="0A20C013">
      <w:pPr>
        <w:pStyle w:val="2"/>
        <w:rPr>
          <w:rFonts w:hint="eastAsia" w:hAnsi="宋体" w:cs="Times New Roman"/>
          <w:sz w:val="24"/>
          <w:szCs w:val="24"/>
          <w:lang w:val="en-US" w:eastAsia="zh-CN"/>
        </w:rPr>
      </w:pPr>
    </w:p>
    <w:p w14:paraId="0A31A5EC">
      <w:pPr>
        <w:pStyle w:val="3"/>
        <w:rPr>
          <w:rFonts w:hint="eastAsia" w:hAnsi="宋体" w:cs="Times New Roman"/>
          <w:sz w:val="24"/>
          <w:szCs w:val="24"/>
          <w:lang w:val="en-US" w:eastAsia="zh-CN"/>
        </w:rPr>
      </w:pPr>
    </w:p>
    <w:p w14:paraId="526D95F8">
      <w:pPr>
        <w:rPr>
          <w:rFonts w:hint="eastAsia" w:hAnsi="宋体" w:cs="Times New Roman"/>
          <w:sz w:val="24"/>
          <w:szCs w:val="24"/>
          <w:lang w:val="en-US" w:eastAsia="zh-CN"/>
        </w:rPr>
      </w:pPr>
    </w:p>
    <w:p w14:paraId="0B73D943">
      <w:pPr>
        <w:pStyle w:val="2"/>
        <w:rPr>
          <w:rFonts w:hint="eastAsia" w:hAnsi="宋体" w:cs="Times New Roman"/>
          <w:sz w:val="24"/>
          <w:szCs w:val="24"/>
          <w:lang w:val="en-US" w:eastAsia="zh-CN"/>
        </w:rPr>
      </w:pPr>
    </w:p>
    <w:p w14:paraId="79973EC9">
      <w:pPr>
        <w:pStyle w:val="3"/>
        <w:rPr>
          <w:rFonts w:hint="eastAsia"/>
          <w:lang w:val="en-US" w:eastAsia="zh-CN"/>
        </w:rPr>
      </w:pPr>
    </w:p>
    <w:p w14:paraId="3FCE775A">
      <w:pPr>
        <w:spacing w:line="360" w:lineRule="auto"/>
        <w:ind w:firstLine="480" w:firstLineChars="200"/>
        <w:rPr>
          <w:rFonts w:hint="eastAsia" w:ascii="Times New Roman" w:hAnsi="Times New Roman" w:cs="Times New Roman"/>
          <w:color w:val="000000"/>
          <w:sz w:val="24"/>
          <w:szCs w:val="21"/>
          <w:lang w:val="en-US" w:eastAsia="zh-CN"/>
        </w:rPr>
      </w:pPr>
      <w:r>
        <w:rPr>
          <w:rFonts w:hint="eastAsia" w:hAnsi="宋体" w:cs="Times New Roman"/>
          <w:sz w:val="24"/>
          <w:szCs w:val="24"/>
          <w:lang w:val="en-US" w:eastAsia="zh-CN"/>
        </w:rPr>
        <w:t>10kV开关小车防坠护盾</w:t>
      </w:r>
      <w:r>
        <w:rPr>
          <w:rFonts w:hint="eastAsia" w:ascii="Times New Roman" w:hAnsi="Times New Roman" w:cs="Times New Roman"/>
          <w:color w:val="000000"/>
          <w:sz w:val="24"/>
          <w:szCs w:val="21"/>
          <w:lang w:val="en-US" w:eastAsia="zh-CN"/>
        </w:rPr>
        <w:t>结构示意图如下所示：</w:t>
      </w:r>
    </w:p>
    <w:p w14:paraId="63E9FF5B">
      <w:pPr>
        <w:pStyle w:val="2"/>
        <w:jc w:val="center"/>
        <w:rPr>
          <w:rFonts w:ascii="Times New Roman" w:hAnsi="Times New Roman"/>
          <w:sz w:val="28"/>
          <w:szCs w:val="28"/>
        </w:rPr>
      </w:pPr>
      <w:r>
        <w:drawing>
          <wp:inline distT="0" distB="0" distL="114300" distR="114300">
            <wp:extent cx="3977640" cy="3245485"/>
            <wp:effectExtent l="0" t="0" r="381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77640" cy="324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3DF34">
      <w:pPr>
        <w:rPr>
          <w:rFonts w:hint="eastAsia"/>
        </w:rPr>
      </w:pPr>
    </w:p>
    <w:bookmarkEnd w:id="0"/>
    <w:bookmarkEnd w:id="6"/>
    <w:bookmarkEnd w:id="7"/>
    <w:bookmarkEnd w:id="8"/>
    <w:bookmarkEnd w:id="9"/>
    <w:tbl>
      <w:tblPr>
        <w:tblStyle w:val="8"/>
        <w:tblW w:w="9781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7371"/>
      </w:tblGrid>
      <w:tr w14:paraId="6F879E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2599D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名称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D1C5930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技术参数</w:t>
            </w:r>
          </w:p>
        </w:tc>
      </w:tr>
      <w:tr w14:paraId="16BE3E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21206"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耐温性能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5BA61"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在极端温度下（-</w:t>
            </w:r>
            <w:r>
              <w:rPr>
                <w:rFonts w:hint="eastAsia" w:hAnsi="Times New Roman" w:eastAsia="宋体" w:cs="Times New Roman"/>
                <w:lang w:val="en-US" w:eastAsia="zh-CN"/>
              </w:rPr>
              <w:t>2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0℃至+</w:t>
            </w:r>
            <w:r>
              <w:rPr>
                <w:rFonts w:hint="eastAsia" w:hAnsi="Times New Roman" w:eastAsia="宋体" w:cs="Times New Roman"/>
                <w:lang w:val="en-US" w:eastAsia="zh-CN"/>
              </w:rPr>
              <w:t>7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5℃）仍能保持正常工作，适应各种环境条件</w:t>
            </w:r>
          </w:p>
        </w:tc>
      </w:tr>
      <w:tr w14:paraId="4582F1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CBDD6"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eastAsia" w:hAnsi="Times New Roman" w:eastAsia="宋体" w:cs="Times New Roman"/>
                <w:lang w:val="en-US" w:eastAsia="zh-CN"/>
              </w:rPr>
              <w:t>机械性能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B5E44"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抗压耐造</w:t>
            </w:r>
            <w:r>
              <w:rPr>
                <w:rFonts w:hint="eastAsia" w:hAnsi="Times New Roman" w:cs="Times New Roman"/>
                <w:lang w:val="en-US" w:eastAsia="zh-CN"/>
              </w:rPr>
              <w:t>，不易生锈，可适配KYN28-12等主流柜型</w:t>
            </w:r>
          </w:p>
        </w:tc>
      </w:tr>
      <w:tr w14:paraId="29EB9E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BCE95"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重量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AA2DA"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eastAsia" w:hAnsi="Times New Roman" w:eastAsia="宋体" w:cs="Times New Roman"/>
                <w:lang w:val="en-US" w:eastAsia="zh-CN"/>
              </w:rPr>
              <w:t>整体重量小于</w:t>
            </w:r>
            <w:r>
              <w:rPr>
                <w:rFonts w:hint="eastAsia" w:hAnsi="Times New Roman" w:cs="Times New Roman"/>
                <w:lang w:val="en-US" w:eastAsia="zh-CN"/>
              </w:rPr>
              <w:t>20</w:t>
            </w:r>
            <w:r>
              <w:rPr>
                <w:rFonts w:hint="eastAsia" w:hAnsi="Times New Roman" w:eastAsia="宋体" w:cs="Times New Roman"/>
                <w:lang w:val="en-US" w:eastAsia="zh-CN"/>
              </w:rPr>
              <w:t>kg，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确保操作人员</w:t>
            </w:r>
            <w:r>
              <w:rPr>
                <w:rFonts w:hint="eastAsia" w:hAnsi="Times New Roman" w:cs="Times New Roman"/>
                <w:lang w:val="en-US" w:eastAsia="zh-CN"/>
              </w:rPr>
              <w:t>多次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作业不疲劳</w:t>
            </w:r>
          </w:p>
        </w:tc>
      </w:tr>
      <w:tr w14:paraId="525133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1F8AFC"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使用寿命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8C1F85"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耐用性高，经久耐用，可重复使用，减少更换频率和维护成本</w:t>
            </w:r>
          </w:p>
        </w:tc>
      </w:tr>
    </w:tbl>
    <w:p w14:paraId="72D5DF0E">
      <w:pPr>
        <w:numPr>
          <w:ilvl w:val="0"/>
          <w:numId w:val="1"/>
        </w:numPr>
        <w:spacing w:before="0" w:beforeAutospacing="0" w:after="0" w:afterAutospacing="0" w:line="540" w:lineRule="exact"/>
        <w:ind w:left="0" w:leftChars="0" w:firstLine="420" w:firstLineChars="0"/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  <w:t>其他要求：</w:t>
      </w:r>
    </w:p>
    <w:p w14:paraId="2ADFC4BF"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服</w:t>
      </w:r>
      <w:r>
        <w:rPr>
          <w:rFonts w:hint="eastAsia" w:ascii="宋体" w:hAnsi="宋体" w:eastAsia="宋体" w:cs="宋体"/>
          <w:sz w:val="24"/>
          <w:szCs w:val="24"/>
        </w:rPr>
        <w:t>务单位应明确项目负责人及其联系方式，并告知采购方项目负责人。</w:t>
      </w:r>
    </w:p>
    <w:p w14:paraId="54B655A6"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服务单位应在规定时间内完成本协议的工作内容，并符合国家相关规范和建设单位的使用要求。</w:t>
      </w:r>
    </w:p>
    <w:p w14:paraId="35F8497D"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</w:pPr>
      <w:r>
        <w:rPr>
          <w:rFonts w:hint="eastAsia" w:ascii="宋体" w:hAnsi="宋体" w:eastAsia="宋体" w:cs="宋体"/>
          <w:sz w:val="24"/>
          <w:szCs w:val="24"/>
        </w:rPr>
        <w:t>本项目的结算方式为“总价包干”。</w:t>
      </w:r>
      <w:bookmarkStart w:id="10" w:name="_GoBack"/>
      <w:bookmarkEnd w:id="10"/>
    </w:p>
    <w:sectPr>
      <w:footerReference r:id="rId5" w:type="default"/>
      <w:pgSz w:w="11906" w:h="16838"/>
      <w:pgMar w:top="1474" w:right="1134" w:bottom="1134" w:left="1418" w:header="1134" w:footer="1077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041DC1">
    <w:pPr>
      <w:pStyle w:val="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86248A"/>
    <w:multiLevelType w:val="singleLevel"/>
    <w:tmpl w:val="9886248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9732EDA"/>
    <w:multiLevelType w:val="singleLevel"/>
    <w:tmpl w:val="E9732ED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FB656EE4"/>
    <w:multiLevelType w:val="singleLevel"/>
    <w:tmpl w:val="FB656EE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yNGQ4Yzg2NjQ1MDZjMWM2OTc5ZjgxYmUxNzRhZTAifQ=="/>
  </w:docVars>
  <w:rsids>
    <w:rsidRoot w:val="2F43059D"/>
    <w:rsid w:val="00565F6E"/>
    <w:rsid w:val="00610E1A"/>
    <w:rsid w:val="00E128BA"/>
    <w:rsid w:val="00F35C9C"/>
    <w:rsid w:val="04D44E36"/>
    <w:rsid w:val="0C533633"/>
    <w:rsid w:val="16517489"/>
    <w:rsid w:val="18CB2F7E"/>
    <w:rsid w:val="19741C88"/>
    <w:rsid w:val="1A9D60BB"/>
    <w:rsid w:val="1B29692D"/>
    <w:rsid w:val="20A73C6F"/>
    <w:rsid w:val="256A1315"/>
    <w:rsid w:val="258E70E1"/>
    <w:rsid w:val="25D235CE"/>
    <w:rsid w:val="266C043F"/>
    <w:rsid w:val="2F43059D"/>
    <w:rsid w:val="2FC46EA0"/>
    <w:rsid w:val="32067DEF"/>
    <w:rsid w:val="32481C53"/>
    <w:rsid w:val="33F87C9A"/>
    <w:rsid w:val="38ED3A6E"/>
    <w:rsid w:val="3A2B35BD"/>
    <w:rsid w:val="3E12767D"/>
    <w:rsid w:val="3F744629"/>
    <w:rsid w:val="41A8543F"/>
    <w:rsid w:val="4BB1398F"/>
    <w:rsid w:val="4D813E5E"/>
    <w:rsid w:val="59152109"/>
    <w:rsid w:val="598D6DCE"/>
    <w:rsid w:val="5FF34000"/>
    <w:rsid w:val="65AA798C"/>
    <w:rsid w:val="6A2B5103"/>
    <w:rsid w:val="6D626C75"/>
    <w:rsid w:val="6F904BDE"/>
    <w:rsid w:val="70396ED2"/>
    <w:rsid w:val="72CD57BE"/>
    <w:rsid w:val="734C52BE"/>
    <w:rsid w:val="747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99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before="100" w:beforeAutospacing="1" w:after="100" w:afterAutospacing="1" w:line="360" w:lineRule="auto"/>
    </w:pPr>
    <w:rPr>
      <w:rFonts w:ascii="Book Antiqua" w:hAnsi="Book Antiqua" w:eastAsia="宋体" w:cs="Times New Roman"/>
      <w:sz w:val="24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99"/>
    <w:pPr>
      <w:keepNext/>
      <w:keepLines/>
      <w:tabs>
        <w:tab w:val="left" w:pos="0"/>
      </w:tabs>
      <w:outlineLvl w:val="1"/>
    </w:pPr>
    <w:rPr>
      <w:rFonts w:ascii="宋体" w:hAnsi="宋体" w:cs="宋体"/>
      <w:b/>
      <w:bCs/>
      <w:sz w:val="28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afterAutospacing="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Document Map"/>
    <w:basedOn w:val="1"/>
    <w:next w:val="1"/>
    <w:semiHidden/>
    <w:qFormat/>
    <w:uiPriority w:val="99"/>
    <w:rPr>
      <w:rFonts w:ascii="宋体"/>
      <w:sz w:val="18"/>
      <w:szCs w:val="18"/>
    </w:rPr>
  </w:style>
  <w:style w:type="paragraph" w:styleId="7">
    <w:name w:val="footer"/>
    <w:basedOn w:val="1"/>
    <w:unhideWhenUsed/>
    <w:qFormat/>
    <w:uiPriority w:val="0"/>
    <w:pPr>
      <w:tabs>
        <w:tab w:val="center" w:pos="4320"/>
        <w:tab w:val="right" w:pos="8640"/>
      </w:tabs>
      <w:spacing w:before="0" w:after="0" w:line="240" w:lineRule="auto"/>
    </w:pPr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837</Words>
  <Characters>852</Characters>
  <Lines>27</Lines>
  <Paragraphs>7</Paragraphs>
  <TotalTime>2</TotalTime>
  <ScaleCrop>false</ScaleCrop>
  <LinksUpToDate>false</LinksUpToDate>
  <CharactersWithSpaces>854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2023-05-31T09:29:00Z</dcterms:created>
  <dc:creator>左边口袋</dc:creator>
  <cp:lastModifiedBy>陈子飞</cp:lastModifiedBy>
  <dcterms:modified xsi:type="dcterms:W3CDTF">2025-10-29T08:08:53Z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0D9585C383444C8BBB1E58EA8F4F6DB8</vt:lpwstr>
  </property>
  <property fmtid="{D5CDD505-2E9C-101B-9397-08002B2CF9AE}" pid="4" name="KSOTemplateDocerSaveRecord">
    <vt:lpwstr>eyJoZGlkIjoiMjNmOTBjOTVhMzIyYzdjNWEyYWI5OTAwYjVjMjk2ZjMiLCJ1c2VySWQiOiI0NTMxMTkxMzQifQ==</vt:lpwstr>
  </property>
</Properties>
</file>