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7A56708">
      <w:pPr>
        <w:spacing w:beforeLines="200" w:line="360" w:lineRule="auto"/>
        <w:rPr>
          <w:rFonts w:asciiTheme="minorEastAsia" w:hAnsiTheme="minorEastAsia" w:eastAsiaTheme="minorEastAsia"/>
        </w:rPr>
      </w:pPr>
      <w:r>
        <w:rPr>
          <w:rFonts w:asciiTheme="minorEastAsia" w:hAnsiTheme="minorEastAsia" w:eastAsiaTheme="minorEastAsia"/>
          <w:b/>
          <w:sz w:val="52"/>
          <w:szCs w:val="22"/>
        </w:rPr>
        <w:drawing>
          <wp:anchor distT="0" distB="0" distL="114300" distR="114300" simplePos="0" relativeHeight="251659264" behindDoc="1" locked="0" layoutInCell="1" allowOverlap="1">
            <wp:simplePos x="0" y="0"/>
            <wp:positionH relativeFrom="column">
              <wp:posOffset>-1139190</wp:posOffset>
            </wp:positionH>
            <wp:positionV relativeFrom="paragraph">
              <wp:posOffset>-955040</wp:posOffset>
            </wp:positionV>
            <wp:extent cx="8915400" cy="2736850"/>
            <wp:effectExtent l="0" t="0" r="0" b="6350"/>
            <wp:wrapTight wrapText="bothSides">
              <wp:wrapPolygon>
                <wp:start x="-23" y="0"/>
                <wp:lineTo x="-23" y="21525"/>
                <wp:lineTo x="21600" y="21525"/>
                <wp:lineTo x="21600" y="0"/>
                <wp:lineTo x="-23" y="0"/>
              </wp:wrapPolygon>
            </wp:wrapTight>
            <wp:docPr id="2" name="Picture 6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8" descr="模板-3"/>
                    <pic:cNvPicPr>
                      <a:picLocks noChangeAspect="1"/>
                    </pic:cNvPicPr>
                  </pic:nvPicPr>
                  <pic:blipFill>
                    <a:blip r:embed="rId6"/>
                    <a:stretch>
                      <a:fillRect/>
                    </a:stretch>
                  </pic:blipFill>
                  <pic:spPr>
                    <a:xfrm>
                      <a:off x="0" y="0"/>
                      <a:ext cx="8915400" cy="2736850"/>
                    </a:xfrm>
                    <a:prstGeom prst="rect">
                      <a:avLst/>
                    </a:prstGeom>
                    <a:noFill/>
                    <a:ln w="9525">
                      <a:noFill/>
                    </a:ln>
                  </pic:spPr>
                </pic:pic>
              </a:graphicData>
            </a:graphic>
          </wp:anchor>
        </w:drawing>
      </w:r>
    </w:p>
    <w:p w14:paraId="27C40A55">
      <w:pPr>
        <w:tabs>
          <w:tab w:val="left" w:pos="480"/>
        </w:tabs>
        <w:adjustRightInd w:val="0"/>
        <w:snapToGrid w:val="0"/>
        <w:spacing w:line="360" w:lineRule="auto"/>
        <w:jc w:val="center"/>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lang w:val="en-US" w:eastAsia="zh-CN"/>
        </w:rPr>
        <w:t>昌江</w:t>
      </w:r>
      <w:r>
        <w:rPr>
          <w:rFonts w:hint="eastAsia" w:asciiTheme="minorEastAsia" w:hAnsiTheme="minorEastAsia" w:eastAsiaTheme="minorEastAsia"/>
          <w:b/>
          <w:bCs/>
          <w:sz w:val="44"/>
          <w:szCs w:val="44"/>
        </w:rPr>
        <w:t>供电局</w:t>
      </w:r>
    </w:p>
    <w:p w14:paraId="1930ED12">
      <w:pPr>
        <w:tabs>
          <w:tab w:val="left" w:pos="480"/>
        </w:tabs>
        <w:adjustRightInd w:val="0"/>
        <w:snapToGrid w:val="0"/>
        <w:spacing w:line="360" w:lineRule="auto"/>
        <w:jc w:val="center"/>
        <w:rPr>
          <w:rFonts w:asciiTheme="minorEastAsia" w:hAnsiTheme="minorEastAsia" w:eastAsiaTheme="minorEastAsia"/>
          <w:b/>
          <w:bCs/>
          <w:sz w:val="44"/>
          <w:szCs w:val="44"/>
        </w:rPr>
      </w:pPr>
      <w:r>
        <w:rPr>
          <w:rFonts w:hint="eastAsia" w:asciiTheme="minorEastAsia" w:hAnsiTheme="minorEastAsia" w:eastAsiaTheme="minorEastAsia"/>
          <w:b/>
          <w:bCs/>
          <w:sz w:val="44"/>
          <w:szCs w:val="44"/>
        </w:rPr>
        <w:t>202</w:t>
      </w:r>
      <w:r>
        <w:rPr>
          <w:rFonts w:hint="eastAsia" w:asciiTheme="minorEastAsia" w:hAnsiTheme="minorEastAsia" w:eastAsiaTheme="minorEastAsia"/>
          <w:b/>
          <w:bCs/>
          <w:sz w:val="44"/>
          <w:szCs w:val="44"/>
          <w:lang w:val="en-US" w:eastAsia="zh-CN"/>
        </w:rPr>
        <w:t>5</w:t>
      </w:r>
      <w:bookmarkStart w:id="27" w:name="_GoBack"/>
      <w:r>
        <w:rPr>
          <w:rFonts w:hint="eastAsia" w:asciiTheme="minorEastAsia" w:hAnsiTheme="minorEastAsia" w:eastAsiaTheme="minorEastAsia"/>
          <w:b/>
          <w:bCs/>
          <w:sz w:val="44"/>
          <w:szCs w:val="44"/>
          <w:lang w:val="en-US" w:eastAsia="zh-CN"/>
        </w:rPr>
        <w:t>配网自动化馈线终端接口转接装置</w:t>
      </w:r>
      <w:bookmarkEnd w:id="27"/>
      <w:r>
        <w:rPr>
          <w:rFonts w:hint="eastAsia" w:asciiTheme="minorEastAsia" w:hAnsiTheme="minorEastAsia" w:eastAsiaTheme="minorEastAsia"/>
          <w:b/>
          <w:bCs/>
          <w:sz w:val="44"/>
          <w:szCs w:val="44"/>
        </w:rPr>
        <w:t>测试化验加工服务</w:t>
      </w:r>
    </w:p>
    <w:p w14:paraId="378C501F">
      <w:pPr>
        <w:pStyle w:val="3"/>
        <w:spacing w:line="360" w:lineRule="auto"/>
        <w:ind w:right="210"/>
        <w:jc w:val="center"/>
        <w:rPr>
          <w:rFonts w:asciiTheme="minorEastAsia" w:hAnsiTheme="minorEastAsia" w:eastAsiaTheme="minorEastAsia"/>
          <w:sz w:val="44"/>
          <w:szCs w:val="44"/>
        </w:rPr>
      </w:pPr>
      <w:bookmarkStart w:id="0" w:name="_Toc490828824"/>
      <w:bookmarkStart w:id="1" w:name="_Toc490993917"/>
      <w:bookmarkStart w:id="2" w:name="_Toc490994883"/>
      <w:bookmarkStart w:id="3" w:name="_Toc490992882"/>
      <w:bookmarkStart w:id="4" w:name="_Toc490993881"/>
      <w:bookmarkStart w:id="5" w:name="_Toc529463209"/>
      <w:bookmarkStart w:id="6" w:name="_Toc490836987"/>
      <w:bookmarkStart w:id="7" w:name="_Toc490836508"/>
      <w:bookmarkStart w:id="8" w:name="_Toc490836196"/>
      <w:bookmarkStart w:id="9" w:name="_Toc490833902"/>
      <w:bookmarkStart w:id="10" w:name="_Toc490828342"/>
      <w:bookmarkStart w:id="11" w:name="_Toc490836685"/>
      <w:bookmarkStart w:id="12" w:name="_Toc490827275"/>
      <w:r>
        <w:rPr>
          <w:rFonts w:asciiTheme="minorEastAsia" w:hAnsiTheme="minorEastAsia" w:eastAsiaTheme="minorEastAsia"/>
          <w:sz w:val="44"/>
          <w:szCs w:val="44"/>
        </w:rPr>
        <w:t>技术</w:t>
      </w:r>
      <w:r>
        <w:rPr>
          <w:rFonts w:hint="eastAsia" w:asciiTheme="minorEastAsia" w:hAnsiTheme="minorEastAsia" w:eastAsiaTheme="minorEastAsia"/>
          <w:sz w:val="44"/>
          <w:szCs w:val="44"/>
        </w:rPr>
        <w:t>规范书</w:t>
      </w:r>
      <w:bookmarkEnd w:id="0"/>
      <w:bookmarkEnd w:id="1"/>
      <w:bookmarkEnd w:id="2"/>
      <w:bookmarkEnd w:id="3"/>
      <w:bookmarkEnd w:id="4"/>
      <w:bookmarkEnd w:id="5"/>
      <w:bookmarkEnd w:id="6"/>
      <w:bookmarkEnd w:id="7"/>
      <w:bookmarkEnd w:id="8"/>
      <w:bookmarkEnd w:id="9"/>
      <w:bookmarkEnd w:id="10"/>
      <w:bookmarkEnd w:id="11"/>
      <w:bookmarkEnd w:id="12"/>
    </w:p>
    <w:p w14:paraId="56239A73">
      <w:pPr>
        <w:spacing w:beforeLines="200"/>
        <w:rPr>
          <w:rFonts w:asciiTheme="minorEastAsia" w:hAnsiTheme="minorEastAsia" w:eastAsiaTheme="minorEastAsia"/>
          <w:b/>
          <w:sz w:val="52"/>
          <w:szCs w:val="22"/>
        </w:rPr>
      </w:pPr>
    </w:p>
    <w:p w14:paraId="4938C191">
      <w:pPr>
        <w:spacing w:beforeLines="200"/>
        <w:rPr>
          <w:rFonts w:asciiTheme="minorEastAsia" w:hAnsiTheme="minorEastAsia" w:eastAsiaTheme="minorEastAsia"/>
          <w:b/>
          <w:sz w:val="52"/>
          <w:szCs w:val="22"/>
        </w:rPr>
      </w:pPr>
    </w:p>
    <w:p w14:paraId="0B7298F7">
      <w:pPr>
        <w:jc w:val="center"/>
        <w:rPr>
          <w:rFonts w:hint="eastAsia"/>
          <w:b/>
          <w:sz w:val="30"/>
          <w:szCs w:val="30"/>
          <w:lang w:eastAsia="zh-CN"/>
        </w:rPr>
      </w:pPr>
      <w:r>
        <w:rPr>
          <w:rFonts w:hint="eastAsia"/>
          <w:b/>
          <w:sz w:val="30"/>
          <w:szCs w:val="30"/>
          <w:lang w:val="en-US" w:eastAsia="zh-CN"/>
        </w:rPr>
        <w:t>昌江</w:t>
      </w:r>
      <w:r>
        <w:rPr>
          <w:rFonts w:hint="eastAsia"/>
          <w:b/>
          <w:sz w:val="30"/>
          <w:szCs w:val="30"/>
          <w:lang w:eastAsia="zh-CN"/>
        </w:rPr>
        <w:t>供电局</w:t>
      </w:r>
    </w:p>
    <w:p w14:paraId="406FCBC7">
      <w:pPr>
        <w:jc w:val="center"/>
        <w:rPr>
          <w:b/>
          <w:sz w:val="30"/>
          <w:szCs w:val="30"/>
        </w:rPr>
      </w:pPr>
      <w:r>
        <w:rPr>
          <w:b/>
          <w:sz w:val="30"/>
          <w:szCs w:val="30"/>
        </w:rPr>
        <w:t>二〇</w:t>
      </w:r>
      <w:r>
        <w:rPr>
          <w:rFonts w:hint="eastAsia"/>
          <w:b/>
          <w:sz w:val="30"/>
          <w:szCs w:val="30"/>
          <w:lang w:eastAsia="zh-CN"/>
        </w:rPr>
        <w:t>二</w:t>
      </w:r>
      <w:r>
        <w:rPr>
          <w:rFonts w:hint="eastAsia"/>
          <w:b/>
          <w:sz w:val="30"/>
          <w:szCs w:val="30"/>
          <w:lang w:val="en-US" w:eastAsia="zh-CN"/>
        </w:rPr>
        <w:t>五</w:t>
      </w:r>
      <w:r>
        <w:rPr>
          <w:b/>
          <w:sz w:val="30"/>
          <w:szCs w:val="30"/>
        </w:rPr>
        <w:t>年</w:t>
      </w:r>
      <w:r>
        <w:rPr>
          <w:rFonts w:hint="eastAsia"/>
          <w:b/>
          <w:sz w:val="30"/>
          <w:szCs w:val="30"/>
          <w:lang w:val="en-US" w:eastAsia="zh-CN"/>
        </w:rPr>
        <w:t>七</w:t>
      </w:r>
      <w:r>
        <w:rPr>
          <w:b/>
          <w:sz w:val="30"/>
          <w:szCs w:val="30"/>
        </w:rPr>
        <w:t>月</w:t>
      </w:r>
    </w:p>
    <w:p w14:paraId="44301817">
      <w:pPr>
        <w:jc w:val="center"/>
        <w:rPr>
          <w:rFonts w:hint="default" w:eastAsia="宋体"/>
          <w:b/>
          <w:sz w:val="30"/>
          <w:szCs w:val="30"/>
          <w:lang w:val="en-US" w:eastAsia="zh-CN"/>
        </w:rPr>
      </w:pPr>
      <w:r>
        <w:rPr>
          <w:rFonts w:hint="eastAsia"/>
          <w:b/>
          <w:sz w:val="30"/>
          <w:szCs w:val="30"/>
          <w:lang w:val="en-US" w:eastAsia="zh-CN"/>
        </w:rPr>
        <w:t>项目负责人：</w:t>
      </w:r>
      <w:r>
        <w:rPr>
          <w:rFonts w:hint="eastAsia"/>
          <w:b/>
          <w:sz w:val="30"/>
          <w:szCs w:val="30"/>
          <w:u w:val="single"/>
          <w:lang w:val="en-US" w:eastAsia="zh-CN"/>
        </w:rPr>
        <w:t xml:space="preserve">       </w:t>
      </w:r>
      <w:r>
        <w:rPr>
          <w:rFonts w:hint="eastAsia"/>
          <w:b/>
          <w:sz w:val="30"/>
          <w:szCs w:val="30"/>
          <w:lang w:val="en-US" w:eastAsia="zh-CN"/>
        </w:rPr>
        <w:t>（签名）</w:t>
      </w:r>
    </w:p>
    <w:p w14:paraId="6A57BA0B">
      <w:pPr>
        <w:rPr>
          <w:rFonts w:hint="eastAsia"/>
        </w:rPr>
      </w:pPr>
      <w:bookmarkStart w:id="13" w:name="_Toc490993882"/>
    </w:p>
    <w:p w14:paraId="09691703">
      <w:pPr>
        <w:pStyle w:val="2"/>
        <w:rPr>
          <w:rFonts w:hint="eastAsia"/>
        </w:rPr>
      </w:pPr>
    </w:p>
    <w:p w14:paraId="76A42C6F">
      <w:pPr>
        <w:pStyle w:val="3"/>
        <w:pageBreakBefore w:val="0"/>
        <w:kinsoku/>
        <w:wordWrap/>
        <w:overflowPunct/>
        <w:autoSpaceDE/>
        <w:autoSpaceDN/>
        <w:bidi w:val="0"/>
        <w:spacing w:line="560" w:lineRule="exact"/>
        <w:ind w:right="0" w:rightChars="0"/>
        <w:rPr>
          <w:sz w:val="32"/>
          <w:szCs w:val="32"/>
        </w:rPr>
      </w:pPr>
      <w:bookmarkStart w:id="14" w:name="_Toc529463210"/>
      <w:r>
        <w:rPr>
          <w:rFonts w:hint="eastAsia"/>
          <w:sz w:val="32"/>
          <w:szCs w:val="32"/>
        </w:rPr>
        <w:t>1.总则</w:t>
      </w:r>
      <w:bookmarkEnd w:id="13"/>
      <w:bookmarkEnd w:id="14"/>
    </w:p>
    <w:p w14:paraId="46F1F82A">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本技术规范书适用于</w:t>
      </w:r>
      <w:r>
        <w:rPr>
          <w:rFonts w:hint="eastAsia" w:asciiTheme="minorEastAsia" w:hAnsiTheme="minorEastAsia" w:eastAsiaTheme="minorEastAsia" w:cstheme="minorEastAsia"/>
          <w:sz w:val="24"/>
          <w:szCs w:val="24"/>
          <w:lang w:eastAsia="zh-CN"/>
        </w:rPr>
        <w:t>配网自动化馈线终端接口转接装置</w:t>
      </w:r>
      <w:r>
        <w:rPr>
          <w:rFonts w:hint="eastAsia" w:asciiTheme="minorEastAsia" w:hAnsiTheme="minorEastAsia" w:eastAsiaTheme="minorEastAsia" w:cstheme="minorEastAsia"/>
          <w:sz w:val="24"/>
          <w:szCs w:val="24"/>
        </w:rPr>
        <w:t>的研发项目测试化验加工服务。</w:t>
      </w:r>
    </w:p>
    <w:p w14:paraId="4BDC19D6">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1.1本技术规范书规定了</w:t>
      </w:r>
      <w:r>
        <w:rPr>
          <w:rFonts w:hint="eastAsia" w:asciiTheme="minorEastAsia" w:hAnsiTheme="minorEastAsia" w:eastAsiaTheme="minorEastAsia" w:cstheme="minorEastAsia"/>
          <w:sz w:val="24"/>
          <w:szCs w:val="24"/>
          <w:lang w:eastAsia="zh-CN"/>
        </w:rPr>
        <w:t>配网自动化馈线终端接口转接装置</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lang w:val="en-US" w:eastAsia="zh-CN"/>
        </w:rPr>
        <w:t>测试化验加工</w:t>
      </w:r>
      <w:r>
        <w:rPr>
          <w:rFonts w:hint="eastAsia" w:asciiTheme="minorEastAsia" w:hAnsiTheme="minorEastAsia" w:eastAsiaTheme="minorEastAsia" w:cstheme="minorEastAsia"/>
          <w:sz w:val="24"/>
          <w:szCs w:val="24"/>
          <w:lang w:eastAsia="zh-CN"/>
        </w:rPr>
        <w:t>服务界限</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技术要求、安全要求等</w:t>
      </w:r>
      <w:r>
        <w:rPr>
          <w:rFonts w:hint="eastAsia" w:asciiTheme="minorEastAsia" w:hAnsiTheme="minorEastAsia" w:eastAsiaTheme="minorEastAsia" w:cstheme="minorEastAsia"/>
          <w:sz w:val="24"/>
          <w:szCs w:val="24"/>
        </w:rPr>
        <w:t>具体内容。</w:t>
      </w:r>
    </w:p>
    <w:p w14:paraId="5755768D">
      <w:pPr>
        <w:pageBreakBefore w:val="0"/>
        <w:kinsoku/>
        <w:wordWrap/>
        <w:overflowPunct/>
        <w:autoSpaceDE/>
        <w:autoSpaceDN/>
        <w:bidi w:val="0"/>
        <w:spacing w:line="560" w:lineRule="exact"/>
        <w:ind w:right="0" w:rightChars="0" w:firstLine="480" w:firstLineChars="200"/>
        <w:rPr>
          <w:rFonts w:hint="eastAsia"/>
          <w:sz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本技术规范书提出的技术要求。除技术规范书中规定的技术参数和要求外，其余均遵循最新版本的国家标准（GB）、电力行业标准（DL）、IEC标准和国际单位（SI）。</w:t>
      </w:r>
    </w:p>
    <w:p w14:paraId="70132504">
      <w:pPr>
        <w:pStyle w:val="3"/>
        <w:pageBreakBefore w:val="0"/>
        <w:kinsoku/>
        <w:wordWrap/>
        <w:overflowPunct/>
        <w:autoSpaceDE/>
        <w:autoSpaceDN/>
        <w:bidi w:val="0"/>
        <w:spacing w:line="560" w:lineRule="exact"/>
        <w:ind w:right="0" w:rightChars="0"/>
        <w:rPr>
          <w:sz w:val="32"/>
          <w:szCs w:val="32"/>
        </w:rPr>
      </w:pPr>
      <w:bookmarkStart w:id="15" w:name="_Toc490993883"/>
      <w:bookmarkStart w:id="16" w:name="_Toc529463211"/>
      <w:r>
        <w:rPr>
          <w:rFonts w:hint="eastAsia"/>
          <w:sz w:val="32"/>
          <w:szCs w:val="32"/>
        </w:rPr>
        <w:t>2.</w:t>
      </w:r>
      <w:bookmarkEnd w:id="15"/>
      <w:bookmarkStart w:id="17" w:name="_Toc445396910"/>
      <w:bookmarkStart w:id="18" w:name="_Toc351722589"/>
      <w:bookmarkStart w:id="19" w:name="_Toc476060462"/>
      <w:r>
        <w:rPr>
          <w:rFonts w:hint="eastAsia"/>
          <w:sz w:val="32"/>
          <w:szCs w:val="32"/>
        </w:rPr>
        <w:t>项目目标</w:t>
      </w:r>
      <w:bookmarkEnd w:id="16"/>
      <w:bookmarkEnd w:id="17"/>
      <w:bookmarkEnd w:id="18"/>
      <w:bookmarkEnd w:id="19"/>
    </w:p>
    <w:p w14:paraId="115D800A">
      <w:pPr>
        <w:pageBreakBefore w:val="0"/>
        <w:kinsoku/>
        <w:wordWrap/>
        <w:overflowPunct/>
        <w:autoSpaceDE/>
        <w:autoSpaceDN/>
        <w:bidi w:val="0"/>
        <w:spacing w:line="560" w:lineRule="exact"/>
        <w:ind w:right="0" w:rightChars="0" w:firstLine="480" w:firstLineChars="200"/>
        <w:rPr>
          <w:rFonts w:hint="default" w:asciiTheme="minorEastAsia" w:hAnsiTheme="minorEastAsia" w:eastAsiaTheme="minorEastAsia" w:cstheme="minorEastAsia"/>
          <w:sz w:val="24"/>
          <w:szCs w:val="24"/>
          <w:lang w:val="en-US" w:eastAsia="zh-CN"/>
        </w:rPr>
      </w:pPr>
      <w:bookmarkStart w:id="20" w:name="_Toc351722590"/>
      <w:bookmarkStart w:id="21" w:name="_Toc291690055"/>
      <w:r>
        <w:rPr>
          <w:rFonts w:hint="eastAsia" w:asciiTheme="minorEastAsia" w:hAnsiTheme="minorEastAsia" w:eastAsiaTheme="minorEastAsia" w:cstheme="minorEastAsia"/>
          <w:sz w:val="24"/>
          <w:szCs w:val="24"/>
          <w:lang w:val="en-US" w:eastAsia="zh-CN"/>
        </w:rPr>
        <w:t>本项目是研制一种</w:t>
      </w:r>
      <w:r>
        <w:rPr>
          <w:rFonts w:hint="eastAsia" w:asciiTheme="minorEastAsia" w:hAnsiTheme="minorEastAsia" w:eastAsiaTheme="minorEastAsia" w:cstheme="minorEastAsia"/>
          <w:sz w:val="24"/>
          <w:szCs w:val="24"/>
          <w:lang w:eastAsia="zh-CN"/>
        </w:rPr>
        <w:t>配网自动化馈线终端接口转接装置，针对现存在的因不同厂家的自动化馈线终端设备接口不一致导致的设备之间的兼容性问题进行改进，研发一款针对现有设备的五进五出的转接头，达到不同厂家设备间互相可兼容的目的。通过解决接口不兼容问题，实现了不同厂家设备之间的互联操作，使得配电自动化系统能够更加高效、稳定地运行。不仅能够提升系统的自动化水平，还能提高故障检测和响应速度，优化能源分配和管理，为电力系统的安全、高效运行提供有力支持。</w:t>
      </w:r>
    </w:p>
    <w:p w14:paraId="09B21A64">
      <w:pPr>
        <w:pStyle w:val="3"/>
        <w:pageBreakBefore w:val="0"/>
        <w:numPr>
          <w:ilvl w:val="0"/>
          <w:numId w:val="0"/>
        </w:numPr>
        <w:kinsoku/>
        <w:wordWrap/>
        <w:overflowPunct/>
        <w:autoSpaceDE/>
        <w:autoSpaceDN/>
        <w:bidi w:val="0"/>
        <w:spacing w:line="560" w:lineRule="exact"/>
        <w:ind w:right="0" w:rightChars="0"/>
        <w:rPr>
          <w:rFonts w:hint="eastAsia"/>
          <w:lang w:eastAsia="zh-CN"/>
        </w:rPr>
      </w:pPr>
      <w:bookmarkStart w:id="22" w:name="_Toc445396911"/>
      <w:bookmarkStart w:id="23" w:name="_Toc476060463"/>
      <w:bookmarkStart w:id="24" w:name="_Toc529463212"/>
      <w:r>
        <w:rPr>
          <w:rFonts w:hint="eastAsia"/>
          <w:sz w:val="32"/>
          <w:szCs w:val="32"/>
          <w:lang w:val="en-US" w:eastAsia="zh-CN"/>
        </w:rPr>
        <w:t>3.</w:t>
      </w:r>
      <w:r>
        <w:rPr>
          <w:rFonts w:hint="eastAsia"/>
          <w:sz w:val="32"/>
          <w:szCs w:val="32"/>
        </w:rPr>
        <w:t>服务</w:t>
      </w:r>
      <w:bookmarkEnd w:id="20"/>
      <w:bookmarkEnd w:id="21"/>
      <w:bookmarkEnd w:id="22"/>
      <w:bookmarkEnd w:id="23"/>
      <w:bookmarkEnd w:id="24"/>
      <w:r>
        <w:rPr>
          <w:rFonts w:hint="eastAsia"/>
          <w:sz w:val="32"/>
          <w:szCs w:val="32"/>
          <w:lang w:eastAsia="zh-CN"/>
        </w:rPr>
        <w:t>要求</w:t>
      </w:r>
    </w:p>
    <w:p w14:paraId="7BA8D29E">
      <w:pPr>
        <w:pStyle w:val="45"/>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本服务要求中标单位做好测试过程控制、加工精度保障和质量控制，使得</w:t>
      </w:r>
      <w:r>
        <w:rPr>
          <w:rFonts w:hint="eastAsia" w:asciiTheme="minorEastAsia" w:hAnsiTheme="minorEastAsia" w:eastAsiaTheme="minorEastAsia" w:cstheme="minorEastAsia"/>
          <w:sz w:val="24"/>
          <w:szCs w:val="24"/>
          <w:lang w:eastAsia="zh-CN"/>
        </w:rPr>
        <w:t>配网自动化馈线终端接口转接装置</w:t>
      </w:r>
      <w:r>
        <w:rPr>
          <w:rFonts w:hint="eastAsia" w:asciiTheme="minorEastAsia" w:hAnsiTheme="minorEastAsia" w:eastAsiaTheme="minorEastAsia" w:cstheme="minorEastAsia"/>
          <w:kern w:val="2"/>
          <w:sz w:val="24"/>
          <w:szCs w:val="24"/>
          <w:lang w:val="en-US" w:eastAsia="zh-CN" w:bidi="ar-SA"/>
        </w:rPr>
        <w:t>符合高效精准作业、安全保障升级、成本优化测试和场景适配性测试</w:t>
      </w:r>
      <w:bookmarkStart w:id="25" w:name="_Toc529463214"/>
      <w:bookmarkStart w:id="26" w:name="_Toc490993885"/>
      <w:r>
        <w:rPr>
          <w:rFonts w:hint="eastAsia" w:asciiTheme="minorEastAsia" w:hAnsiTheme="minorEastAsia" w:eastAsiaTheme="minorEastAsia" w:cstheme="minorEastAsia"/>
          <w:kern w:val="2"/>
          <w:sz w:val="24"/>
          <w:szCs w:val="24"/>
          <w:lang w:val="en-US" w:eastAsia="zh-CN" w:bidi="ar-SA"/>
        </w:rPr>
        <w:t>。</w:t>
      </w:r>
    </w:p>
    <w:p w14:paraId="0AB01EBD">
      <w:pPr>
        <w:pStyle w:val="3"/>
        <w:pageBreakBefore w:val="0"/>
        <w:numPr>
          <w:ilvl w:val="0"/>
          <w:numId w:val="2"/>
        </w:numPr>
        <w:kinsoku/>
        <w:wordWrap/>
        <w:overflowPunct/>
        <w:autoSpaceDE/>
        <w:autoSpaceDN/>
        <w:bidi w:val="0"/>
        <w:spacing w:line="560" w:lineRule="exact"/>
        <w:ind w:right="0" w:rightChars="0"/>
        <w:rPr>
          <w:rFonts w:hint="eastAsia"/>
          <w:sz w:val="32"/>
          <w:szCs w:val="32"/>
        </w:rPr>
      </w:pPr>
      <w:r>
        <w:rPr>
          <w:rFonts w:hint="eastAsia"/>
          <w:sz w:val="32"/>
          <w:szCs w:val="32"/>
        </w:rPr>
        <w:t>技术要求</w:t>
      </w:r>
      <w:bookmarkEnd w:id="25"/>
      <w:bookmarkEnd w:id="26"/>
    </w:p>
    <w:p w14:paraId="53F30187">
      <w:pPr>
        <w:pStyle w:val="45"/>
        <w:numPr>
          <w:ilvl w:val="0"/>
          <w:numId w:val="3"/>
        </w:numPr>
        <w:shd w:val="clear" w:color="auto" w:fill="FFFFFF"/>
        <w:tabs>
          <w:tab w:val="left" w:pos="0"/>
        </w:tabs>
        <w:spacing w:before="105" w:beforeAutospacing="0" w:after="105" w:afterAutospacing="0" w:line="435" w:lineRule="atLeast"/>
        <w:ind w:left="0" w:leftChars="0" w:firstLine="403" w:firstLineChars="0"/>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 xml:space="preserve"> 多接口集成：适配5种及以上种不同接口；</w:t>
      </w:r>
    </w:p>
    <w:p w14:paraId="02013F0F">
      <w:pPr>
        <w:pStyle w:val="45"/>
        <w:numPr>
          <w:ilvl w:val="0"/>
          <w:numId w:val="3"/>
        </w:numPr>
        <w:shd w:val="clear" w:color="auto" w:fill="FFFFFF"/>
        <w:tabs>
          <w:tab w:val="left" w:pos="0"/>
        </w:tabs>
        <w:spacing w:before="105" w:beforeAutospacing="0" w:after="105" w:afterAutospacing="0" w:line="435" w:lineRule="atLeast"/>
        <w:ind w:left="0" w:leftChars="0" w:firstLine="403" w:firstLine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lang w:val="en-US" w:eastAsia="zh-CN"/>
        </w:rPr>
        <w:t xml:space="preserve"> 信号适配：研发信号适配功能，能够识别接口类型和信号特征，并进行信号适配和转换。</w:t>
      </w:r>
    </w:p>
    <w:p w14:paraId="297842F6">
      <w:pPr>
        <w:pStyle w:val="3"/>
        <w:pageBreakBefore w:val="0"/>
        <w:kinsoku/>
        <w:wordWrap/>
        <w:overflowPunct/>
        <w:autoSpaceDE/>
        <w:autoSpaceDN/>
        <w:bidi w:val="0"/>
        <w:spacing w:line="560" w:lineRule="exact"/>
        <w:ind w:right="0" w:rightChars="0"/>
        <w:rPr>
          <w:rFonts w:hint="eastAsia"/>
          <w:sz w:val="32"/>
          <w:szCs w:val="32"/>
        </w:rPr>
      </w:pPr>
      <w:r>
        <w:rPr>
          <w:rFonts w:hint="eastAsia"/>
          <w:sz w:val="32"/>
          <w:szCs w:val="32"/>
          <w:lang w:val="en-US" w:eastAsia="zh-CN"/>
        </w:rPr>
        <w:t>5</w:t>
      </w:r>
      <w:r>
        <w:rPr>
          <w:rFonts w:hint="eastAsia"/>
          <w:sz w:val="32"/>
          <w:szCs w:val="32"/>
        </w:rPr>
        <w:t>.</w:t>
      </w:r>
      <w:r>
        <w:rPr>
          <w:rFonts w:hint="eastAsia"/>
          <w:sz w:val="32"/>
          <w:szCs w:val="32"/>
          <w:lang w:eastAsia="zh-CN"/>
        </w:rPr>
        <w:t>安全责任</w:t>
      </w:r>
      <w:r>
        <w:rPr>
          <w:rFonts w:hint="eastAsia"/>
          <w:sz w:val="32"/>
          <w:szCs w:val="32"/>
        </w:rPr>
        <w:t>要求</w:t>
      </w:r>
    </w:p>
    <w:p w14:paraId="675EFC24">
      <w:pPr>
        <w:pageBreakBefore w:val="0"/>
        <w:kinsoku/>
        <w:wordWrap/>
        <w:overflowPunct/>
        <w:autoSpaceDE/>
        <w:autoSpaceDN/>
        <w:bidi w:val="0"/>
        <w:spacing w:line="560" w:lineRule="exact"/>
        <w:ind w:right="0" w:rightChars="0" w:firstLine="480" w:firstLineChars="200"/>
        <w:contextualSpacing/>
        <w:rPr>
          <w:rFonts w:hint="eastAsia" w:asciiTheme="minorEastAsia" w:hAnsiTheme="minorEastAsia" w:eastAsiaTheme="minorEastAsia" w:cstheme="minorEastAsia"/>
          <w:kern w:val="0"/>
          <w:sz w:val="24"/>
          <w:lang w:val="en-US" w:eastAsia="zh-CN"/>
        </w:rPr>
      </w:pPr>
      <w:r>
        <w:rPr>
          <w:rFonts w:hint="eastAsia" w:asciiTheme="minorEastAsia" w:hAnsiTheme="minorEastAsia" w:eastAsiaTheme="minorEastAsia" w:cstheme="minorEastAsia"/>
          <w:kern w:val="0"/>
          <w:sz w:val="24"/>
          <w:lang w:val="en-US" w:eastAsia="zh-CN"/>
        </w:rPr>
        <w:t>在</w:t>
      </w:r>
      <w:r>
        <w:rPr>
          <w:rFonts w:hint="eastAsia" w:asciiTheme="minorEastAsia" w:hAnsiTheme="minorEastAsia" w:eastAsiaTheme="minorEastAsia" w:cstheme="minorEastAsia"/>
          <w:sz w:val="24"/>
          <w:szCs w:val="24"/>
          <w:lang w:eastAsia="zh-CN"/>
        </w:rPr>
        <w:t>配网自动化馈线终端接口转接装置</w:t>
      </w:r>
      <w:r>
        <w:rPr>
          <w:rFonts w:hint="eastAsia" w:asciiTheme="minorEastAsia" w:hAnsiTheme="minorEastAsia" w:eastAsiaTheme="minorEastAsia" w:cstheme="minorEastAsia"/>
          <w:kern w:val="0"/>
          <w:sz w:val="24"/>
          <w:lang w:val="en-US" w:eastAsia="zh-CN"/>
        </w:rPr>
        <w:t>制作、试验过程中，作业人员须严格落实安全责任：严禁以人力扶持、凳子/箱子/绳索等简易物品作为临时固定支撑，须使用专用电缆固定工器具，确保支撑稳固可靠；作业前须检查固定装置安全性，狭窄空间（如开关柜内）需增设防倾倒、防滑落措施；监护人全程监督，制止违规扶持或不规范固定行为；项目负责人需核查工器具合规性，强化现场安全交底。因固定不牢导致操作失误、试验事故的，严肃追究相关责任人责任，确保作业质量与人员安全双保障。</w:t>
      </w:r>
    </w:p>
    <w:sectPr>
      <w:headerReference r:id="rId3" w:type="default"/>
      <w:footerReference r:id="rId4" w:type="default"/>
      <w:pgSz w:w="11906" w:h="16838"/>
      <w:pgMar w:top="1670" w:right="1800" w:bottom="1440" w:left="1800" w:header="1135"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1D9E1">
    <w:pPr>
      <w:pStyle w:val="40"/>
      <w:rPr>
        <w:sz w:val="21"/>
        <w:szCs w:val="21"/>
      </w:rPr>
    </w:pPr>
    <w:r>
      <w:rPr>
        <w:rFonts w:hint="eastAsia"/>
      </w:rPr>
      <w:t xml:space="preserve"> </w:t>
    </w:r>
    <w:r>
      <w:t xml:space="preserve">                     </w:t>
    </w:r>
    <w:r>
      <w:rPr>
        <w:sz w:val="21"/>
        <w:szCs w:val="21"/>
      </w:rPr>
      <w:t xml:space="preserve"> </w:t>
    </w:r>
    <w:r>
      <w:rPr>
        <w:sz w:val="21"/>
        <w:szCs w:val="21"/>
        <w:lang w:val="zh-CN"/>
      </w:rPr>
      <w:t xml:space="preserve">~ </w:t>
    </w:r>
    <w:r>
      <w:rPr>
        <w:rFonts w:asciiTheme="minorHAnsi" w:hAnsiTheme="minorHAnsi" w:eastAsiaTheme="minorEastAsia" w:cstheme="minorBidi"/>
        <w:sz w:val="21"/>
        <w:szCs w:val="21"/>
      </w:rPr>
      <w:fldChar w:fldCharType="begin"/>
    </w:r>
    <w:r>
      <w:rPr>
        <w:sz w:val="21"/>
        <w:szCs w:val="21"/>
      </w:rPr>
      <w:instrText xml:space="preserve">PAGE    \* MERGEFORMAT</w:instrText>
    </w:r>
    <w:r>
      <w:rPr>
        <w:rFonts w:asciiTheme="minorHAnsi" w:hAnsiTheme="minorHAnsi" w:eastAsiaTheme="minorEastAsia" w:cstheme="minorBidi"/>
        <w:sz w:val="21"/>
        <w:szCs w:val="21"/>
      </w:rPr>
      <w:fldChar w:fldCharType="separate"/>
    </w:r>
    <w:r>
      <w:rPr>
        <w:sz w:val="21"/>
        <w:szCs w:val="21"/>
        <w:lang w:val="zh-CN"/>
      </w:rPr>
      <w:t>1</w:t>
    </w:r>
    <w:r>
      <w:rPr>
        <w:sz w:val="21"/>
        <w:szCs w:val="21"/>
      </w:rPr>
      <w:fldChar w:fldCharType="end"/>
    </w:r>
    <w:r>
      <w:rPr>
        <w:sz w:val="21"/>
        <w:szCs w:val="21"/>
        <w:lang w:val="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E5E63">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CBF1A"/>
    <w:multiLevelType w:val="singleLevel"/>
    <w:tmpl w:val="8A5CBF1A"/>
    <w:lvl w:ilvl="0" w:tentative="0">
      <w:start w:val="4"/>
      <w:numFmt w:val="decimal"/>
      <w:lvlText w:val="%1."/>
      <w:lvlJc w:val="left"/>
      <w:pPr>
        <w:tabs>
          <w:tab w:val="left" w:pos="312"/>
        </w:tabs>
      </w:pPr>
    </w:lvl>
  </w:abstractNum>
  <w:abstractNum w:abstractNumId="1">
    <w:nsid w:val="C6C603DE"/>
    <w:multiLevelType w:val="singleLevel"/>
    <w:tmpl w:val="C6C603DE"/>
    <w:lvl w:ilvl="0" w:tentative="0">
      <w:start w:val="1"/>
      <w:numFmt w:val="decimal"/>
      <w:suff w:val="nothing"/>
      <w:lvlText w:val="4.%1"/>
      <w:lvlJc w:val="left"/>
      <w:pPr>
        <w:ind w:left="0" w:firstLine="403"/>
      </w:pPr>
      <w:rPr>
        <w:rFonts w:hint="default"/>
      </w:rPr>
    </w:lvl>
  </w:abstractNum>
  <w:abstractNum w:abstractNumId="2">
    <w:nsid w:val="00000013"/>
    <w:multiLevelType w:val="multilevel"/>
    <w:tmpl w:val="00000013"/>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34"/>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33"/>
      <w:lvlText w:val="%1%2.%3"/>
      <w:lvlJc w:val="left"/>
      <w:pPr>
        <w:tabs>
          <w:tab w:val="left" w:pos="720"/>
        </w:tabs>
        <w:ind w:left="0" w:firstLine="0"/>
      </w:pPr>
      <w:rPr>
        <w:rFonts w:hint="eastAsia" w:ascii="黑体" w:hAnsi="Times New Roman" w:eastAsia="黑体"/>
        <w:b/>
        <w:i w:val="0"/>
        <w:sz w:val="21"/>
      </w:rPr>
    </w:lvl>
    <w:lvl w:ilvl="3" w:tentative="0">
      <w:start w:val="1"/>
      <w:numFmt w:val="decimal"/>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180014"/>
    <w:rsid w:val="000130DC"/>
    <w:rsid w:val="00013BEA"/>
    <w:rsid w:val="00017942"/>
    <w:rsid w:val="0002391A"/>
    <w:rsid w:val="00050526"/>
    <w:rsid w:val="00076B1C"/>
    <w:rsid w:val="00085CFF"/>
    <w:rsid w:val="000A7712"/>
    <w:rsid w:val="000D737C"/>
    <w:rsid w:val="00107F72"/>
    <w:rsid w:val="00132756"/>
    <w:rsid w:val="00172B95"/>
    <w:rsid w:val="001859E9"/>
    <w:rsid w:val="00185AA2"/>
    <w:rsid w:val="001A6D90"/>
    <w:rsid w:val="001C2E12"/>
    <w:rsid w:val="001C72F7"/>
    <w:rsid w:val="001D2314"/>
    <w:rsid w:val="001D3301"/>
    <w:rsid w:val="002100E8"/>
    <w:rsid w:val="00225A3C"/>
    <w:rsid w:val="00247834"/>
    <w:rsid w:val="00262BDA"/>
    <w:rsid w:val="00273884"/>
    <w:rsid w:val="00290A6F"/>
    <w:rsid w:val="00290F7D"/>
    <w:rsid w:val="002A538F"/>
    <w:rsid w:val="002F124B"/>
    <w:rsid w:val="0031179A"/>
    <w:rsid w:val="00347DDA"/>
    <w:rsid w:val="00383BE1"/>
    <w:rsid w:val="00384DA6"/>
    <w:rsid w:val="003A2B05"/>
    <w:rsid w:val="003A5992"/>
    <w:rsid w:val="003B1A44"/>
    <w:rsid w:val="003C0E5F"/>
    <w:rsid w:val="003D2ACE"/>
    <w:rsid w:val="00416E50"/>
    <w:rsid w:val="0042357C"/>
    <w:rsid w:val="004254C0"/>
    <w:rsid w:val="004544A0"/>
    <w:rsid w:val="0048080D"/>
    <w:rsid w:val="004D3D3B"/>
    <w:rsid w:val="004D7F27"/>
    <w:rsid w:val="004E63D7"/>
    <w:rsid w:val="004E6699"/>
    <w:rsid w:val="00541C16"/>
    <w:rsid w:val="005558F8"/>
    <w:rsid w:val="00591249"/>
    <w:rsid w:val="005D5321"/>
    <w:rsid w:val="005F6B46"/>
    <w:rsid w:val="00603106"/>
    <w:rsid w:val="00617DE6"/>
    <w:rsid w:val="00621AF7"/>
    <w:rsid w:val="00692926"/>
    <w:rsid w:val="00694FCF"/>
    <w:rsid w:val="006B0925"/>
    <w:rsid w:val="006B19F7"/>
    <w:rsid w:val="006B1FEE"/>
    <w:rsid w:val="006E0D21"/>
    <w:rsid w:val="006E4024"/>
    <w:rsid w:val="00712AEF"/>
    <w:rsid w:val="007410A1"/>
    <w:rsid w:val="00786671"/>
    <w:rsid w:val="007A14DC"/>
    <w:rsid w:val="007C2DAF"/>
    <w:rsid w:val="007E7481"/>
    <w:rsid w:val="007F34ED"/>
    <w:rsid w:val="007F7D2A"/>
    <w:rsid w:val="0080340F"/>
    <w:rsid w:val="008272FB"/>
    <w:rsid w:val="00840277"/>
    <w:rsid w:val="008463BB"/>
    <w:rsid w:val="008620D3"/>
    <w:rsid w:val="00885ABC"/>
    <w:rsid w:val="008B6C01"/>
    <w:rsid w:val="00903D7C"/>
    <w:rsid w:val="00906157"/>
    <w:rsid w:val="009103FD"/>
    <w:rsid w:val="00941A0A"/>
    <w:rsid w:val="00941E94"/>
    <w:rsid w:val="009505D1"/>
    <w:rsid w:val="00953977"/>
    <w:rsid w:val="00996538"/>
    <w:rsid w:val="009A7DBE"/>
    <w:rsid w:val="009D39F9"/>
    <w:rsid w:val="00A3574F"/>
    <w:rsid w:val="00A41CA2"/>
    <w:rsid w:val="00A43D49"/>
    <w:rsid w:val="00A521AC"/>
    <w:rsid w:val="00A548F0"/>
    <w:rsid w:val="00A6074C"/>
    <w:rsid w:val="00A64A3E"/>
    <w:rsid w:val="00A7401E"/>
    <w:rsid w:val="00AA194B"/>
    <w:rsid w:val="00AC5547"/>
    <w:rsid w:val="00AC5590"/>
    <w:rsid w:val="00AF2444"/>
    <w:rsid w:val="00B40611"/>
    <w:rsid w:val="00B42A4C"/>
    <w:rsid w:val="00B467BA"/>
    <w:rsid w:val="00B53DFC"/>
    <w:rsid w:val="00B560CE"/>
    <w:rsid w:val="00B720C7"/>
    <w:rsid w:val="00B845E1"/>
    <w:rsid w:val="00B93E0E"/>
    <w:rsid w:val="00BE3AF9"/>
    <w:rsid w:val="00BF1ED3"/>
    <w:rsid w:val="00C01920"/>
    <w:rsid w:val="00C0523B"/>
    <w:rsid w:val="00C154B8"/>
    <w:rsid w:val="00C321A1"/>
    <w:rsid w:val="00C734D9"/>
    <w:rsid w:val="00C73B3B"/>
    <w:rsid w:val="00C95E5D"/>
    <w:rsid w:val="00CC6F04"/>
    <w:rsid w:val="00D25086"/>
    <w:rsid w:val="00D25776"/>
    <w:rsid w:val="00D5709A"/>
    <w:rsid w:val="00D8670C"/>
    <w:rsid w:val="00DD1A75"/>
    <w:rsid w:val="00DE46ED"/>
    <w:rsid w:val="00E03840"/>
    <w:rsid w:val="00E04657"/>
    <w:rsid w:val="00E44A4B"/>
    <w:rsid w:val="00E564D4"/>
    <w:rsid w:val="00E66055"/>
    <w:rsid w:val="00E906D3"/>
    <w:rsid w:val="00EA153F"/>
    <w:rsid w:val="00EA2C97"/>
    <w:rsid w:val="00EC7232"/>
    <w:rsid w:val="00ED3B47"/>
    <w:rsid w:val="00ED78D5"/>
    <w:rsid w:val="00EE3C2F"/>
    <w:rsid w:val="00F07E86"/>
    <w:rsid w:val="00F54C14"/>
    <w:rsid w:val="00F75A56"/>
    <w:rsid w:val="00F822B1"/>
    <w:rsid w:val="00F95F26"/>
    <w:rsid w:val="00FD1C84"/>
    <w:rsid w:val="00FE45A4"/>
    <w:rsid w:val="01427513"/>
    <w:rsid w:val="023175F6"/>
    <w:rsid w:val="03472883"/>
    <w:rsid w:val="035A08D4"/>
    <w:rsid w:val="043E60E5"/>
    <w:rsid w:val="044353B7"/>
    <w:rsid w:val="04445771"/>
    <w:rsid w:val="04B16F17"/>
    <w:rsid w:val="04D27709"/>
    <w:rsid w:val="08011098"/>
    <w:rsid w:val="084E378E"/>
    <w:rsid w:val="08A27553"/>
    <w:rsid w:val="09152D91"/>
    <w:rsid w:val="09657434"/>
    <w:rsid w:val="09A228DE"/>
    <w:rsid w:val="0A2B721E"/>
    <w:rsid w:val="0B2240B4"/>
    <w:rsid w:val="0BE36F7D"/>
    <w:rsid w:val="0CE1665B"/>
    <w:rsid w:val="0E5B6A37"/>
    <w:rsid w:val="0EA03C30"/>
    <w:rsid w:val="0ED50EC9"/>
    <w:rsid w:val="0F2B423C"/>
    <w:rsid w:val="11094C8A"/>
    <w:rsid w:val="11EF081B"/>
    <w:rsid w:val="12DA6698"/>
    <w:rsid w:val="137D3964"/>
    <w:rsid w:val="140830E5"/>
    <w:rsid w:val="15813DAC"/>
    <w:rsid w:val="182E08BB"/>
    <w:rsid w:val="185537EF"/>
    <w:rsid w:val="18765555"/>
    <w:rsid w:val="18904609"/>
    <w:rsid w:val="1A4D5C8C"/>
    <w:rsid w:val="1A5A4A7F"/>
    <w:rsid w:val="1A6A5E0F"/>
    <w:rsid w:val="1A8C5B4B"/>
    <w:rsid w:val="1A9B1E8A"/>
    <w:rsid w:val="1B0808B7"/>
    <w:rsid w:val="1BA83F4D"/>
    <w:rsid w:val="1BF4530E"/>
    <w:rsid w:val="1CAA45F0"/>
    <w:rsid w:val="1DDD1B29"/>
    <w:rsid w:val="1FC573ED"/>
    <w:rsid w:val="208206D0"/>
    <w:rsid w:val="21C53406"/>
    <w:rsid w:val="22A9397E"/>
    <w:rsid w:val="235B3C3A"/>
    <w:rsid w:val="23687149"/>
    <w:rsid w:val="23B054A6"/>
    <w:rsid w:val="24F3732E"/>
    <w:rsid w:val="269246A6"/>
    <w:rsid w:val="29013960"/>
    <w:rsid w:val="2B401C9B"/>
    <w:rsid w:val="2B7E2BE1"/>
    <w:rsid w:val="2BA532A3"/>
    <w:rsid w:val="2CAA15D4"/>
    <w:rsid w:val="2D3B59AF"/>
    <w:rsid w:val="2DF974B1"/>
    <w:rsid w:val="2E016B8B"/>
    <w:rsid w:val="2E470960"/>
    <w:rsid w:val="2FD44A0C"/>
    <w:rsid w:val="301D1543"/>
    <w:rsid w:val="303C4EDB"/>
    <w:rsid w:val="303E26F6"/>
    <w:rsid w:val="30FC5D3E"/>
    <w:rsid w:val="318B21C8"/>
    <w:rsid w:val="329E24FB"/>
    <w:rsid w:val="32F35A40"/>
    <w:rsid w:val="34236D31"/>
    <w:rsid w:val="34B519E8"/>
    <w:rsid w:val="358B1B13"/>
    <w:rsid w:val="36724472"/>
    <w:rsid w:val="36A66572"/>
    <w:rsid w:val="36CC15FA"/>
    <w:rsid w:val="36F62CDD"/>
    <w:rsid w:val="37D27BEE"/>
    <w:rsid w:val="38865BFA"/>
    <w:rsid w:val="38F3706A"/>
    <w:rsid w:val="391B003F"/>
    <w:rsid w:val="3A5B065E"/>
    <w:rsid w:val="3B241322"/>
    <w:rsid w:val="3BE26D15"/>
    <w:rsid w:val="3CA43677"/>
    <w:rsid w:val="3CA462CE"/>
    <w:rsid w:val="3D5A2083"/>
    <w:rsid w:val="3E257BC1"/>
    <w:rsid w:val="3E8222C8"/>
    <w:rsid w:val="3F303F95"/>
    <w:rsid w:val="40CE3A18"/>
    <w:rsid w:val="42304E6A"/>
    <w:rsid w:val="4399424E"/>
    <w:rsid w:val="44B855DE"/>
    <w:rsid w:val="457E4C38"/>
    <w:rsid w:val="479559D1"/>
    <w:rsid w:val="479743D0"/>
    <w:rsid w:val="47FE2438"/>
    <w:rsid w:val="4BFB1865"/>
    <w:rsid w:val="4C423DF2"/>
    <w:rsid w:val="4E3F1601"/>
    <w:rsid w:val="4F02195D"/>
    <w:rsid w:val="4F1E5CBB"/>
    <w:rsid w:val="4FFB11C5"/>
    <w:rsid w:val="50C5099A"/>
    <w:rsid w:val="50DF153C"/>
    <w:rsid w:val="51533282"/>
    <w:rsid w:val="51CE4E43"/>
    <w:rsid w:val="528365E6"/>
    <w:rsid w:val="53877A48"/>
    <w:rsid w:val="56360AFF"/>
    <w:rsid w:val="59303A61"/>
    <w:rsid w:val="594823FB"/>
    <w:rsid w:val="59B74569"/>
    <w:rsid w:val="59FE4F42"/>
    <w:rsid w:val="5A0F163F"/>
    <w:rsid w:val="5B6A0515"/>
    <w:rsid w:val="5BDB1617"/>
    <w:rsid w:val="5CE92A69"/>
    <w:rsid w:val="604C09F6"/>
    <w:rsid w:val="60AA45DA"/>
    <w:rsid w:val="611500E3"/>
    <w:rsid w:val="6284312B"/>
    <w:rsid w:val="63F73F4E"/>
    <w:rsid w:val="644C0D79"/>
    <w:rsid w:val="64AC6EB6"/>
    <w:rsid w:val="65F67B6A"/>
    <w:rsid w:val="663805AA"/>
    <w:rsid w:val="68E618F1"/>
    <w:rsid w:val="69640996"/>
    <w:rsid w:val="6985301C"/>
    <w:rsid w:val="6A12740C"/>
    <w:rsid w:val="6B1B5B89"/>
    <w:rsid w:val="6C071E63"/>
    <w:rsid w:val="6C43179E"/>
    <w:rsid w:val="6DB07F69"/>
    <w:rsid w:val="6DBF2751"/>
    <w:rsid w:val="6E067F3B"/>
    <w:rsid w:val="6E0E18EE"/>
    <w:rsid w:val="6E2340F9"/>
    <w:rsid w:val="6E6764DE"/>
    <w:rsid w:val="6FC70BF5"/>
    <w:rsid w:val="7005291A"/>
    <w:rsid w:val="70C81FA4"/>
    <w:rsid w:val="70D215D6"/>
    <w:rsid w:val="70F34F32"/>
    <w:rsid w:val="711A7F46"/>
    <w:rsid w:val="71C80221"/>
    <w:rsid w:val="73357908"/>
    <w:rsid w:val="7485672D"/>
    <w:rsid w:val="74C44169"/>
    <w:rsid w:val="76443671"/>
    <w:rsid w:val="7645082D"/>
    <w:rsid w:val="78163F80"/>
    <w:rsid w:val="7819191E"/>
    <w:rsid w:val="78A97AC0"/>
    <w:rsid w:val="79180014"/>
    <w:rsid w:val="79796385"/>
    <w:rsid w:val="7A514B74"/>
    <w:rsid w:val="7C0C2A5A"/>
    <w:rsid w:val="7D374087"/>
    <w:rsid w:val="7EA412BC"/>
    <w:rsid w:val="7F3173D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9" w:semiHidden="0" w:name="heading 3" w:locked="1"/>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ocked="1"/>
    <w:lsdException w:uiPriority="99" w:name="footnote text" w:locked="1"/>
    <w:lsdException w:uiPriority="99" w:name="annotation text" w:locked="1"/>
    <w:lsdException w:qFormat="1" w:uiPriority="0" w:semiHidden="0" w:name="header" w:locked="1"/>
    <w:lsdException w:qFormat="1" w:uiPriority="0" w:semiHidden="0" w:name="footer" w:locked="1"/>
    <w:lsdException w:uiPriority="99" w:name="index heading" w:locked="1"/>
    <w:lsdException w:qFormat="1" w:uiPriority="35" w:semiHidden="0"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iPriority="99" w:semiHidden="0"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qFormat="1" w:uiPriority="99" w:semiHidden="0" w:name="Document Map" w:locked="1"/>
    <w:lsdException w:qFormat="1" w:uiPriority="99" w:semiHidden="0"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iPriority="99" w:semiHidden="0" w:name="Balloon Text" w:locked="1"/>
    <w:lsdException w:qFormat="1" w:unhideWhenUsed="0" w:uiPriority="0"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locked/>
    <w:uiPriority w:val="9"/>
    <w:pPr>
      <w:keepNext/>
      <w:keepLines/>
      <w:spacing w:before="240" w:after="120" w:line="420" w:lineRule="auto"/>
      <w:jc w:val="left"/>
      <w:outlineLvl w:val="0"/>
    </w:pPr>
    <w:rPr>
      <w:rFonts w:ascii="宋体" w:hAnsi="宋体" w:cs="宋体"/>
      <w:b/>
      <w:sz w:val="24"/>
      <w:szCs w:val="21"/>
    </w:rPr>
  </w:style>
  <w:style w:type="paragraph" w:styleId="4">
    <w:name w:val="heading 2"/>
    <w:basedOn w:val="1"/>
    <w:next w:val="5"/>
    <w:link w:val="27"/>
    <w:qFormat/>
    <w:uiPriority w:val="99"/>
    <w:pPr>
      <w:spacing w:beforeLines="50" w:afterLines="50"/>
      <w:jc w:val="left"/>
      <w:outlineLvl w:val="1"/>
    </w:pPr>
    <w:rPr>
      <w:rFonts w:ascii="宋体" w:hAnsi="宋体"/>
      <w:b/>
      <w:kern w:val="0"/>
      <w:sz w:val="36"/>
      <w:szCs w:val="36"/>
    </w:rPr>
  </w:style>
  <w:style w:type="paragraph" w:styleId="6">
    <w:name w:val="heading 3"/>
    <w:basedOn w:val="1"/>
    <w:next w:val="1"/>
    <w:unhideWhenUsed/>
    <w:qFormat/>
    <w:locked/>
    <w:uiPriority w:val="9"/>
    <w:pPr>
      <w:keepNext/>
      <w:keepLines/>
      <w:tabs>
        <w:tab w:val="left" w:pos="432"/>
        <w:tab w:val="left" w:pos="720"/>
      </w:tabs>
      <w:spacing w:line="413" w:lineRule="auto"/>
      <w:outlineLvl w:val="2"/>
    </w:pPr>
    <w:rPr>
      <w:rFonts w:ascii="Times New Roman" w:hAnsi="Times New Roman" w:eastAsia="黑体"/>
      <w:b/>
      <w:szCs w:val="20"/>
    </w:rPr>
  </w:style>
  <w:style w:type="paragraph" w:styleId="7">
    <w:name w:val="heading 4"/>
    <w:basedOn w:val="1"/>
    <w:next w:val="1"/>
    <w:unhideWhenUsed/>
    <w:qFormat/>
    <w:locked/>
    <w:uiPriority w:val="9"/>
    <w:pPr>
      <w:keepNext/>
      <w:keepLines/>
      <w:tabs>
        <w:tab w:val="left" w:pos="432"/>
        <w:tab w:val="left" w:pos="864"/>
      </w:tabs>
      <w:spacing w:line="372" w:lineRule="auto"/>
      <w:ind w:left="864" w:hanging="864"/>
      <w:outlineLvl w:val="3"/>
    </w:pPr>
    <w:rPr>
      <w:rFonts w:ascii="Arial" w:hAnsi="Arial" w:eastAsia="黑体"/>
      <w:szCs w:val="20"/>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toc 2"/>
    <w:basedOn w:val="1"/>
    <w:next w:val="1"/>
    <w:qFormat/>
    <w:uiPriority w:val="39"/>
    <w:pPr>
      <w:ind w:left="420" w:leftChars="200"/>
    </w:pPr>
    <w:rPr>
      <w:b/>
      <w:sz w:val="24"/>
    </w:rPr>
  </w:style>
  <w:style w:type="paragraph" w:styleId="5">
    <w:name w:val="Normal Indent"/>
    <w:basedOn w:val="1"/>
    <w:qFormat/>
    <w:locked/>
    <w:uiPriority w:val="0"/>
    <w:pPr>
      <w:ind w:firstLine="420" w:firstLineChars="200"/>
    </w:pPr>
  </w:style>
  <w:style w:type="paragraph" w:styleId="8">
    <w:name w:val="toc 7"/>
    <w:basedOn w:val="1"/>
    <w:next w:val="1"/>
    <w:qFormat/>
    <w:uiPriority w:val="39"/>
    <w:pPr>
      <w:ind w:left="2520" w:leftChars="1200"/>
    </w:pPr>
  </w:style>
  <w:style w:type="paragraph" w:styleId="9">
    <w:name w:val="caption"/>
    <w:basedOn w:val="1"/>
    <w:next w:val="1"/>
    <w:unhideWhenUsed/>
    <w:qFormat/>
    <w:locked/>
    <w:uiPriority w:val="35"/>
    <w:rPr>
      <w:rFonts w:eastAsia="黑体" w:asciiTheme="majorHAnsi" w:hAnsiTheme="majorHAnsi" w:cstheme="majorBidi"/>
      <w:sz w:val="20"/>
      <w:szCs w:val="20"/>
    </w:rPr>
  </w:style>
  <w:style w:type="paragraph" w:styleId="10">
    <w:name w:val="Document Map"/>
    <w:basedOn w:val="1"/>
    <w:link w:val="44"/>
    <w:unhideWhenUsed/>
    <w:qFormat/>
    <w:locked/>
    <w:uiPriority w:val="99"/>
    <w:rPr>
      <w:rFonts w:ascii="宋体"/>
      <w:sz w:val="18"/>
      <w:szCs w:val="18"/>
    </w:rPr>
  </w:style>
  <w:style w:type="paragraph" w:styleId="11">
    <w:name w:val="toc 5"/>
    <w:basedOn w:val="1"/>
    <w:next w:val="1"/>
    <w:qFormat/>
    <w:uiPriority w:val="39"/>
    <w:pPr>
      <w:ind w:left="1680" w:leftChars="800"/>
    </w:pPr>
  </w:style>
  <w:style w:type="paragraph" w:styleId="12">
    <w:name w:val="toc 3"/>
    <w:basedOn w:val="1"/>
    <w:next w:val="1"/>
    <w:qFormat/>
    <w:uiPriority w:val="39"/>
    <w:pPr>
      <w:ind w:left="840" w:leftChars="400"/>
    </w:pPr>
  </w:style>
  <w:style w:type="paragraph" w:styleId="13">
    <w:name w:val="Plain Text"/>
    <w:basedOn w:val="1"/>
    <w:unhideWhenUsed/>
    <w:qFormat/>
    <w:locked/>
    <w:uiPriority w:val="99"/>
    <w:rPr>
      <w:rFonts w:ascii="宋体" w:hAnsi="Courier New"/>
      <w:szCs w:val="20"/>
    </w:rPr>
  </w:style>
  <w:style w:type="paragraph" w:styleId="14">
    <w:name w:val="toc 8"/>
    <w:basedOn w:val="1"/>
    <w:next w:val="1"/>
    <w:qFormat/>
    <w:uiPriority w:val="39"/>
    <w:pPr>
      <w:ind w:left="2940" w:leftChars="1400"/>
    </w:pPr>
  </w:style>
  <w:style w:type="paragraph" w:styleId="15">
    <w:name w:val="Balloon Text"/>
    <w:basedOn w:val="1"/>
    <w:link w:val="41"/>
    <w:unhideWhenUsed/>
    <w:qFormat/>
    <w:locked/>
    <w:uiPriority w:val="99"/>
    <w:rPr>
      <w:sz w:val="18"/>
      <w:szCs w:val="18"/>
    </w:rPr>
  </w:style>
  <w:style w:type="paragraph" w:styleId="16">
    <w:name w:val="footer"/>
    <w:basedOn w:val="1"/>
    <w:link w:val="28"/>
    <w:unhideWhenUsed/>
    <w:qFormat/>
    <w:locked/>
    <w:uiPriority w:val="0"/>
    <w:pPr>
      <w:tabs>
        <w:tab w:val="center" w:pos="4153"/>
        <w:tab w:val="right" w:pos="8306"/>
      </w:tabs>
      <w:snapToGrid w:val="0"/>
      <w:jc w:val="left"/>
    </w:pPr>
    <w:rPr>
      <w:sz w:val="18"/>
    </w:rPr>
  </w:style>
  <w:style w:type="paragraph" w:styleId="17">
    <w:name w:val="header"/>
    <w:basedOn w:val="1"/>
    <w:link w:val="29"/>
    <w:unhideWhenUsed/>
    <w:qFormat/>
    <w:locked/>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39"/>
    <w:pPr>
      <w:spacing w:line="360" w:lineRule="auto"/>
    </w:pPr>
    <w:rPr>
      <w:b/>
      <w:sz w:val="24"/>
    </w:rPr>
  </w:style>
  <w:style w:type="paragraph" w:styleId="19">
    <w:name w:val="toc 4"/>
    <w:basedOn w:val="1"/>
    <w:next w:val="1"/>
    <w:qFormat/>
    <w:uiPriority w:val="39"/>
    <w:pPr>
      <w:ind w:left="1260" w:leftChars="600"/>
    </w:pPr>
  </w:style>
  <w:style w:type="paragraph" w:styleId="20">
    <w:name w:val="toc 6"/>
    <w:basedOn w:val="1"/>
    <w:next w:val="1"/>
    <w:qFormat/>
    <w:uiPriority w:val="39"/>
    <w:pPr>
      <w:ind w:left="2100" w:leftChars="1000"/>
    </w:pPr>
  </w:style>
  <w:style w:type="paragraph" w:styleId="21">
    <w:name w:val="toc 9"/>
    <w:basedOn w:val="1"/>
    <w:next w:val="1"/>
    <w:qFormat/>
    <w:uiPriority w:val="39"/>
    <w:pPr>
      <w:ind w:left="3360" w:leftChars="1600"/>
    </w:pPr>
  </w:style>
  <w:style w:type="table" w:styleId="23">
    <w:name w:val="Table Grid"/>
    <w:basedOn w:val="22"/>
    <w:qFormat/>
    <w:locked/>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locked/>
    <w:uiPriority w:val="0"/>
  </w:style>
  <w:style w:type="character" w:styleId="26">
    <w:name w:val="Hyperlink"/>
    <w:basedOn w:val="24"/>
    <w:unhideWhenUsed/>
    <w:qFormat/>
    <w:locked/>
    <w:uiPriority w:val="99"/>
    <w:rPr>
      <w:color w:val="0000FF" w:themeColor="hyperlink"/>
      <w:u w:val="single"/>
      <w14:textFill>
        <w14:solidFill>
          <w14:schemeClr w14:val="hlink"/>
        </w14:solidFill>
      </w14:textFill>
    </w:rPr>
  </w:style>
  <w:style w:type="character" w:customStyle="1" w:styleId="27">
    <w:name w:val="标题 2 Char"/>
    <w:link w:val="4"/>
    <w:qFormat/>
    <w:locked/>
    <w:uiPriority w:val="99"/>
    <w:rPr>
      <w:rFonts w:ascii="宋体" w:hAnsi="宋体"/>
      <w:b/>
      <w:sz w:val="36"/>
      <w:szCs w:val="36"/>
    </w:rPr>
  </w:style>
  <w:style w:type="character" w:customStyle="1" w:styleId="28">
    <w:name w:val="页脚 Char"/>
    <w:link w:val="16"/>
    <w:qFormat/>
    <w:uiPriority w:val="99"/>
    <w:rPr>
      <w:rFonts w:ascii="Calibri" w:hAnsi="Calibri"/>
      <w:kern w:val="2"/>
      <w:sz w:val="18"/>
      <w:szCs w:val="24"/>
    </w:rPr>
  </w:style>
  <w:style w:type="character" w:customStyle="1" w:styleId="29">
    <w:name w:val="页眉 Char"/>
    <w:link w:val="17"/>
    <w:qFormat/>
    <w:uiPriority w:val="99"/>
    <w:rPr>
      <w:rFonts w:ascii="Calibri" w:hAnsi="Calibri"/>
      <w:kern w:val="2"/>
      <w:sz w:val="18"/>
      <w:szCs w:val="24"/>
    </w:rPr>
  </w:style>
  <w:style w:type="paragraph" w:customStyle="1" w:styleId="30">
    <w:name w:val="TOC 标题1"/>
    <w:basedOn w:val="3"/>
    <w:next w:val="1"/>
    <w:unhideWhenUsed/>
    <w:qFormat/>
    <w:uiPriority w:val="39"/>
    <w:pPr>
      <w:widowControl/>
      <w:spacing w:after="0" w:line="259" w:lineRule="auto"/>
      <w:outlineLvl w:val="9"/>
    </w:pPr>
    <w:rPr>
      <w:rFonts w:asciiTheme="majorHAnsi" w:hAnsiTheme="majorHAnsi" w:eastAsiaTheme="majorEastAsia" w:cstheme="majorBidi"/>
      <w:color w:val="376092" w:themeColor="accent1" w:themeShade="BF"/>
      <w:kern w:val="0"/>
      <w:sz w:val="32"/>
      <w:szCs w:val="32"/>
    </w:rPr>
  </w:style>
  <w:style w:type="paragraph" w:customStyle="1" w:styleId="31">
    <w:name w:val="列出段落1"/>
    <w:basedOn w:val="1"/>
    <w:qFormat/>
    <w:uiPriority w:val="34"/>
    <w:pPr>
      <w:ind w:firstLine="420" w:firstLineChars="200"/>
    </w:pPr>
  </w:style>
  <w:style w:type="paragraph" w:customStyle="1" w:styleId="32">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3">
    <w:name w:val="一级条标题"/>
    <w:basedOn w:val="34"/>
    <w:next w:val="35"/>
    <w:qFormat/>
    <w:uiPriority w:val="0"/>
    <w:pPr>
      <w:numPr>
        <w:ilvl w:val="2"/>
      </w:numPr>
      <w:tabs>
        <w:tab w:val="left" w:pos="420"/>
        <w:tab w:val="left" w:pos="525"/>
      </w:tabs>
      <w:spacing w:beforeLines="0" w:afterLines="0"/>
      <w:outlineLvl w:val="2"/>
    </w:pPr>
  </w:style>
  <w:style w:type="paragraph" w:customStyle="1" w:styleId="34">
    <w:name w:val="章标题"/>
    <w:next w:val="35"/>
    <w:qFormat/>
    <w:uiPriority w:val="0"/>
    <w:pPr>
      <w:numPr>
        <w:ilvl w:val="1"/>
        <w:numId w:val="1"/>
      </w:numPr>
      <w:tabs>
        <w:tab w:val="left" w:pos="420"/>
        <w:tab w:val="clear" w:pos="360"/>
      </w:tabs>
      <w:spacing w:beforeLines="50" w:afterLines="50"/>
      <w:jc w:val="both"/>
      <w:outlineLvl w:val="1"/>
    </w:pPr>
    <w:rPr>
      <w:rFonts w:ascii="黑体" w:hAnsi="Times New Roman" w:eastAsia="黑体" w:cs="Times New Roman"/>
      <w:b/>
      <w:sz w:val="21"/>
      <w:lang w:val="en-US" w:eastAsia="zh-CN" w:bidi="ar-SA"/>
    </w:rPr>
  </w:style>
  <w:style w:type="paragraph" w:customStyle="1" w:styleId="35">
    <w:name w:val="段"/>
    <w:link w:val="43"/>
    <w:qFormat/>
    <w:uiPriority w:val="99"/>
    <w:pPr>
      <w:ind w:firstLine="200" w:firstLineChars="200"/>
      <w:jc w:val="both"/>
    </w:pPr>
    <w:rPr>
      <w:rFonts w:ascii="宋体" w:hAnsi="Times New Roman" w:eastAsia="宋体" w:cs="Times New Roman"/>
      <w:sz w:val="21"/>
      <w:lang w:val="en-US" w:eastAsia="zh-CN" w:bidi="ar-SA"/>
    </w:rPr>
  </w:style>
  <w:style w:type="character" w:customStyle="1" w:styleId="36">
    <w:name w:val="表题 + (西文) 宋体 Char Char Char Char Char Char Char Char"/>
    <w:link w:val="37"/>
    <w:qFormat/>
    <w:uiPriority w:val="0"/>
    <w:rPr>
      <w:rFonts w:hAnsi="宋体" w:eastAsia="黑体" w:cstheme="minorBidi"/>
      <w:szCs w:val="22"/>
    </w:rPr>
  </w:style>
  <w:style w:type="paragraph" w:customStyle="1" w:styleId="37">
    <w:name w:val="表题 + (西文) 宋体 Char Char Char Char Char Char Char"/>
    <w:basedOn w:val="9"/>
    <w:link w:val="36"/>
    <w:qFormat/>
    <w:uiPriority w:val="0"/>
    <w:pPr>
      <w:adjustRightInd w:val="0"/>
      <w:spacing w:before="120" w:after="120" w:line="320" w:lineRule="exact"/>
      <w:jc w:val="center"/>
      <w:textAlignment w:val="baseline"/>
    </w:pPr>
    <w:rPr>
      <w:rFonts w:hAnsi="宋体" w:cstheme="minorBidi"/>
      <w:szCs w:val="22"/>
    </w:rPr>
  </w:style>
  <w:style w:type="character" w:customStyle="1" w:styleId="38">
    <w:name w:val="font01"/>
    <w:basedOn w:val="24"/>
    <w:qFormat/>
    <w:uiPriority w:val="0"/>
    <w:rPr>
      <w:rFonts w:hint="eastAsia" w:ascii="宋体" w:hAnsi="宋体" w:eastAsia="宋体" w:cs="宋体"/>
      <w:color w:val="000000"/>
      <w:sz w:val="22"/>
      <w:szCs w:val="22"/>
      <w:u w:val="none"/>
    </w:rPr>
  </w:style>
  <w:style w:type="paragraph" w:customStyle="1" w:styleId="39">
    <w:name w:val="列出段落2"/>
    <w:basedOn w:val="1"/>
    <w:qFormat/>
    <w:uiPriority w:val="99"/>
    <w:pPr>
      <w:ind w:firstLine="420" w:firstLineChars="200"/>
    </w:pPr>
  </w:style>
  <w:style w:type="paragraph" w:customStyle="1" w:styleId="40">
    <w:name w:val="TOC 标题2"/>
    <w:basedOn w:val="3"/>
    <w:next w:val="1"/>
    <w:unhideWhenUsed/>
    <w:qFormat/>
    <w:uiPriority w:val="39"/>
    <w:pPr>
      <w:widowControl/>
      <w:spacing w:after="0" w:line="259" w:lineRule="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41">
    <w:name w:val="批注框文本 Char"/>
    <w:basedOn w:val="24"/>
    <w:link w:val="15"/>
    <w:semiHidden/>
    <w:qFormat/>
    <w:uiPriority w:val="99"/>
    <w:rPr>
      <w:rFonts w:ascii="Calibri" w:hAnsi="Calibri"/>
      <w:kern w:val="2"/>
      <w:sz w:val="18"/>
      <w:szCs w:val="18"/>
    </w:rPr>
  </w:style>
  <w:style w:type="paragraph" w:customStyle="1" w:styleId="42">
    <w:name w:val="字母编号列项（一级）"/>
    <w:qFormat/>
    <w:uiPriority w:val="0"/>
    <w:pPr>
      <w:tabs>
        <w:tab w:val="left" w:pos="840"/>
      </w:tabs>
      <w:ind w:left="315"/>
      <w:jc w:val="both"/>
    </w:pPr>
    <w:rPr>
      <w:rFonts w:ascii="宋体" w:hAnsi="Times New Roman" w:eastAsia="宋体" w:cs="Times New Roman"/>
      <w:sz w:val="21"/>
      <w:lang w:val="en-US" w:eastAsia="zh-CN" w:bidi="ar-SA"/>
    </w:rPr>
  </w:style>
  <w:style w:type="character" w:customStyle="1" w:styleId="43">
    <w:name w:val="段 Char"/>
    <w:link w:val="35"/>
    <w:qFormat/>
    <w:uiPriority w:val="99"/>
    <w:rPr>
      <w:rFonts w:ascii="宋体"/>
      <w:sz w:val="21"/>
    </w:rPr>
  </w:style>
  <w:style w:type="character" w:customStyle="1" w:styleId="44">
    <w:name w:val="文档结构图 Char"/>
    <w:basedOn w:val="24"/>
    <w:link w:val="10"/>
    <w:semiHidden/>
    <w:qFormat/>
    <w:uiPriority w:val="99"/>
    <w:rPr>
      <w:rFonts w:ascii="宋体" w:hAnsi="Calibri"/>
      <w:kern w:val="2"/>
      <w:sz w:val="18"/>
      <w:szCs w:val="18"/>
    </w:rPr>
  </w:style>
  <w:style w:type="paragraph" w:customStyle="1" w:styleId="45">
    <w:name w:val="marklang-paragraph"/>
    <w:basedOn w:val="1"/>
    <w:qFormat/>
    <w:uiPriority w:val="0"/>
    <w:pPr>
      <w:widowControl/>
      <w:spacing w:before="100" w:beforeAutospacing="1" w:after="100" w:afterAutospacing="1" w:line="240" w:lineRule="auto"/>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D87A2-F2D6-4812-9D52-4B228576FF48}">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713</Words>
  <Characters>738</Characters>
  <Lines>53</Lines>
  <Paragraphs>15</Paragraphs>
  <TotalTime>1</TotalTime>
  <ScaleCrop>false</ScaleCrop>
  <LinksUpToDate>false</LinksUpToDate>
  <CharactersWithSpaces>748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2018-09-26T02:24:00Z</dcterms:created>
  <dc:creator>emmy810</dc:creator>
  <cp:lastModifiedBy>葡萄串子</cp:lastModifiedBy>
  <dcterms:modified xsi:type="dcterms:W3CDTF">2025-11-05T06:44:25Z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039F91517F4C4512AAF4795A97C7A6D4</vt:lpwstr>
  </property>
  <property fmtid="{D5CDD505-2E9C-101B-9397-08002B2CF9AE}" pid="4" name="KSOTemplateDocerSaveRecord">
    <vt:lpwstr>eyJoZGlkIjoiMDljYzUzMWQ4OWI0YzBkYjYzMDRhZTY5ZjZkYmFmYTgiLCJ1c2VySWQiOiIxMTc5MjM4MTE1In0=</vt:lpwstr>
  </property>
</Properties>
</file>