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cs="Times New Roman"/>
          <w:b/>
          <w:bCs/>
          <w:color w:val="FF0000"/>
          <w:sz w:val="48"/>
          <w:szCs w:val="48"/>
        </w:rPr>
      </w:pPr>
    </w:p>
    <w:p>
      <w:pPr>
        <w:jc w:val="center"/>
        <w:rPr>
          <w:rFonts w:cs="Times New Roman"/>
          <w:b/>
          <w:bCs/>
          <w:color w:val="FF0000"/>
          <w:sz w:val="48"/>
          <w:szCs w:val="48"/>
        </w:rPr>
      </w:pPr>
    </w:p>
    <w:p>
      <w:pPr>
        <w:jc w:val="center"/>
        <w:rPr>
          <w:rFonts w:cs="Times New Roman"/>
        </w:rPr>
      </w:pPr>
      <w:r>
        <w:rPr>
          <w:rFonts w:hint="eastAsia" w:ascii="宋体" w:hAnsi="宋体" w:cs="宋体"/>
          <w:b/>
          <w:bCs/>
          <w:sz w:val="48"/>
          <w:szCs w:val="48"/>
        </w:rPr>
        <w:t>梧州网区2025年第二批职创项目</w:t>
      </w:r>
      <w:r>
        <w:rPr>
          <w:rFonts w:hint="eastAsia" w:cs="宋体"/>
          <w:b/>
          <w:bCs/>
          <w:sz w:val="48"/>
          <w:szCs w:val="48"/>
        </w:rPr>
        <w:t>加工服务</w:t>
      </w:r>
      <w:r>
        <w:rPr>
          <w:rFonts w:hint="eastAsia" w:cs="宋体"/>
          <w:b/>
          <w:bCs/>
          <w:sz w:val="48"/>
          <w:szCs w:val="48"/>
          <w:lang w:eastAsia="zh-CN"/>
        </w:rPr>
        <w:t>（</w:t>
      </w:r>
      <w:r>
        <w:rPr>
          <w:rFonts w:hint="eastAsia" w:ascii="宋体" w:hAnsi="宋体" w:cs="宋体"/>
          <w:b/>
          <w:bCs/>
          <w:sz w:val="48"/>
          <w:szCs w:val="48"/>
        </w:rPr>
        <w:t>基于声传导共振原理检测压接端子松动装置</w:t>
      </w:r>
      <w:r>
        <w:rPr>
          <w:rFonts w:hint="eastAsia" w:ascii="宋体" w:hAnsi="宋体" w:cs="宋体"/>
          <w:b/>
          <w:bCs/>
          <w:sz w:val="48"/>
          <w:szCs w:val="48"/>
          <w:lang w:eastAsia="zh-CN"/>
        </w:rPr>
        <w:t>）</w:t>
      </w:r>
      <w:bookmarkStart w:id="14" w:name="_GoBack"/>
      <w:bookmarkEnd w:id="14"/>
      <w:r>
        <w:rPr>
          <w:rFonts w:hint="eastAsia" w:cs="宋体"/>
          <w:b/>
          <w:bCs/>
          <w:sz w:val="48"/>
          <w:szCs w:val="48"/>
        </w:rPr>
        <w:t>技术规范书</w:t>
      </w:r>
    </w:p>
    <w:p>
      <w:pPr>
        <w:rPr>
          <w:rFonts w:cs="Times New Roman"/>
        </w:rPr>
      </w:pPr>
    </w:p>
    <w:p>
      <w:pPr>
        <w:pStyle w:val="2"/>
        <w:rPr>
          <w:rFonts w:cs="Times New Roman"/>
        </w:rPr>
      </w:pPr>
    </w:p>
    <w:p>
      <w:pPr>
        <w:pStyle w:val="3"/>
        <w:rPr>
          <w:rFonts w:cs="Times New Roman"/>
        </w:rPr>
      </w:pPr>
    </w:p>
    <w:p>
      <w:pPr>
        <w:rPr>
          <w:rFonts w:cs="Times New Roman"/>
        </w:rPr>
      </w:pPr>
    </w:p>
    <w:p>
      <w:pPr>
        <w:pStyle w:val="2"/>
        <w:rPr>
          <w:rFonts w:cs="Times New Roman"/>
        </w:rPr>
      </w:pPr>
    </w:p>
    <w:p>
      <w:pPr>
        <w:pStyle w:val="3"/>
        <w:rPr>
          <w:rFonts w:cs="Times New Roman"/>
        </w:rPr>
      </w:pPr>
    </w:p>
    <w:p>
      <w:pPr>
        <w:rPr>
          <w:rFonts w:cs="Times New Roman"/>
        </w:rPr>
      </w:pPr>
    </w:p>
    <w:p>
      <w:pPr>
        <w:pStyle w:val="2"/>
        <w:rPr>
          <w:rFonts w:cs="Times New Roman"/>
        </w:rPr>
      </w:pPr>
    </w:p>
    <w:p>
      <w:pPr>
        <w:pStyle w:val="3"/>
        <w:rPr>
          <w:rFonts w:cs="Times New Roman"/>
        </w:rPr>
      </w:pPr>
    </w:p>
    <w:p>
      <w:pPr>
        <w:rPr>
          <w:rFonts w:cs="Times New Roman"/>
        </w:rPr>
      </w:pPr>
    </w:p>
    <w:p>
      <w:pPr>
        <w:pStyle w:val="2"/>
        <w:rPr>
          <w:rFonts w:cs="Times New Roman"/>
        </w:rPr>
      </w:pPr>
    </w:p>
    <w:p>
      <w:pPr>
        <w:pStyle w:val="3"/>
        <w:rPr>
          <w:rFonts w:cs="Times New Roman"/>
        </w:rPr>
      </w:pPr>
    </w:p>
    <w:p>
      <w:pPr>
        <w:rPr>
          <w:rFonts w:cs="Times New Roman"/>
        </w:rPr>
      </w:pPr>
    </w:p>
    <w:p>
      <w:pPr>
        <w:spacing w:line="360" w:lineRule="auto"/>
        <w:jc w:val="center"/>
        <w:rPr>
          <w:rFonts w:ascii="宋体" w:hAnsi="Times New Roman" w:cs="Times New Roman"/>
          <w:b/>
          <w:bCs/>
          <w:sz w:val="32"/>
          <w:szCs w:val="32"/>
        </w:rPr>
      </w:pPr>
      <w:r>
        <w:rPr>
          <w:rFonts w:hint="eastAsia" w:ascii="宋体" w:hAnsi="Times New Roman" w:cs="宋体"/>
          <w:b/>
          <w:bCs/>
          <w:sz w:val="32"/>
          <w:szCs w:val="32"/>
        </w:rPr>
        <w:t>广西电网有限责任公司</w:t>
      </w:r>
      <w:r>
        <w:rPr>
          <w:rFonts w:hint="eastAsia" w:ascii="宋体" w:hAnsi="Times New Roman" w:cs="宋体"/>
          <w:b/>
          <w:bCs/>
          <w:sz w:val="32"/>
          <w:szCs w:val="32"/>
          <w:lang w:eastAsia="zh-CN"/>
        </w:rPr>
        <w:t>广西新电力投资集团</w:t>
      </w:r>
      <w:r>
        <w:rPr>
          <w:rFonts w:hint="eastAsia" w:ascii="宋体" w:hAnsi="Times New Roman" w:cs="宋体"/>
          <w:b/>
          <w:bCs/>
          <w:sz w:val="32"/>
          <w:szCs w:val="32"/>
        </w:rPr>
        <w:t>梧州供电公司</w:t>
      </w:r>
    </w:p>
    <w:p>
      <w:pPr>
        <w:spacing w:line="360" w:lineRule="auto"/>
        <w:jc w:val="center"/>
        <w:rPr>
          <w:rFonts w:ascii="宋体" w:hAnsi="Times New Roman" w:cs="Times New Roman"/>
          <w:b/>
          <w:bCs/>
          <w:sz w:val="32"/>
          <w:szCs w:val="32"/>
        </w:rPr>
      </w:pPr>
      <w:r>
        <w:rPr>
          <w:rFonts w:ascii="宋体" w:hAnsi="Times New Roman" w:cs="宋体"/>
          <w:b/>
          <w:bCs/>
          <w:sz w:val="32"/>
          <w:szCs w:val="32"/>
        </w:rPr>
        <w:t>2025</w:t>
      </w:r>
      <w:r>
        <w:rPr>
          <w:rFonts w:hint="eastAsia" w:ascii="宋体" w:hAnsi="Times New Roman" w:cs="宋体"/>
          <w:b/>
          <w:bCs/>
          <w:sz w:val="32"/>
          <w:szCs w:val="32"/>
        </w:rPr>
        <w:t>年</w:t>
      </w:r>
      <w:r>
        <w:rPr>
          <w:rFonts w:hint="eastAsia" w:ascii="宋体" w:hAnsi="Times New Roman" w:cs="宋体"/>
          <w:b/>
          <w:bCs/>
          <w:sz w:val="32"/>
          <w:szCs w:val="32"/>
          <w:lang w:val="en-US" w:eastAsia="zh-CN"/>
        </w:rPr>
        <w:t>10</w:t>
      </w:r>
      <w:r>
        <w:rPr>
          <w:rFonts w:hint="eastAsia" w:ascii="宋体" w:hAnsi="Times New Roman" w:cs="宋体"/>
          <w:b/>
          <w:bCs/>
          <w:sz w:val="32"/>
          <w:szCs w:val="32"/>
        </w:rPr>
        <w:t>月</w:t>
      </w:r>
      <w:r>
        <w:rPr>
          <w:rFonts w:ascii="宋体" w:hAnsi="Times New Roman" w:cs="宋体"/>
          <w:b/>
          <w:bCs/>
          <w:sz w:val="32"/>
          <w:szCs w:val="32"/>
        </w:rPr>
        <w:t>1</w:t>
      </w:r>
      <w:r>
        <w:rPr>
          <w:rFonts w:hint="eastAsia" w:ascii="宋体" w:hAnsi="Times New Roman" w:cs="宋体"/>
          <w:b/>
          <w:bCs/>
          <w:sz w:val="32"/>
          <w:szCs w:val="32"/>
          <w:lang w:val="en-US" w:eastAsia="zh-CN"/>
        </w:rPr>
        <w:t>7</w:t>
      </w:r>
      <w:r>
        <w:rPr>
          <w:rFonts w:hint="eastAsia" w:ascii="宋体" w:hAnsi="Times New Roman" w:cs="宋体"/>
          <w:b/>
          <w:bCs/>
          <w:sz w:val="32"/>
          <w:szCs w:val="32"/>
        </w:rPr>
        <w:t>日</w:t>
      </w:r>
    </w:p>
    <w:p>
      <w:pPr>
        <w:rPr>
          <w:rFonts w:cs="Times New Roman"/>
        </w:rPr>
      </w:pPr>
      <w:r>
        <w:rPr>
          <w:rFonts w:cs="Times New Roman"/>
        </w:rPr>
        <w:br w:type="page"/>
      </w:r>
    </w:p>
    <w:p>
      <w:pPr>
        <w:pStyle w:val="2"/>
        <w:rPr>
          <w:rFonts w:cs="Times New Roman"/>
        </w:rPr>
      </w:pPr>
    </w:p>
    <w:p>
      <w:pPr>
        <w:spacing w:line="360" w:lineRule="auto"/>
        <w:rPr>
          <w:rFonts w:cs="Times New Roman"/>
        </w:rPr>
      </w:pPr>
    </w:p>
    <w:p>
      <w:pPr>
        <w:spacing w:line="360" w:lineRule="auto"/>
        <w:jc w:val="center"/>
        <w:rPr>
          <w:rFonts w:cs="Times New Roman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目录</w:t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/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TOC \o "1-3" \h \z \u </w:instrText>
      </w:r>
      <w:r>
        <w:rPr>
          <w:sz w:val="24"/>
          <w:szCs w:val="24"/>
        </w:rPr>
        <w:fldChar w:fldCharType="separate"/>
      </w:r>
      <w:r>
        <w:fldChar w:fldCharType="begin"/>
      </w:r>
      <w:r>
        <w:instrText xml:space="preserve"> HYPERLINK \l "_Toc2053" </w:instrText>
      </w:r>
      <w:r>
        <w:fldChar w:fldCharType="separate"/>
      </w:r>
      <w:r>
        <w:rPr>
          <w:sz w:val="24"/>
          <w:szCs w:val="24"/>
        </w:rPr>
        <w:t>1</w:t>
      </w:r>
      <w:r>
        <w:rPr>
          <w:rFonts w:hint="eastAsia" w:cs="宋体"/>
          <w:sz w:val="24"/>
          <w:szCs w:val="24"/>
        </w:rPr>
        <w:t>总则</w:t>
      </w:r>
      <w:r>
        <w:rPr>
          <w:rFonts w:cs="Times New Roman"/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_Toc2053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3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/>
          <w:sz w:val="24"/>
          <w:szCs w:val="24"/>
        </w:rPr>
      </w:pPr>
      <w:r>
        <w:fldChar w:fldCharType="begin"/>
      </w:r>
      <w:r>
        <w:instrText xml:space="preserve"> HYPERLINK \l "_Toc9878" </w:instrText>
      </w:r>
      <w:r>
        <w:fldChar w:fldCharType="separate"/>
      </w:r>
      <w:r>
        <w:rPr>
          <w:sz w:val="24"/>
          <w:szCs w:val="24"/>
        </w:rPr>
        <w:t>2</w:t>
      </w:r>
      <w:r>
        <w:rPr>
          <w:rFonts w:hint="eastAsia" w:cs="宋体"/>
          <w:sz w:val="24"/>
          <w:szCs w:val="24"/>
        </w:rPr>
        <w:t>标准和规程</w:t>
      </w:r>
      <w:r>
        <w:rPr>
          <w:rFonts w:cs="Times New Roman"/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_Toc9878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4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/>
          <w:sz w:val="24"/>
          <w:szCs w:val="24"/>
        </w:rPr>
      </w:pPr>
      <w:r>
        <w:fldChar w:fldCharType="begin"/>
      </w:r>
      <w:r>
        <w:instrText xml:space="preserve"> HYPERLINK \l "_Toc436" </w:instrText>
      </w:r>
      <w:r>
        <w:fldChar w:fldCharType="separate"/>
      </w:r>
      <w:r>
        <w:rPr>
          <w:sz w:val="24"/>
          <w:szCs w:val="24"/>
        </w:rPr>
        <w:t xml:space="preserve">3 </w:t>
      </w:r>
      <w:r>
        <w:rPr>
          <w:rFonts w:hint="eastAsia" w:cs="宋体"/>
          <w:sz w:val="24"/>
          <w:szCs w:val="24"/>
        </w:rPr>
        <w:t>项目概述</w:t>
      </w:r>
      <w:r>
        <w:rPr>
          <w:rFonts w:cs="Times New Roman"/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_Toc436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5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/>
          <w:sz w:val="24"/>
          <w:szCs w:val="24"/>
        </w:rPr>
      </w:pPr>
      <w:r>
        <w:fldChar w:fldCharType="begin"/>
      </w:r>
      <w:r>
        <w:instrText xml:space="preserve"> HYPERLINK \l "_Toc27800" </w:instrText>
      </w:r>
      <w:r>
        <w:fldChar w:fldCharType="separate"/>
      </w:r>
      <w:r>
        <w:rPr>
          <w:sz w:val="24"/>
          <w:szCs w:val="24"/>
        </w:rPr>
        <w:t>4</w:t>
      </w:r>
      <w:r>
        <w:rPr>
          <w:rFonts w:hint="eastAsia" w:cs="宋体"/>
          <w:sz w:val="24"/>
          <w:szCs w:val="24"/>
        </w:rPr>
        <w:t>加工技术要求</w:t>
      </w:r>
      <w:r>
        <w:rPr>
          <w:rFonts w:cs="Times New Roman"/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_Toc27800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5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/>
          <w:sz w:val="24"/>
          <w:szCs w:val="24"/>
        </w:rPr>
      </w:pPr>
      <w:r>
        <w:fldChar w:fldCharType="begin"/>
      </w:r>
      <w:r>
        <w:instrText xml:space="preserve"> HYPERLINK \l "_Toc5407" </w:instrText>
      </w:r>
      <w:r>
        <w:fldChar w:fldCharType="separate"/>
      </w:r>
      <w:r>
        <w:rPr>
          <w:sz w:val="24"/>
          <w:szCs w:val="24"/>
        </w:rPr>
        <w:t>5</w:t>
      </w:r>
      <w:r>
        <w:rPr>
          <w:rFonts w:hint="eastAsia" w:cs="宋体"/>
          <w:sz w:val="24"/>
          <w:szCs w:val="24"/>
        </w:rPr>
        <w:t>功能要求</w:t>
      </w:r>
      <w:r>
        <w:rPr>
          <w:rFonts w:cs="Times New Roman"/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_Toc5407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6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ind w:left="0" w:leftChars="0"/>
        <w:rPr>
          <w:rFonts w:cs="Times New Roman"/>
          <w:sz w:val="24"/>
          <w:szCs w:val="24"/>
        </w:rPr>
      </w:pPr>
      <w:r>
        <w:fldChar w:fldCharType="begin"/>
      </w:r>
      <w:r>
        <w:instrText xml:space="preserve"> HYPERLINK \l "_Toc1567" </w:instrText>
      </w:r>
      <w:r>
        <w:fldChar w:fldCharType="separate"/>
      </w:r>
      <w:r>
        <w:rPr>
          <w:sz w:val="24"/>
          <w:szCs w:val="24"/>
        </w:rPr>
        <w:t>6</w:t>
      </w:r>
      <w:r>
        <w:rPr>
          <w:rFonts w:hint="eastAsia" w:cs="宋体"/>
          <w:sz w:val="24"/>
          <w:szCs w:val="24"/>
        </w:rPr>
        <w:t>服务范围</w:t>
      </w:r>
      <w:r>
        <w:rPr>
          <w:rFonts w:cs="Times New Roman"/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_Toc1567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7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10"/>
        <w:tabs>
          <w:tab w:val="right" w:leader="dot" w:pos="8306"/>
        </w:tabs>
        <w:spacing w:line="360" w:lineRule="auto"/>
        <w:ind w:left="0" w:leftChars="0"/>
        <w:rPr>
          <w:rFonts w:cs="Times New Roman"/>
          <w:sz w:val="24"/>
          <w:szCs w:val="24"/>
        </w:rPr>
      </w:pPr>
      <w:r>
        <w:fldChar w:fldCharType="begin"/>
      </w:r>
      <w:r>
        <w:instrText xml:space="preserve"> HYPERLINK \l "_Toc16594" </w:instrText>
      </w:r>
      <w:r>
        <w:fldChar w:fldCharType="separate"/>
      </w:r>
      <w:r>
        <w:rPr>
          <w:rFonts w:hAnsi="宋体"/>
          <w:kern w:val="44"/>
          <w:sz w:val="24"/>
          <w:szCs w:val="24"/>
        </w:rPr>
        <w:t>7</w:t>
      </w:r>
      <w:r>
        <w:rPr>
          <w:rFonts w:hint="eastAsia" w:hAnsi="宋体" w:cs="宋体"/>
          <w:kern w:val="44"/>
          <w:sz w:val="24"/>
          <w:szCs w:val="24"/>
        </w:rPr>
        <w:t>包装、运输及质量保证</w:t>
      </w:r>
      <w:r>
        <w:rPr>
          <w:rFonts w:cs="Times New Roman"/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_Toc16594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8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pStyle w:val="9"/>
        <w:tabs>
          <w:tab w:val="right" w:leader="dot" w:pos="8306"/>
        </w:tabs>
        <w:spacing w:line="360" w:lineRule="auto"/>
        <w:rPr>
          <w:rFonts w:cs="Times New Roman"/>
          <w:sz w:val="24"/>
          <w:szCs w:val="24"/>
        </w:rPr>
      </w:pPr>
      <w:r>
        <w:fldChar w:fldCharType="begin"/>
      </w:r>
      <w:r>
        <w:instrText xml:space="preserve"> HYPERLINK \l "_Toc28920" </w:instrText>
      </w:r>
      <w:r>
        <w:fldChar w:fldCharType="separate"/>
      </w:r>
      <w:r>
        <w:rPr>
          <w:rFonts w:hint="eastAsia" w:cs="宋体"/>
          <w:sz w:val="24"/>
          <w:szCs w:val="24"/>
        </w:rPr>
        <w:t>附件</w:t>
      </w:r>
      <w:r>
        <w:rPr>
          <w:rFonts w:cs="Times New Roman"/>
          <w:sz w:val="24"/>
          <w:szCs w:val="24"/>
        </w:rPr>
        <w:tab/>
      </w: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PAGEREF _Toc28920 \h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>9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  <w:fldChar w:fldCharType="end"/>
      </w:r>
    </w:p>
    <w:p>
      <w:pPr>
        <w:spacing w:line="360" w:lineRule="auto"/>
        <w:rPr>
          <w:rFonts w:cs="Times New Roman"/>
          <w:sz w:val="24"/>
          <w:szCs w:val="24"/>
        </w:rPr>
      </w:pPr>
      <w:r>
        <w:rPr>
          <w:sz w:val="24"/>
          <w:szCs w:val="24"/>
        </w:rPr>
        <w:fldChar w:fldCharType="end"/>
      </w:r>
    </w:p>
    <w:p>
      <w:pPr>
        <w:widowControl/>
        <w:jc w:val="left"/>
        <w:rPr>
          <w:rFonts w:cs="Times New Roman"/>
        </w:rPr>
      </w:pPr>
      <w:r>
        <w:rPr>
          <w:rFonts w:cs="Times New Roman"/>
        </w:rPr>
        <w:br w:type="page"/>
      </w:r>
    </w:p>
    <w:p>
      <w:pPr>
        <w:pStyle w:val="4"/>
        <w:spacing w:before="0" w:after="0" w:line="360" w:lineRule="auto"/>
        <w:rPr>
          <w:rFonts w:cs="Times New Roman"/>
          <w:sz w:val="28"/>
          <w:szCs w:val="28"/>
        </w:rPr>
      </w:pPr>
      <w:bookmarkStart w:id="0" w:name="_Toc2053"/>
      <w:r>
        <w:rPr>
          <w:sz w:val="28"/>
          <w:szCs w:val="28"/>
        </w:rPr>
        <w:t>1</w:t>
      </w:r>
      <w:r>
        <w:rPr>
          <w:rFonts w:hint="eastAsia" w:cs="宋体"/>
          <w:sz w:val="28"/>
          <w:szCs w:val="28"/>
        </w:rPr>
        <w:t>总则</w:t>
      </w:r>
      <w:bookmarkEnd w:id="0"/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1.1</w:t>
      </w:r>
      <w:r>
        <w:rPr>
          <w:rFonts w:hint="eastAsia" w:ascii="宋体" w:hAnsi="宋体" w:cs="宋体"/>
          <w:sz w:val="28"/>
          <w:szCs w:val="28"/>
        </w:rPr>
        <w:t>本技术规范书适用于“基于声传导共振原理检测压接端子松动装置”加工服务采购，提出了加工该装置的技术和功能方面的要求，投标方必须认真阅读本技术条款内容，以免造成投标失败。</w:t>
      </w:r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1.2</w:t>
      </w:r>
      <w:r>
        <w:rPr>
          <w:rFonts w:hint="eastAsia" w:ascii="宋体" w:hAnsi="宋体" w:cs="宋体"/>
          <w:sz w:val="28"/>
          <w:szCs w:val="28"/>
        </w:rPr>
        <w:t>本规范书指标要求中，凡标有下划线或加“★”的地方均被视为重要的技术指标要求或性能要求。投标方要特别加以注意，必须完全满足这些要求。</w:t>
      </w:r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1.3</w:t>
      </w:r>
      <w:r>
        <w:rPr>
          <w:rFonts w:hint="eastAsia" w:ascii="宋体" w:hAnsi="宋体" w:cs="宋体"/>
          <w:sz w:val="28"/>
          <w:szCs w:val="28"/>
        </w:rPr>
        <w:t>本技术规范书提出的是最低限度的技术要求，并未对一切技术细节做出规定，也未充分引述有关标准和规范的条文，投标方应保证提供满足本技术规范书要求、满足有关国家质量标准要求、满足国家有关安全、环保等强制性标准和规范要求的完整服务和工作产品。</w:t>
      </w:r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1.4</w:t>
      </w:r>
      <w:r>
        <w:rPr>
          <w:rFonts w:hint="eastAsia" w:ascii="宋体" w:hAnsi="宋体" w:cs="宋体"/>
          <w:sz w:val="28"/>
          <w:szCs w:val="28"/>
        </w:rPr>
        <w:t>如投标方对本技术规范书有异议时，应以书面形式在报价截止日之前</w:t>
      </w:r>
      <w:r>
        <w:rPr>
          <w:rFonts w:ascii="宋体" w:hAnsi="宋体" w:cs="宋体"/>
          <w:sz w:val="28"/>
          <w:szCs w:val="28"/>
        </w:rPr>
        <w:t>1</w:t>
      </w:r>
      <w:r>
        <w:rPr>
          <w:rFonts w:hint="eastAsia" w:ascii="宋体" w:hAnsi="宋体" w:cs="宋体"/>
          <w:sz w:val="28"/>
          <w:szCs w:val="28"/>
        </w:rPr>
        <w:t>天提出，如没有以书面形式对本规范书的条款提出异议，则意味着投标方已清楚并理解本规范书的要求。</w:t>
      </w:r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1.5 </w:t>
      </w:r>
      <w:r>
        <w:rPr>
          <w:rFonts w:hint="eastAsia" w:ascii="宋体" w:hAnsi="宋体" w:cs="宋体"/>
          <w:sz w:val="28"/>
          <w:szCs w:val="28"/>
        </w:rPr>
        <w:t>投标方应对本次招标方采购涉及所有文件保密，不得向其他单位公布或泄漏招标项目的有关信息。</w:t>
      </w:r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1.6</w:t>
      </w:r>
      <w:r>
        <w:rPr>
          <w:rFonts w:hint="eastAsia" w:ascii="宋体" w:hAnsi="宋体" w:cs="宋体"/>
          <w:sz w:val="28"/>
          <w:szCs w:val="28"/>
        </w:rPr>
        <w:t>本技术规范书作为招标方的采购文件，投标方应在报价文件中按要求作出应答，如有差异，还需以本技术规范书附件“差异表”的形式另外列出。</w:t>
      </w:r>
    </w:p>
    <w:p>
      <w:pPr>
        <w:spacing w:line="360" w:lineRule="auto"/>
        <w:ind w:firstLine="280" w:firstLineChars="100"/>
        <w:rPr>
          <w:rFonts w:ascii="宋体" w:cs="宋体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1.7</w:t>
      </w:r>
      <w:r>
        <w:rPr>
          <w:rFonts w:hint="eastAsia" w:ascii="宋体" w:hAnsi="宋体" w:cs="宋体"/>
          <w:sz w:val="28"/>
          <w:szCs w:val="28"/>
        </w:rPr>
        <w:t>双方确认成交后，本技术规范书与合同具有同等的法律约束效力，本技术规范书未尽事宜，由招标方和中标方双方协商确定。</w:t>
      </w:r>
    </w:p>
    <w:p>
      <w:pPr>
        <w:spacing w:line="360" w:lineRule="auto"/>
        <w:ind w:firstLine="210" w:firstLineChars="100"/>
        <w:rPr>
          <w:rFonts w:cs="Times New Roman"/>
        </w:rPr>
      </w:pPr>
    </w:p>
    <w:p>
      <w:pPr>
        <w:pStyle w:val="4"/>
        <w:spacing w:before="0" w:after="0" w:line="360" w:lineRule="auto"/>
        <w:rPr>
          <w:rFonts w:cs="Times New Roman"/>
          <w:sz w:val="28"/>
          <w:szCs w:val="28"/>
        </w:rPr>
      </w:pPr>
      <w:bookmarkStart w:id="1" w:name="_Toc9878"/>
      <w:r>
        <w:rPr>
          <w:sz w:val="28"/>
          <w:szCs w:val="28"/>
        </w:rPr>
        <w:t>2</w:t>
      </w:r>
      <w:r>
        <w:rPr>
          <w:rFonts w:hint="eastAsia" w:cs="宋体"/>
          <w:sz w:val="28"/>
          <w:szCs w:val="28"/>
        </w:rPr>
        <w:t>标准和规程</w:t>
      </w:r>
      <w:bookmarkEnd w:id="1"/>
    </w:p>
    <w:p>
      <w:pPr>
        <w:spacing w:line="360" w:lineRule="auto"/>
        <w:ind w:firstLine="560" w:firstLineChars="200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本规范书中涉及的所有规范、标准或材料规格均应为最新版本，即以招标方发出本定单之日作为采用最新版本的截止日期。若发现本规范书与所列标准之间有不一致之处，投标方应向招标方指明，并由招标方确定采用哪一个规范。</w:t>
      </w:r>
    </w:p>
    <w:p>
      <w:pPr>
        <w:spacing w:line="360" w:lineRule="auto"/>
        <w:ind w:firstLine="560" w:firstLineChars="200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投标方如果采用自己的标准或规范，必须向招标方提供中文复印件并经招标方同意后方可采用，但不能低于国家标准</w:t>
      </w:r>
      <w:r>
        <w:rPr>
          <w:rFonts w:ascii="宋体" w:hAnsi="宋体" w:cs="宋体"/>
          <w:sz w:val="28"/>
          <w:szCs w:val="28"/>
        </w:rPr>
        <w:t>GB</w:t>
      </w:r>
      <w:r>
        <w:rPr>
          <w:rFonts w:hint="eastAsia" w:ascii="宋体" w:hAnsi="宋体" w:cs="宋体"/>
          <w:sz w:val="28"/>
          <w:szCs w:val="28"/>
        </w:rPr>
        <w:t>、行业标准</w:t>
      </w:r>
      <w:r>
        <w:rPr>
          <w:rFonts w:ascii="宋体" w:hAnsi="宋体" w:cs="宋体"/>
          <w:sz w:val="28"/>
          <w:szCs w:val="28"/>
        </w:rPr>
        <w:t>JB</w:t>
      </w:r>
      <w:r>
        <w:rPr>
          <w:rFonts w:hint="eastAsia" w:ascii="宋体" w:hAnsi="宋体" w:cs="宋体"/>
          <w:sz w:val="28"/>
          <w:szCs w:val="28"/>
        </w:rPr>
        <w:t>有关规定。</w:t>
      </w:r>
    </w:p>
    <w:p>
      <w:pPr>
        <w:spacing w:line="360" w:lineRule="auto"/>
        <w:ind w:firstLine="560" w:firstLineChars="200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下列标准所包括的条文，通过在本规定中引用而构成本规定的条文。本标准出版时所示版本均为有效。所有标准都会被修订，使用本标准的各方应探讨使用下列标准最新版本的可能性。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GB 4208        </w:t>
      </w:r>
      <w:r>
        <w:rPr>
          <w:rFonts w:hint="eastAsia" w:ascii="宋体" w:hAnsi="宋体" w:cs="宋体"/>
          <w:sz w:val="28"/>
          <w:szCs w:val="28"/>
        </w:rPr>
        <w:t>外壳防护等级（</w:t>
      </w:r>
      <w:r>
        <w:rPr>
          <w:rFonts w:ascii="宋体" w:hAnsi="宋体" w:cs="宋体"/>
          <w:sz w:val="28"/>
          <w:szCs w:val="28"/>
        </w:rPr>
        <w:t>IP</w:t>
      </w:r>
      <w:r>
        <w:rPr>
          <w:rFonts w:hint="eastAsia" w:ascii="宋体" w:hAnsi="宋体" w:cs="宋体"/>
          <w:sz w:val="28"/>
          <w:szCs w:val="28"/>
        </w:rPr>
        <w:t>代码）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GB/T 191       </w:t>
      </w:r>
      <w:r>
        <w:rPr>
          <w:rFonts w:hint="eastAsia" w:ascii="宋体" w:hAnsi="宋体" w:cs="宋体"/>
          <w:sz w:val="28"/>
          <w:szCs w:val="28"/>
        </w:rPr>
        <w:t>包装储运图示标志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GB/T 2423.1    </w:t>
      </w:r>
      <w:r>
        <w:rPr>
          <w:rFonts w:hint="eastAsia" w:ascii="宋体" w:hAnsi="宋体" w:cs="宋体"/>
          <w:sz w:val="28"/>
          <w:szCs w:val="28"/>
        </w:rPr>
        <w:t>电工电子产品环境试验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第</w:t>
      </w:r>
      <w:r>
        <w:rPr>
          <w:rFonts w:ascii="宋体" w:hAnsi="宋体" w:cs="宋体"/>
          <w:sz w:val="28"/>
          <w:szCs w:val="28"/>
        </w:rPr>
        <w:t>2</w:t>
      </w:r>
      <w:r>
        <w:rPr>
          <w:rFonts w:hint="eastAsia" w:ascii="宋体" w:hAnsi="宋体" w:cs="宋体"/>
          <w:sz w:val="28"/>
          <w:szCs w:val="28"/>
        </w:rPr>
        <w:t>部分：试验方法</w:t>
      </w:r>
      <w:r>
        <w:rPr>
          <w:rFonts w:ascii="宋体" w:hAnsi="宋体" w:cs="宋体"/>
          <w:sz w:val="28"/>
          <w:szCs w:val="28"/>
        </w:rPr>
        <w:t xml:space="preserve">  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GB/T 3873      </w:t>
      </w:r>
      <w:r>
        <w:rPr>
          <w:rFonts w:hint="eastAsia" w:ascii="宋体" w:hAnsi="宋体" w:cs="宋体"/>
          <w:sz w:val="28"/>
          <w:szCs w:val="28"/>
        </w:rPr>
        <w:t>通信设备产品包装通用技术条件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GB/T 6587.6    </w:t>
      </w:r>
      <w:r>
        <w:rPr>
          <w:rFonts w:hint="eastAsia" w:ascii="宋体" w:hAnsi="宋体" w:cs="宋体"/>
          <w:sz w:val="28"/>
          <w:szCs w:val="28"/>
        </w:rPr>
        <w:t>电子测量仪器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运输试验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GB/T 15464     </w:t>
      </w:r>
      <w:r>
        <w:rPr>
          <w:rFonts w:hint="eastAsia" w:ascii="宋体" w:hAnsi="宋体" w:cs="宋体"/>
          <w:sz w:val="28"/>
          <w:szCs w:val="28"/>
        </w:rPr>
        <w:t>仪器仪表包装通用技术规范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GB/T 17626.2   </w:t>
      </w:r>
      <w:r>
        <w:rPr>
          <w:rFonts w:hint="eastAsia" w:ascii="宋体" w:hAnsi="宋体" w:cs="宋体"/>
          <w:sz w:val="28"/>
          <w:szCs w:val="28"/>
        </w:rPr>
        <w:t>电磁兼容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试验和测量技术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静电放电抗扰度试验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GB/T 17626.5   </w:t>
      </w:r>
      <w:r>
        <w:rPr>
          <w:rFonts w:hint="eastAsia" w:ascii="宋体" w:hAnsi="宋体" w:cs="宋体"/>
          <w:sz w:val="28"/>
          <w:szCs w:val="28"/>
        </w:rPr>
        <w:t>电磁兼容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试验和测量技术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浪涌（冲击）抗扰度试验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GB/T 17626.8   </w:t>
      </w:r>
      <w:r>
        <w:rPr>
          <w:rFonts w:hint="eastAsia" w:ascii="宋体" w:hAnsi="宋体" w:cs="宋体"/>
          <w:sz w:val="28"/>
          <w:szCs w:val="28"/>
        </w:rPr>
        <w:t>电磁兼容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试验和测量技术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工频磁场抗扰度试验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GB/T 17626.9   </w:t>
      </w:r>
      <w:r>
        <w:rPr>
          <w:rFonts w:hint="eastAsia" w:ascii="宋体" w:hAnsi="宋体" w:cs="宋体"/>
          <w:sz w:val="28"/>
          <w:szCs w:val="28"/>
        </w:rPr>
        <w:t>电磁兼容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试验和测量技术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脉冲磁场抗扰度试验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GB/T 17626.12  </w:t>
      </w:r>
      <w:r>
        <w:rPr>
          <w:rFonts w:hint="eastAsia" w:ascii="宋体" w:hAnsi="宋体" w:cs="宋体"/>
          <w:sz w:val="28"/>
          <w:szCs w:val="28"/>
        </w:rPr>
        <w:t>电磁兼容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试验和测量技术</w:t>
      </w:r>
      <w:r>
        <w:rPr>
          <w:rFonts w:ascii="宋体" w:hAnsi="宋体" w:cs="宋体"/>
          <w:sz w:val="28"/>
          <w:szCs w:val="28"/>
        </w:rPr>
        <w:t xml:space="preserve"> </w:t>
      </w:r>
      <w:r>
        <w:rPr>
          <w:rFonts w:hint="eastAsia" w:ascii="宋体" w:hAnsi="宋体" w:cs="宋体"/>
          <w:sz w:val="28"/>
          <w:szCs w:val="28"/>
        </w:rPr>
        <w:t>振荡波抗扰度试验</w:t>
      </w:r>
    </w:p>
    <w:p>
      <w:pPr>
        <w:adjustRightInd w:val="0"/>
        <w:snapToGrid w:val="0"/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 xml:space="preserve">Q/CSG 1204009  </w:t>
      </w:r>
      <w:r>
        <w:rPr>
          <w:rFonts w:hint="eastAsia" w:ascii="宋体" w:hAnsi="宋体" w:cs="宋体"/>
          <w:sz w:val="28"/>
          <w:szCs w:val="28"/>
        </w:rPr>
        <w:t>中国南方电网电力监控系统安全防护技术规范</w:t>
      </w:r>
    </w:p>
    <w:p>
      <w:pPr>
        <w:pStyle w:val="4"/>
        <w:spacing w:before="0" w:after="0" w:line="360" w:lineRule="auto"/>
        <w:rPr>
          <w:rFonts w:cs="Times New Roman"/>
          <w:sz w:val="28"/>
          <w:szCs w:val="28"/>
        </w:rPr>
      </w:pPr>
      <w:bookmarkStart w:id="2" w:name="_Toc22903_WPSOffice_Level1"/>
      <w:bookmarkStart w:id="3" w:name="_Toc436"/>
      <w:r>
        <w:rPr>
          <w:sz w:val="28"/>
          <w:szCs w:val="28"/>
        </w:rPr>
        <w:t xml:space="preserve">3 </w:t>
      </w:r>
      <w:bookmarkEnd w:id="2"/>
      <w:bookmarkEnd w:id="3"/>
      <w:r>
        <w:rPr>
          <w:rFonts w:hint="eastAsia" w:cs="宋体"/>
          <w:sz w:val="28"/>
          <w:szCs w:val="28"/>
        </w:rPr>
        <w:t>加工总体要求</w:t>
      </w:r>
    </w:p>
    <w:p>
      <w:pPr>
        <w:spacing w:line="360" w:lineRule="auto"/>
        <w:ind w:firstLine="560" w:firstLineChars="200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本次加工所需材料清单、要求及设计图由甲方提供给乙方，乙方在收到上述资料后，根据本规范书的技术、功能要求与甲方协商落实最后完整的加工方案后，购买材料并进行加工。</w:t>
      </w:r>
    </w:p>
    <w:p>
      <w:pPr>
        <w:pStyle w:val="4"/>
        <w:spacing w:before="0" w:after="0" w:line="360" w:lineRule="auto"/>
        <w:rPr>
          <w:rFonts w:cs="Times New Roman"/>
          <w:sz w:val="28"/>
          <w:szCs w:val="28"/>
        </w:rPr>
      </w:pPr>
      <w:bookmarkStart w:id="4" w:name="_Toc27800"/>
      <w:r>
        <w:rPr>
          <w:sz w:val="28"/>
          <w:szCs w:val="28"/>
        </w:rPr>
        <w:t>4</w:t>
      </w:r>
      <w:r>
        <w:rPr>
          <w:rFonts w:hint="eastAsia" w:cs="宋体"/>
          <w:sz w:val="28"/>
          <w:szCs w:val="28"/>
        </w:rPr>
        <w:t>技术要求</w:t>
      </w:r>
      <w:bookmarkEnd w:id="4"/>
    </w:p>
    <w:p>
      <w:pPr>
        <w:spacing w:line="360" w:lineRule="auto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4.1</w:t>
      </w:r>
      <w:r>
        <w:rPr>
          <w:rFonts w:hint="eastAsia" w:ascii="宋体" w:hAnsi="宋体" w:cs="宋体"/>
          <w:sz w:val="28"/>
          <w:szCs w:val="28"/>
        </w:rPr>
        <w:t>技术指标要求</w:t>
      </w:r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4.1.1</w:t>
      </w:r>
      <w:r>
        <w:rPr>
          <w:rFonts w:hint="eastAsia" w:ascii="宋体" w:hAnsi="宋体" w:cs="宋体"/>
          <w:sz w:val="28"/>
          <w:szCs w:val="28"/>
        </w:rPr>
        <w:t>运行环境条件</w:t>
      </w:r>
    </w:p>
    <w:p>
      <w:pPr>
        <w:numPr>
          <w:ilvl w:val="0"/>
          <w:numId w:val="1"/>
        </w:numPr>
        <w:spacing w:line="360" w:lineRule="auto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环境温度：</w:t>
      </w:r>
      <w:r>
        <w:rPr>
          <w:rFonts w:ascii="宋体" w:hAnsi="宋体" w:cs="宋体"/>
          <w:sz w:val="28"/>
          <w:szCs w:val="28"/>
        </w:rPr>
        <w:t xml:space="preserve">       </w:t>
      </w:r>
      <w:r>
        <w:rPr>
          <w:rFonts w:hAnsi="宋体"/>
          <w:color w:val="000000"/>
          <w:sz w:val="28"/>
          <w:szCs w:val="28"/>
        </w:rPr>
        <w:t>-10</w:t>
      </w:r>
      <w:r>
        <w:rPr>
          <w:rFonts w:hint="eastAsia" w:hAnsi="宋体" w:cs="宋体"/>
          <w:color w:val="000000"/>
          <w:sz w:val="28"/>
          <w:szCs w:val="28"/>
        </w:rPr>
        <w:t>℃～</w:t>
      </w:r>
      <w:r>
        <w:rPr>
          <w:rFonts w:hAnsi="宋体"/>
          <w:color w:val="000000"/>
          <w:sz w:val="28"/>
          <w:szCs w:val="28"/>
        </w:rPr>
        <w:t>+55</w:t>
      </w:r>
      <w:r>
        <w:rPr>
          <w:rFonts w:hint="eastAsia" w:hAnsi="宋体" w:cs="宋体"/>
          <w:color w:val="000000"/>
          <w:sz w:val="28"/>
          <w:szCs w:val="28"/>
        </w:rPr>
        <w:t>℃</w:t>
      </w:r>
    </w:p>
    <w:p>
      <w:pPr>
        <w:numPr>
          <w:ilvl w:val="0"/>
          <w:numId w:val="1"/>
        </w:numPr>
        <w:spacing w:line="360" w:lineRule="auto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环境相对湿度：</w:t>
      </w:r>
      <w:r>
        <w:rPr>
          <w:rFonts w:ascii="宋体" w:hAnsi="宋体" w:cs="宋体"/>
          <w:sz w:val="28"/>
          <w:szCs w:val="28"/>
        </w:rPr>
        <w:t xml:space="preserve">   10%RH</w:t>
      </w:r>
      <w:r>
        <w:rPr>
          <w:rFonts w:hint="eastAsia" w:ascii="宋体" w:hAnsi="宋体" w:cs="宋体"/>
          <w:sz w:val="28"/>
          <w:szCs w:val="28"/>
        </w:rPr>
        <w:t>～</w:t>
      </w:r>
      <w:r>
        <w:rPr>
          <w:rFonts w:ascii="宋体" w:hAnsi="宋体" w:cs="宋体"/>
          <w:sz w:val="28"/>
          <w:szCs w:val="28"/>
        </w:rPr>
        <w:t xml:space="preserve"> 95%RH</w:t>
      </w:r>
    </w:p>
    <w:p>
      <w:pPr>
        <w:numPr>
          <w:ilvl w:val="0"/>
          <w:numId w:val="1"/>
        </w:numPr>
        <w:spacing w:line="360" w:lineRule="auto"/>
        <w:rPr>
          <w:rFonts w:ascii="宋体" w:cs="Times New Roman"/>
          <w:sz w:val="28"/>
          <w:szCs w:val="28"/>
        </w:rPr>
      </w:pPr>
      <w:r>
        <w:rPr>
          <w:rFonts w:hint="eastAsia" w:hAnsi="宋体" w:cs="宋体"/>
          <w:color w:val="000000"/>
          <w:sz w:val="28"/>
          <w:szCs w:val="28"/>
        </w:rPr>
        <w:t>相对湿度：</w:t>
      </w:r>
      <w:r>
        <w:rPr>
          <w:rFonts w:hAnsi="宋体"/>
          <w:color w:val="000000"/>
          <w:sz w:val="28"/>
          <w:szCs w:val="28"/>
        </w:rPr>
        <w:t xml:space="preserve">        5%~90%</w:t>
      </w:r>
      <w:r>
        <w:rPr>
          <w:rFonts w:hint="eastAsia" w:hAnsi="宋体" w:cs="宋体"/>
          <w:color w:val="000000"/>
          <w:sz w:val="28"/>
          <w:szCs w:val="28"/>
        </w:rPr>
        <w:t>（内部既不应凝露，也不应结冰）；</w:t>
      </w:r>
    </w:p>
    <w:p>
      <w:pPr>
        <w:numPr>
          <w:ilvl w:val="0"/>
          <w:numId w:val="1"/>
        </w:numPr>
        <w:spacing w:line="360" w:lineRule="auto"/>
        <w:rPr>
          <w:rFonts w:ascii="宋体" w:cs="Times New Roman"/>
          <w:sz w:val="28"/>
          <w:szCs w:val="28"/>
        </w:rPr>
      </w:pPr>
      <w:r>
        <w:rPr>
          <w:rFonts w:hint="eastAsia" w:hAnsi="宋体" w:cs="宋体"/>
          <w:color w:val="000000"/>
          <w:sz w:val="28"/>
          <w:szCs w:val="28"/>
        </w:rPr>
        <w:t>大气压力：</w:t>
      </w:r>
      <w:r>
        <w:rPr>
          <w:rFonts w:hAnsi="宋体"/>
          <w:color w:val="000000"/>
          <w:sz w:val="28"/>
          <w:szCs w:val="28"/>
        </w:rPr>
        <w:t xml:space="preserve">       80kPa</w:t>
      </w:r>
      <w:r>
        <w:rPr>
          <w:rFonts w:hint="eastAsia" w:hAnsi="宋体" w:cs="宋体"/>
          <w:color w:val="000000"/>
          <w:sz w:val="28"/>
          <w:szCs w:val="28"/>
        </w:rPr>
        <w:t>～</w:t>
      </w:r>
      <w:r>
        <w:rPr>
          <w:rFonts w:hAnsi="宋体"/>
          <w:color w:val="000000"/>
          <w:sz w:val="28"/>
          <w:szCs w:val="28"/>
        </w:rPr>
        <w:t>106kPa</w:t>
      </w:r>
      <w:r>
        <w:rPr>
          <w:rFonts w:hint="eastAsia" w:hAnsi="宋体" w:cs="宋体"/>
          <w:color w:val="000000"/>
          <w:sz w:val="28"/>
          <w:szCs w:val="28"/>
        </w:rPr>
        <w:t>；</w:t>
      </w:r>
    </w:p>
    <w:p>
      <w:pPr>
        <w:numPr>
          <w:ilvl w:val="0"/>
          <w:numId w:val="1"/>
        </w:numPr>
        <w:spacing w:line="360" w:lineRule="auto"/>
        <w:rPr>
          <w:rFonts w:ascii="宋体" w:cs="Times New Roman"/>
          <w:sz w:val="28"/>
          <w:szCs w:val="28"/>
        </w:rPr>
      </w:pPr>
      <w:r>
        <w:rPr>
          <w:rFonts w:hint="eastAsia" w:hAnsi="宋体" w:cs="宋体"/>
          <w:color w:val="000000"/>
          <w:sz w:val="28"/>
          <w:szCs w:val="28"/>
        </w:rPr>
        <w:t>场地要求：</w:t>
      </w:r>
      <w:r>
        <w:rPr>
          <w:rFonts w:hAnsi="宋体"/>
          <w:color w:val="000000"/>
          <w:sz w:val="28"/>
          <w:szCs w:val="28"/>
        </w:rPr>
        <w:t xml:space="preserve">       GB/T 9361-2011 </w:t>
      </w:r>
      <w:r>
        <w:rPr>
          <w:rFonts w:hint="eastAsia" w:hAnsi="宋体" w:cs="宋体"/>
          <w:color w:val="000000"/>
          <w:sz w:val="28"/>
          <w:szCs w:val="28"/>
        </w:rPr>
        <w:t>中</w:t>
      </w:r>
      <w:r>
        <w:rPr>
          <w:rFonts w:hAnsi="宋体"/>
          <w:color w:val="000000"/>
          <w:sz w:val="28"/>
          <w:szCs w:val="28"/>
        </w:rPr>
        <w:t xml:space="preserve"> B </w:t>
      </w:r>
      <w:r>
        <w:rPr>
          <w:rFonts w:hint="eastAsia" w:hAnsi="宋体" w:cs="宋体"/>
          <w:color w:val="000000"/>
          <w:sz w:val="28"/>
          <w:szCs w:val="28"/>
        </w:rPr>
        <w:t>类安全要求；</w:t>
      </w:r>
    </w:p>
    <w:p>
      <w:pPr>
        <w:ind w:firstLine="420"/>
        <w:rPr>
          <w:rFonts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⑹</w:t>
      </w:r>
      <w:r>
        <w:rPr>
          <w:rFonts w:hint="eastAsia" w:cs="宋体"/>
          <w:sz w:val="28"/>
          <w:szCs w:val="28"/>
        </w:rPr>
        <w:t>适应海拨：</w:t>
      </w:r>
      <w:r>
        <w:rPr>
          <w:sz w:val="28"/>
          <w:szCs w:val="28"/>
        </w:rPr>
        <w:t xml:space="preserve">        1000</w:t>
      </w:r>
      <w:r>
        <w:rPr>
          <w:rFonts w:hint="eastAsia" w:cs="宋体"/>
          <w:sz w:val="28"/>
          <w:szCs w:val="28"/>
        </w:rPr>
        <w:t>～</w:t>
      </w:r>
      <w:r>
        <w:rPr>
          <w:sz w:val="28"/>
          <w:szCs w:val="28"/>
        </w:rPr>
        <w:t>2500</w:t>
      </w:r>
      <w:r>
        <w:rPr>
          <w:rFonts w:hint="eastAsia" w:cs="宋体"/>
          <w:sz w:val="28"/>
          <w:szCs w:val="28"/>
        </w:rPr>
        <w:t>米。</w:t>
      </w:r>
    </w:p>
    <w:p>
      <w:pPr>
        <w:ind w:firstLine="420"/>
        <w:rPr>
          <w:rFonts w:hAns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⑺</w:t>
      </w:r>
      <w:r>
        <w:rPr>
          <w:rFonts w:hint="eastAsia" w:hAnsi="宋体" w:cs="宋体"/>
          <w:color w:val="000000"/>
          <w:sz w:val="28"/>
          <w:szCs w:val="28"/>
        </w:rPr>
        <w:t>用地点无爆炸危险的物质，周围介质中不含有能腐蚀金属、破坏绝缘和表面敷层的介质及导电介质，没有严重的霉菌存在。</w:t>
      </w:r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4.1.2</w:t>
      </w:r>
      <w:r>
        <w:rPr>
          <w:rFonts w:hint="eastAsia" w:ascii="宋体" w:hAnsi="宋体" w:cs="宋体"/>
          <w:sz w:val="28"/>
          <w:szCs w:val="28"/>
        </w:rPr>
        <w:t>适用范围</w:t>
      </w:r>
    </w:p>
    <w:p>
      <w:pPr>
        <w:spacing w:line="360" w:lineRule="auto"/>
        <w:ind w:firstLine="560" w:firstLineChars="200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及时、准确、方便的发现配电线路中压接端子的松动问题，避免线路传输中断、设备损坏的重大事故；弥补现有红外成像仪巡察设备的不足，适用于现场工程验收、设备检验的，提前发现制造安装问题。</w:t>
      </w:r>
      <w:r>
        <w:rPr>
          <w:rFonts w:ascii="宋体" w:hAnsi="宋体" w:cs="宋体"/>
          <w:sz w:val="28"/>
          <w:szCs w:val="28"/>
        </w:rPr>
        <w:t xml:space="preserve">                   </w:t>
      </w:r>
    </w:p>
    <w:p>
      <w:pPr>
        <w:spacing w:line="360" w:lineRule="auto"/>
        <w:rPr>
          <w:rFonts w:asci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★</w:t>
      </w:r>
      <w:r>
        <w:rPr>
          <w:rFonts w:ascii="宋体" w:hAnsi="宋体" w:cs="宋体"/>
          <w:sz w:val="28"/>
          <w:szCs w:val="28"/>
        </w:rPr>
        <w:t>4.2</w:t>
      </w:r>
      <w:r>
        <w:rPr>
          <w:rFonts w:hint="eastAsia" w:ascii="宋体" w:hAnsi="宋体" w:cs="宋体"/>
          <w:sz w:val="28"/>
          <w:szCs w:val="28"/>
        </w:rPr>
        <w:t>技术参数</w:t>
      </w:r>
    </w:p>
    <w:tbl>
      <w:tblPr>
        <w:tblStyle w:val="11"/>
        <w:tblW w:w="8522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6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Align w:val="center"/>
          </w:tcPr>
          <w:p>
            <w:pPr>
              <w:spacing w:line="380" w:lineRule="exact"/>
              <w:jc w:val="center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项目</w:t>
            </w: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jc w:val="center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性能指标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工作电压</w:t>
            </w: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hAns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内置锂电池，24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V/10000mAh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工作时长</w:t>
            </w: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  <w:highlight w:val="yellow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≥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24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小时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(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锂电供电时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电池管理</w:t>
            </w: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采用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HTY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锂电管理系统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充电电源</w:t>
            </w: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hAnsi="宋体" w:cs="宋体"/>
                <w:spacing w:val="6"/>
                <w:sz w:val="28"/>
                <w:szCs w:val="28"/>
              </w:rPr>
            </w:pPr>
            <w:r>
              <w:rPr>
                <w:rFonts w:ascii="宋体" w:hAnsi="宋体" w:cs="宋体"/>
                <w:spacing w:val="6"/>
                <w:sz w:val="28"/>
                <w:szCs w:val="28"/>
              </w:rPr>
              <w:t>AC220V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±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15%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，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50Hz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exact"/>
        </w:trPr>
        <w:tc>
          <w:tcPr>
            <w:tcW w:w="1548" w:type="dxa"/>
            <w:vMerge w:val="restart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共振频率探头</w:t>
            </w:r>
          </w:p>
        </w:tc>
        <w:tc>
          <w:tcPr>
            <w:tcW w:w="6974" w:type="dxa"/>
            <w:vAlign w:val="center"/>
          </w:tcPr>
          <w:p>
            <w:pPr>
              <w:adjustRightInd w:val="0"/>
              <w:snapToGrid w:val="0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频率范围</w:t>
            </w:r>
            <w:r>
              <w:rPr>
                <w:rFonts w:ascii="宋体" w:hAnsi="宋体" w:cs="宋体"/>
                <w:sz w:val="28"/>
                <w:szCs w:val="28"/>
              </w:rPr>
              <w:t>:0.4-10MHz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continue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  <w:tc>
          <w:tcPr>
            <w:tcW w:w="6974" w:type="dxa"/>
            <w:vAlign w:val="center"/>
          </w:tcPr>
          <w:p>
            <w:pPr>
              <w:adjustRightInd w:val="0"/>
              <w:snapToGrid w:val="0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射频接口</w:t>
            </w:r>
            <w:r>
              <w:rPr>
                <w:rFonts w:ascii="宋体" w:hAnsi="宋体" w:cs="宋体"/>
                <w:sz w:val="28"/>
                <w:szCs w:val="28"/>
              </w:rPr>
              <w:t>:2.92mm-K</w:t>
            </w:r>
          </w:p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continue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  <w:tc>
          <w:tcPr>
            <w:tcW w:w="6974" w:type="dxa"/>
            <w:vAlign w:val="center"/>
          </w:tcPr>
          <w:p>
            <w:pPr>
              <w:adjustRightInd w:val="0"/>
              <w:snapToGrid w:val="0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电压反射驻波比（</w:t>
            </w:r>
            <w:r>
              <w:rPr>
                <w:rFonts w:ascii="宋体" w:hAnsi="宋体" w:cs="宋体"/>
                <w:sz w:val="28"/>
                <w:szCs w:val="28"/>
              </w:rPr>
              <w:t>VSWR</w:t>
            </w:r>
            <w:r>
              <w:rPr>
                <w:rFonts w:hint="eastAsia" w:ascii="宋体" w:hAnsi="宋体" w:cs="宋体"/>
                <w:sz w:val="28"/>
                <w:szCs w:val="28"/>
              </w:rPr>
              <w:t>）</w:t>
            </w:r>
            <w:r>
              <w:rPr>
                <w:rFonts w:ascii="宋体" w:hAnsi="宋体" w:cs="宋体"/>
                <w:sz w:val="28"/>
                <w:szCs w:val="28"/>
              </w:rPr>
              <w:t>:</w:t>
            </w:r>
            <w:r>
              <w:rPr>
                <w:rFonts w:hint="eastAsia" w:ascii="宋体" w:hAnsi="宋体" w:cs="宋体"/>
                <w:sz w:val="28"/>
                <w:szCs w:val="28"/>
              </w:rPr>
              <w:t>≤</w:t>
            </w:r>
            <w:r>
              <w:rPr>
                <w:rFonts w:ascii="宋体" w:hAnsi="宋体" w:cs="宋体"/>
                <w:sz w:val="28"/>
                <w:szCs w:val="28"/>
              </w:rPr>
              <w:t>2.5</w:t>
            </w:r>
          </w:p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continue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  <w:tc>
          <w:tcPr>
            <w:tcW w:w="6974" w:type="dxa"/>
            <w:vAlign w:val="center"/>
          </w:tcPr>
          <w:p>
            <w:pPr>
              <w:adjustRightInd w:val="0"/>
              <w:snapToGrid w:val="0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特性阻抗</w:t>
            </w:r>
            <w:r>
              <w:rPr>
                <w:rFonts w:ascii="宋体" w:hAnsi="宋体" w:cs="宋体"/>
                <w:sz w:val="28"/>
                <w:szCs w:val="28"/>
              </w:rPr>
              <w:t>:50</w:t>
            </w:r>
            <w:r>
              <w:rPr>
                <w:rFonts w:hint="eastAsia" w:ascii="宋体" w:hAnsi="宋体" w:cs="宋体"/>
                <w:sz w:val="28"/>
                <w:szCs w:val="28"/>
              </w:rPr>
              <w:t>Ω</w:t>
            </w:r>
          </w:p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continue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端口隔离</w:t>
            </w:r>
            <w:r>
              <w:rPr>
                <w:rFonts w:ascii="宋体" w:hAnsi="宋体" w:cs="宋体"/>
                <w:sz w:val="28"/>
                <w:szCs w:val="28"/>
              </w:rPr>
              <w:t>:</w:t>
            </w:r>
            <w:r>
              <w:rPr>
                <w:rFonts w:hint="eastAsia" w:ascii="宋体" w:hAnsi="宋体" w:cs="宋体"/>
                <w:sz w:val="28"/>
                <w:szCs w:val="28"/>
              </w:rPr>
              <w:t>≥</w:t>
            </w:r>
            <w:r>
              <w:rPr>
                <w:rFonts w:ascii="宋体" w:hAnsi="宋体" w:cs="宋体"/>
                <w:sz w:val="28"/>
                <w:szCs w:val="28"/>
              </w:rPr>
              <w:t>30dB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restart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声传导模组</w:t>
            </w: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ascii="宋体" w:hAnsi="宋体" w:cs="宋体"/>
                <w:spacing w:val="6"/>
                <w:sz w:val="28"/>
                <w:szCs w:val="28"/>
              </w:rPr>
              <w:t>ADC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位数：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24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continue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hAns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采样频率：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48kHz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continue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特性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: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数字检波，真有效值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548" w:type="dxa"/>
            <w:vMerge w:val="restart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显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 xml:space="preserve">    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示</w:t>
            </w: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cs="宋体"/>
                <w:spacing w:val="6"/>
                <w:sz w:val="28"/>
                <w:szCs w:val="28"/>
              </w:rPr>
              <w:t>TFT真彩液晶显示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continue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图形：实时图形显示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软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 xml:space="preserve">    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件</w:t>
            </w: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定制程序，图形化显示缺陷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测试方式</w:t>
            </w: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可调脉冲波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restart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绝缘设计</w:t>
            </w: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主机：工程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ABS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材质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continue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共振频率探测端头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：</w:t>
            </w:r>
            <w:r>
              <w:rPr>
                <w:rFonts w:ascii="宋体" w:hAnsi="宋体" w:cs="宋体"/>
                <w:spacing w:val="6"/>
                <w:sz w:val="28"/>
                <w:szCs w:val="28"/>
              </w:rPr>
              <w:t>POM</w:t>
            </w: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材质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restart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pacing w:val="6"/>
                <w:sz w:val="28"/>
                <w:szCs w:val="28"/>
              </w:rPr>
              <w:t>安全性能</w:t>
            </w:r>
          </w:p>
        </w:tc>
        <w:tc>
          <w:tcPr>
            <w:tcW w:w="6974" w:type="dxa"/>
            <w:vAlign w:val="center"/>
          </w:tcPr>
          <w:p>
            <w:pPr>
              <w:spacing w:before="100" w:beforeAutospacing="1" w:after="100" w:afterAutospacing="1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绝缘强度：</w:t>
            </w:r>
            <w:r>
              <w:rPr>
                <w:rFonts w:ascii="宋体" w:hAnsi="宋体" w:cs="宋体"/>
                <w:sz w:val="28"/>
                <w:szCs w:val="28"/>
              </w:rPr>
              <w:t>1000VAC</w:t>
            </w:r>
            <w:r>
              <w:rPr>
                <w:rFonts w:hint="eastAsia" w:ascii="宋体" w:hAnsi="宋体" w:cs="宋体"/>
                <w:sz w:val="28"/>
                <w:szCs w:val="28"/>
              </w:rPr>
              <w:t>，</w:t>
            </w:r>
            <w:r>
              <w:rPr>
                <w:rFonts w:ascii="宋体" w:hAnsi="宋体" w:cs="宋体"/>
                <w:sz w:val="28"/>
                <w:szCs w:val="28"/>
              </w:rPr>
              <w:t>0.5mA</w:t>
            </w:r>
            <w:r>
              <w:rPr>
                <w:rFonts w:hint="eastAsia" w:ascii="宋体" w:hAnsi="宋体" w:cs="宋体"/>
                <w:sz w:val="28"/>
                <w:szCs w:val="28"/>
              </w:rPr>
              <w:t>，</w:t>
            </w:r>
            <w:r>
              <w:rPr>
                <w:rFonts w:ascii="宋体" w:hAnsi="宋体" w:cs="宋体"/>
                <w:sz w:val="28"/>
                <w:szCs w:val="28"/>
              </w:rPr>
              <w:t>1min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48" w:type="dxa"/>
            <w:vMerge w:val="continue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</w:p>
        </w:tc>
        <w:tc>
          <w:tcPr>
            <w:tcW w:w="6974" w:type="dxa"/>
            <w:vAlign w:val="center"/>
          </w:tcPr>
          <w:p>
            <w:pPr>
              <w:spacing w:line="380" w:lineRule="exact"/>
              <w:rPr>
                <w:rFonts w:ascii="宋体" w:cs="宋体"/>
                <w:spacing w:val="6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绝缘电阻：≥</w:t>
            </w:r>
            <w:r>
              <w:rPr>
                <w:rFonts w:ascii="宋体" w:hAnsi="宋体" w:cs="宋体"/>
                <w:sz w:val="28"/>
                <w:szCs w:val="28"/>
              </w:rPr>
              <w:t>100M</w:t>
            </w:r>
            <w:r>
              <w:rPr>
                <w:rFonts w:hint="eastAsia" w:ascii="宋体" w:hAnsi="宋体" w:cs="宋体"/>
                <w:sz w:val="28"/>
                <w:szCs w:val="28"/>
              </w:rPr>
              <w:t>Ω</w:t>
            </w:r>
          </w:p>
        </w:tc>
      </w:tr>
    </w:tbl>
    <w:p>
      <w:pPr>
        <w:pStyle w:val="2"/>
        <w:tabs>
          <w:tab w:val="left" w:pos="4862"/>
        </w:tabs>
        <w:jc w:val="left"/>
        <w:rPr>
          <w:rFonts w:cs="Times New Roman"/>
        </w:rPr>
      </w:pPr>
      <w:r>
        <w:rPr>
          <w:rFonts w:cs="Times New Roman"/>
        </w:rPr>
        <w:tab/>
      </w:r>
    </w:p>
    <w:p>
      <w:pPr>
        <w:spacing w:line="360" w:lineRule="auto"/>
        <w:rPr>
          <w:rFonts w:ascii="宋体" w:cs="Times New Roman"/>
          <w:sz w:val="28"/>
          <w:szCs w:val="28"/>
        </w:rPr>
      </w:pPr>
    </w:p>
    <w:p>
      <w:pPr>
        <w:pStyle w:val="4"/>
        <w:adjustRightInd w:val="0"/>
        <w:snapToGrid w:val="0"/>
        <w:spacing w:before="0" w:after="0" w:line="360" w:lineRule="auto"/>
        <w:rPr>
          <w:rFonts w:cs="Times New Roman"/>
          <w:sz w:val="28"/>
          <w:szCs w:val="28"/>
        </w:rPr>
      </w:pPr>
      <w:bookmarkStart w:id="5" w:name="_Toc5407"/>
      <w:r>
        <w:rPr>
          <w:rFonts w:hint="eastAsia" w:ascii="宋体" w:hAnsi="宋体" w:cs="宋体"/>
          <w:sz w:val="28"/>
          <w:szCs w:val="28"/>
        </w:rPr>
        <w:t>★</w:t>
      </w:r>
      <w:r>
        <w:rPr>
          <w:sz w:val="28"/>
          <w:szCs w:val="28"/>
        </w:rPr>
        <w:t>5</w:t>
      </w:r>
      <w:r>
        <w:rPr>
          <w:rFonts w:hint="eastAsia" w:cs="宋体"/>
          <w:sz w:val="28"/>
          <w:szCs w:val="28"/>
        </w:rPr>
        <w:t>功能要求</w:t>
      </w:r>
      <w:bookmarkEnd w:id="5"/>
    </w:p>
    <w:p>
      <w:pPr>
        <w:adjustRightInd w:val="0"/>
        <w:snapToGrid w:val="0"/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5.1</w:t>
      </w:r>
      <w:r>
        <w:rPr>
          <w:rFonts w:hint="eastAsia" w:ascii="宋体" w:hAnsi="宋体" w:cs="宋体"/>
          <w:sz w:val="28"/>
          <w:szCs w:val="28"/>
        </w:rPr>
        <w:t>通过固体声传导特性，制造出可显示与声束传播方向平行且与端子松动区域的剖面状况。</w:t>
      </w:r>
    </w:p>
    <w:p>
      <w:pPr>
        <w:adjustRightInd w:val="0"/>
        <w:snapToGrid w:val="0"/>
        <w:spacing w:line="360" w:lineRule="auto"/>
        <w:ind w:firstLine="280" w:firstLineChars="100"/>
        <w:jc w:val="left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5.2</w:t>
      </w:r>
      <w:r>
        <w:rPr>
          <w:rFonts w:hint="eastAsia" w:ascii="宋体" w:hAnsi="宋体" w:cs="宋体"/>
          <w:sz w:val="28"/>
          <w:szCs w:val="28"/>
        </w:rPr>
        <w:t>利用共振频率探测端头产生可调的高精度频率声波，发现松动端子的共振频率偏移特征，通过声传导放大模组，从而准确发现端子连接松动的缺陷。</w:t>
      </w:r>
    </w:p>
    <w:p>
      <w:pPr>
        <w:adjustRightInd w:val="0"/>
        <w:snapToGrid w:val="0"/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5.3</w:t>
      </w:r>
      <w:r>
        <w:rPr>
          <w:rFonts w:hint="eastAsia" w:ascii="宋体" w:hAnsi="宋体" w:cs="宋体"/>
          <w:sz w:val="28"/>
          <w:szCs w:val="28"/>
        </w:rPr>
        <w:t>开发一套程序，分析实测信号变化和端子松动的共振关系，通过真彩</w:t>
      </w:r>
      <w:r>
        <w:rPr>
          <w:rFonts w:ascii="宋体" w:hAnsi="宋体" w:cs="宋体"/>
          <w:sz w:val="28"/>
          <w:szCs w:val="28"/>
        </w:rPr>
        <w:t>TFT</w:t>
      </w:r>
      <w:r>
        <w:rPr>
          <w:rFonts w:hint="eastAsia" w:ascii="宋体" w:hAnsi="宋体" w:cs="宋体"/>
          <w:sz w:val="28"/>
          <w:szCs w:val="28"/>
        </w:rPr>
        <w:t>大屏幕液晶显示，以图形化方式直观准确反映端子的松动状况，建立隐患特征判别依据。</w:t>
      </w:r>
    </w:p>
    <w:p>
      <w:pPr>
        <w:adjustRightInd w:val="0"/>
        <w:snapToGrid w:val="0"/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5.4</w:t>
      </w:r>
      <w:r>
        <w:rPr>
          <w:rFonts w:hint="eastAsia" w:ascii="宋体" w:hAnsi="宋体" w:cs="宋体"/>
          <w:sz w:val="28"/>
          <w:szCs w:val="28"/>
        </w:rPr>
        <w:t>具有对图示化输出结果修正偏差、消除干扰，提高探测的准确性以及图像识别精度的功能。</w:t>
      </w:r>
    </w:p>
    <w:p>
      <w:pPr>
        <w:pStyle w:val="2"/>
        <w:adjustRightInd w:val="0"/>
        <w:snapToGrid w:val="0"/>
        <w:spacing w:after="0" w:line="360" w:lineRule="auto"/>
        <w:ind w:firstLine="280" w:firstLineChars="100"/>
        <w:jc w:val="left"/>
        <w:rPr>
          <w:rFonts w:ascii="宋体" w:cs="Times New Roman"/>
          <w:b w:val="0"/>
          <w:bCs w:val="0"/>
          <w:sz w:val="28"/>
          <w:szCs w:val="28"/>
        </w:rPr>
      </w:pPr>
      <w:r>
        <w:rPr>
          <w:rFonts w:ascii="宋体" w:hAnsi="宋体" w:cs="宋体"/>
          <w:b w:val="0"/>
          <w:bCs w:val="0"/>
          <w:sz w:val="28"/>
          <w:szCs w:val="28"/>
        </w:rPr>
        <w:t>5.5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定制的壳体测试端手持式设计，方便使用，全电气隔离，充分保障使用安全。</w:t>
      </w:r>
    </w:p>
    <w:p>
      <w:pPr>
        <w:adjustRightInd w:val="0"/>
        <w:snapToGrid w:val="0"/>
        <w:spacing w:line="360" w:lineRule="auto"/>
        <w:ind w:firstLine="280" w:firstLineChars="100"/>
        <w:outlineLvl w:val="0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★</w:t>
      </w:r>
      <w:r>
        <w:rPr>
          <w:rFonts w:ascii="宋体" w:hAnsi="宋体" w:cs="宋体"/>
          <w:sz w:val="28"/>
          <w:szCs w:val="28"/>
        </w:rPr>
        <w:t>5.6</w:t>
      </w:r>
      <w:r>
        <w:rPr>
          <w:rFonts w:hint="eastAsia" w:ascii="宋体" w:hAnsi="宋体" w:cs="宋体"/>
          <w:sz w:val="28"/>
          <w:szCs w:val="28"/>
        </w:rPr>
        <w:t>材料明细：</w:t>
      </w:r>
    </w:p>
    <w:tbl>
      <w:tblPr>
        <w:tblStyle w:val="11"/>
        <w:tblW w:w="8601" w:type="dxa"/>
        <w:tblInd w:w="-2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17"/>
        <w:gridCol w:w="3448"/>
        <w:gridCol w:w="2977"/>
        <w:gridCol w:w="145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  <w:tblHeader/>
        </w:trPr>
        <w:tc>
          <w:tcPr>
            <w:tcW w:w="717" w:type="dxa"/>
            <w:tcBorders>
              <w:top w:val="single" w:color="auto" w:sz="1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序号</w:t>
            </w:r>
          </w:p>
        </w:tc>
        <w:tc>
          <w:tcPr>
            <w:tcW w:w="3448" w:type="dxa"/>
            <w:tcBorders>
              <w:top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名</w:t>
            </w:r>
            <w:r>
              <w:rPr>
                <w:rFonts w:ascii="宋体" w:hAnsi="宋体" w:cs="宋体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 w:cs="宋体"/>
                <w:sz w:val="28"/>
                <w:szCs w:val="28"/>
              </w:rPr>
              <w:t>称</w:t>
            </w:r>
          </w:p>
        </w:tc>
        <w:tc>
          <w:tcPr>
            <w:tcW w:w="2977" w:type="dxa"/>
            <w:tcBorders>
              <w:top w:val="single" w:color="auto" w:sz="12" w:space="0"/>
              <w:lef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cs="宋体"/>
                <w:sz w:val="28"/>
                <w:szCs w:val="28"/>
              </w:rPr>
              <w:t>要求</w:t>
            </w:r>
          </w:p>
        </w:tc>
        <w:tc>
          <w:tcPr>
            <w:tcW w:w="1459" w:type="dxa"/>
            <w:tcBorders>
              <w:top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0" w:hRule="atLeast"/>
        </w:trPr>
        <w:tc>
          <w:tcPr>
            <w:tcW w:w="717" w:type="dxa"/>
            <w:vAlign w:val="top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1</w:t>
            </w:r>
          </w:p>
        </w:tc>
        <w:tc>
          <w:tcPr>
            <w:tcW w:w="3448" w:type="dxa"/>
            <w:tcBorders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共振频率探测端头</w:t>
            </w:r>
          </w:p>
          <w:p>
            <w:pPr>
              <w:pStyle w:val="2"/>
              <w:adjustRightInd w:val="0"/>
              <w:snapToGrid w:val="0"/>
              <w:spacing w:after="0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 w:val="0"/>
                <w:color w:val="auto"/>
                <w:sz w:val="28"/>
                <w:szCs w:val="28"/>
              </w:rPr>
              <w:t>型号：HTY-SG</w:t>
            </w:r>
          </w:p>
        </w:tc>
        <w:tc>
          <w:tcPr>
            <w:tcW w:w="2977" w:type="dxa"/>
            <w:tcBorders>
              <w:lef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pacing w:val="6"/>
                <w:sz w:val="28"/>
                <w:szCs w:val="28"/>
              </w:rPr>
              <w:t>POM</w:t>
            </w:r>
            <w:r>
              <w:rPr>
                <w:rFonts w:hint="eastAsia" w:ascii="宋体" w:hAnsi="宋体" w:cs="宋体"/>
                <w:color w:val="auto"/>
                <w:spacing w:val="6"/>
                <w:sz w:val="28"/>
                <w:szCs w:val="28"/>
              </w:rPr>
              <w:t>材质</w:t>
            </w:r>
          </w:p>
        </w:tc>
        <w:tc>
          <w:tcPr>
            <w:tcW w:w="1459" w:type="dxa"/>
            <w:tcBorders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2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只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0" w:hRule="atLeast"/>
        </w:trPr>
        <w:tc>
          <w:tcPr>
            <w:tcW w:w="717" w:type="dxa"/>
            <w:vAlign w:val="top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2</w:t>
            </w:r>
          </w:p>
        </w:tc>
        <w:tc>
          <w:tcPr>
            <w:tcW w:w="3448" w:type="dxa"/>
            <w:tcBorders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电气隔离保护套</w:t>
            </w:r>
          </w:p>
          <w:p>
            <w:pPr>
              <w:pStyle w:val="2"/>
              <w:adjustRightInd w:val="0"/>
              <w:snapToGrid w:val="0"/>
              <w:spacing w:after="0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hint="eastAsia"/>
                <w:b w:val="0"/>
                <w:color w:val="auto"/>
                <w:sz w:val="28"/>
                <w:szCs w:val="28"/>
              </w:rPr>
              <w:t>型号：</w:t>
            </w:r>
            <w:r>
              <w:rPr>
                <w:rFonts w:hint="eastAsia" w:asciiTheme="minorEastAsia" w:hAnsiTheme="minorEastAsia" w:eastAsiaTheme="minorEastAsia"/>
                <w:b w:val="0"/>
                <w:color w:val="auto"/>
                <w:sz w:val="28"/>
                <w:szCs w:val="28"/>
              </w:rPr>
              <w:t>LDPE</w:t>
            </w:r>
            <w:r>
              <w:rPr>
                <w:rFonts w:hint="eastAsia"/>
                <w:b w:val="0"/>
                <w:color w:val="auto"/>
                <w:sz w:val="28"/>
                <w:szCs w:val="28"/>
              </w:rPr>
              <w:t>-</w:t>
            </w:r>
            <w:r>
              <w:rPr>
                <w:rFonts w:hint="eastAsia" w:asciiTheme="minorEastAsia" w:hAnsiTheme="minorEastAsia" w:eastAsiaTheme="minorEastAsia"/>
                <w:b w:val="0"/>
                <w:color w:val="auto"/>
                <w:sz w:val="28"/>
                <w:szCs w:val="28"/>
              </w:rPr>
              <w:t>AD30</w:t>
            </w:r>
          </w:p>
        </w:tc>
        <w:tc>
          <w:tcPr>
            <w:tcW w:w="2977" w:type="dxa"/>
            <w:tcBorders>
              <w:lef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cs="宋体"/>
                <w:color w:val="auto"/>
                <w:sz w:val="28"/>
                <w:szCs w:val="28"/>
              </w:rPr>
              <w:t>高分子聚乙烯</w:t>
            </w:r>
          </w:p>
        </w:tc>
        <w:tc>
          <w:tcPr>
            <w:tcW w:w="1459" w:type="dxa"/>
            <w:tcBorders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2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只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0" w:hRule="atLeast"/>
        </w:trPr>
        <w:tc>
          <w:tcPr>
            <w:tcW w:w="717" w:type="dxa"/>
            <w:vAlign w:val="top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3</w:t>
            </w:r>
          </w:p>
        </w:tc>
        <w:tc>
          <w:tcPr>
            <w:tcW w:w="3448" w:type="dxa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人机互动控制显示模组</w:t>
            </w:r>
          </w:p>
          <w:p>
            <w:pPr>
              <w:pStyle w:val="2"/>
              <w:adjustRightInd w:val="0"/>
              <w:snapToGrid w:val="0"/>
              <w:spacing w:after="0"/>
              <w:rPr>
                <w:rFonts w:ascii="宋体" w:hAnsi="宋体" w:cs="宋体"/>
                <w:color w:val="auto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 w:val="0"/>
                <w:color w:val="auto"/>
                <w:sz w:val="28"/>
                <w:szCs w:val="28"/>
              </w:rPr>
              <w:t>型号：HTY-RJ V1.0</w:t>
            </w:r>
          </w:p>
        </w:tc>
        <w:tc>
          <w:tcPr>
            <w:tcW w:w="2977" w:type="dxa"/>
            <w:tcBorders>
              <w:left w:val="single" w:color="auto" w:sz="4" w:space="0"/>
            </w:tcBorders>
            <w:vAlign w:val="top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TFT真彩液晶，含图形处理软件</w:t>
            </w:r>
          </w:p>
        </w:tc>
        <w:tc>
          <w:tcPr>
            <w:tcW w:w="1459" w:type="dxa"/>
            <w:tcBorders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1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套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0" w:hRule="atLeast"/>
        </w:trPr>
        <w:tc>
          <w:tcPr>
            <w:tcW w:w="71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4</w:t>
            </w:r>
          </w:p>
        </w:tc>
        <w:tc>
          <w:tcPr>
            <w:tcW w:w="3448" w:type="dxa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声传导放大模组</w:t>
            </w:r>
          </w:p>
          <w:p>
            <w:pPr>
              <w:pStyle w:val="2"/>
              <w:adjustRightInd w:val="0"/>
              <w:snapToGrid w:val="0"/>
              <w:spacing w:after="0"/>
              <w:jc w:val="both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b w:val="0"/>
                <w:color w:val="auto"/>
                <w:sz w:val="28"/>
                <w:szCs w:val="28"/>
              </w:rPr>
              <w:t>型号：HTY-SD/A</w:t>
            </w:r>
          </w:p>
        </w:tc>
        <w:tc>
          <w:tcPr>
            <w:tcW w:w="2977" w:type="dxa"/>
            <w:tcBorders>
              <w:left w:val="single" w:color="auto" w:sz="4" w:space="0"/>
            </w:tcBorders>
            <w:vAlign w:val="top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pacing w:val="6"/>
                <w:sz w:val="28"/>
                <w:szCs w:val="28"/>
              </w:rPr>
              <w:t>频率计权：使用数字方法实现；时间计权：快、慢、脉冲、峰值，使用数字方法计算得出</w:t>
            </w:r>
          </w:p>
        </w:tc>
        <w:tc>
          <w:tcPr>
            <w:tcW w:w="1459" w:type="dxa"/>
            <w:tcBorders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1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套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0" w:hRule="atLeast"/>
        </w:trPr>
        <w:tc>
          <w:tcPr>
            <w:tcW w:w="717" w:type="dxa"/>
            <w:vAlign w:val="top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5</w:t>
            </w:r>
          </w:p>
        </w:tc>
        <w:tc>
          <w:tcPr>
            <w:tcW w:w="3448" w:type="dxa"/>
            <w:tcBorders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定制壳体</w:t>
            </w:r>
            <w:r>
              <w:rPr>
                <w:rFonts w:ascii="宋体" w:hAnsi="宋体" w:cs="宋体"/>
                <w:color w:val="auto"/>
                <w:sz w:val="28"/>
                <w:szCs w:val="28"/>
              </w:rPr>
              <w:t>1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套</w:t>
            </w:r>
          </w:p>
          <w:p>
            <w:pPr>
              <w:pStyle w:val="2"/>
              <w:adjustRightInd w:val="0"/>
              <w:snapToGrid w:val="0"/>
              <w:spacing w:after="0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 w:val="0"/>
                <w:color w:val="auto"/>
                <w:sz w:val="28"/>
                <w:szCs w:val="28"/>
              </w:rPr>
              <w:t>型号：HTY-ABS</w:t>
            </w:r>
          </w:p>
        </w:tc>
        <w:tc>
          <w:tcPr>
            <w:tcW w:w="2977" w:type="dxa"/>
            <w:tcBorders>
              <w:lef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cs="宋体"/>
                <w:color w:val="auto"/>
                <w:sz w:val="28"/>
                <w:szCs w:val="28"/>
              </w:rPr>
              <w:t>ABS工程材料</w:t>
            </w:r>
          </w:p>
        </w:tc>
        <w:tc>
          <w:tcPr>
            <w:tcW w:w="1459" w:type="dxa"/>
            <w:tcBorders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1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套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0" w:hRule="atLeast"/>
        </w:trPr>
        <w:tc>
          <w:tcPr>
            <w:tcW w:w="717" w:type="dxa"/>
            <w:vAlign w:val="top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6</w:t>
            </w:r>
          </w:p>
        </w:tc>
        <w:tc>
          <w:tcPr>
            <w:tcW w:w="3448" w:type="dxa"/>
            <w:tcBorders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锂电池管理模组</w:t>
            </w:r>
          </w:p>
          <w:p>
            <w:pPr>
              <w:pStyle w:val="2"/>
              <w:adjustRightInd w:val="0"/>
              <w:snapToGrid w:val="0"/>
              <w:spacing w:after="0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 w:val="0"/>
                <w:color w:val="auto"/>
                <w:sz w:val="28"/>
                <w:szCs w:val="28"/>
              </w:rPr>
              <w:t>型号：HTY-BMS/24Li</w:t>
            </w:r>
          </w:p>
        </w:tc>
        <w:tc>
          <w:tcPr>
            <w:tcW w:w="2977" w:type="dxa"/>
            <w:tcBorders>
              <w:left w:val="single" w:color="auto" w:sz="4" w:space="0"/>
            </w:tcBorders>
            <w:vAlign w:val="top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auto"/>
                <w:spacing w:val="6"/>
                <w:sz w:val="28"/>
                <w:szCs w:val="28"/>
              </w:rPr>
              <w:t>24</w:t>
            </w:r>
            <w:r>
              <w:rPr>
                <w:rFonts w:ascii="宋体" w:hAnsi="宋体" w:cs="宋体"/>
                <w:color w:val="auto"/>
                <w:spacing w:val="6"/>
                <w:sz w:val="28"/>
                <w:szCs w:val="28"/>
              </w:rPr>
              <w:t>V/</w:t>
            </w:r>
            <w:r>
              <w:rPr>
                <w:rFonts w:hint="eastAsia" w:ascii="宋体" w:hAnsi="宋体" w:cs="宋体"/>
                <w:color w:val="auto"/>
                <w:spacing w:val="6"/>
                <w:sz w:val="28"/>
                <w:szCs w:val="28"/>
              </w:rPr>
              <w:t>1</w:t>
            </w:r>
            <w:r>
              <w:rPr>
                <w:rFonts w:ascii="宋体" w:hAnsi="宋体" w:cs="宋体"/>
                <w:color w:val="auto"/>
                <w:spacing w:val="6"/>
                <w:sz w:val="28"/>
                <w:szCs w:val="28"/>
              </w:rPr>
              <w:t>0000mAh</w:t>
            </w:r>
            <w:r>
              <w:rPr>
                <w:rFonts w:hint="eastAsia" w:ascii="宋体" w:cs="宋体"/>
                <w:color w:val="auto"/>
                <w:sz w:val="28"/>
                <w:szCs w:val="28"/>
              </w:rPr>
              <w:t xml:space="preserve"> ,HTY</w:t>
            </w:r>
            <w:r>
              <w:rPr>
                <w:rFonts w:hint="eastAsia" w:ascii="宋体" w:hAnsi="宋体" w:cs="宋体"/>
                <w:color w:val="auto"/>
                <w:spacing w:val="6"/>
                <w:sz w:val="28"/>
                <w:szCs w:val="28"/>
              </w:rPr>
              <w:t>锂电管理系统</w:t>
            </w:r>
          </w:p>
        </w:tc>
        <w:tc>
          <w:tcPr>
            <w:tcW w:w="1459" w:type="dxa"/>
            <w:tcBorders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ascii="宋体" w:cs="宋体"/>
                <w:color w:val="auto"/>
                <w:sz w:val="28"/>
                <w:szCs w:val="28"/>
              </w:rPr>
            </w:pPr>
            <w:r>
              <w:rPr>
                <w:rFonts w:ascii="宋体" w:hAnsi="宋体" w:cs="宋体"/>
                <w:color w:val="auto"/>
                <w:sz w:val="28"/>
                <w:szCs w:val="28"/>
              </w:rPr>
              <w:t>1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</w:rPr>
              <w:t>套</w:t>
            </w:r>
          </w:p>
        </w:tc>
      </w:tr>
    </w:tbl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</w:p>
    <w:p>
      <w:pPr>
        <w:pStyle w:val="5"/>
        <w:rPr>
          <w:rFonts w:cs="Times New Roman"/>
        </w:rPr>
      </w:pPr>
      <w:bookmarkStart w:id="6" w:name="_Toc1567"/>
      <w:r>
        <w:t>6</w:t>
      </w:r>
      <w:r>
        <w:rPr>
          <w:rFonts w:hint="eastAsia" w:cs="宋体"/>
        </w:rPr>
        <w:t>服务范围</w:t>
      </w:r>
      <w:bookmarkEnd w:id="6"/>
    </w:p>
    <w:p>
      <w:pPr>
        <w:jc w:val="center"/>
        <w:rPr>
          <w:rFonts w:cs="Times New Roman"/>
          <w:sz w:val="28"/>
          <w:szCs w:val="28"/>
        </w:rPr>
      </w:pPr>
      <w:r>
        <w:rPr>
          <w:rFonts w:hint="eastAsia" w:cs="宋体"/>
          <w:sz w:val="28"/>
          <w:szCs w:val="28"/>
        </w:rPr>
        <w:t>服务范围一览表</w:t>
      </w:r>
    </w:p>
    <w:tbl>
      <w:tblPr>
        <w:tblStyle w:val="11"/>
        <w:tblW w:w="8766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2256"/>
        <w:gridCol w:w="1025"/>
        <w:gridCol w:w="1420"/>
        <w:gridCol w:w="1666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序号</w:t>
            </w:r>
          </w:p>
        </w:tc>
        <w:tc>
          <w:tcPr>
            <w:tcW w:w="2256" w:type="dxa"/>
            <w:vAlign w:val="center"/>
          </w:tcPr>
          <w:p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名称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单位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形式、规格</w:t>
            </w:r>
          </w:p>
        </w:tc>
        <w:tc>
          <w:tcPr>
            <w:tcW w:w="1666" w:type="dxa"/>
            <w:vAlign w:val="center"/>
          </w:tcPr>
          <w:p>
            <w:pPr>
              <w:jc w:val="center"/>
              <w:rPr>
                <w:rFonts w:cs="Times New Roman"/>
              </w:rPr>
            </w:pPr>
            <w:r>
              <w:rPr>
                <w:rFonts w:hint="eastAsia" w:cs="宋体"/>
                <w:sz w:val="28"/>
                <w:szCs w:val="28"/>
              </w:rPr>
              <w:t>服务期限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256" w:type="dxa"/>
            <w:vAlign w:val="center"/>
          </w:tcPr>
          <w:p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“</w:t>
            </w:r>
            <w:r>
              <w:rPr>
                <w:rFonts w:hint="eastAsia" w:ascii="宋体" w:hAnsi="宋体" w:cs="宋体"/>
                <w:sz w:val="28"/>
                <w:szCs w:val="28"/>
              </w:rPr>
              <w:t>基于声传导共振原理检测压接端子松动装置</w:t>
            </w:r>
            <w:r>
              <w:rPr>
                <w:rFonts w:hint="eastAsia" w:cs="宋体"/>
                <w:sz w:val="28"/>
                <w:szCs w:val="28"/>
              </w:rPr>
              <w:t>”加工服务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项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满足本技术规范书要求</w:t>
            </w:r>
          </w:p>
        </w:tc>
        <w:tc>
          <w:tcPr>
            <w:tcW w:w="1666" w:type="dxa"/>
            <w:vMerge w:val="restart"/>
            <w:vAlign w:val="center"/>
          </w:tcPr>
          <w:p>
            <w:pPr>
              <w:jc w:val="center"/>
              <w:rPr>
                <w:rFonts w:cs="Times New Roman"/>
              </w:rPr>
            </w:pPr>
            <w:r>
              <w:rPr>
                <w:rFonts w:hint="eastAsia" w:cs="宋体"/>
                <w:sz w:val="28"/>
                <w:szCs w:val="28"/>
              </w:rPr>
              <w:t>自合同约定之日起90天内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rFonts w:hint="eastAsia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256" w:type="dxa"/>
            <w:vAlign w:val="center"/>
          </w:tcPr>
          <w:p>
            <w:pPr>
              <w:jc w:val="center"/>
              <w:rPr>
                <w:rFonts w:hint="eastAsia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eastAsia" w:cs="宋体"/>
                <w:sz w:val="28"/>
                <w:szCs w:val="28"/>
                <w:lang w:eastAsia="zh-CN"/>
              </w:rPr>
              <w:t>第三方检测</w:t>
            </w:r>
            <w:r>
              <w:rPr>
                <w:rFonts w:hint="eastAsia" w:cs="宋体"/>
                <w:sz w:val="28"/>
                <w:szCs w:val="28"/>
              </w:rPr>
              <w:t>报告</w:t>
            </w:r>
            <w:r>
              <w:rPr>
                <w:rFonts w:hint="eastAsia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cs="宋体"/>
                <w:sz w:val="28"/>
                <w:szCs w:val="28"/>
                <w:lang w:val="en-US" w:eastAsia="zh-CN"/>
              </w:rPr>
              <w:t>CMA、CNAS</w:t>
            </w:r>
            <w:r>
              <w:rPr>
                <w:rFonts w:hint="eastAsia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hint="eastAsia" w:cs="宋体"/>
                <w:sz w:val="28"/>
                <w:szCs w:val="28"/>
              </w:rPr>
              <w:t>份</w:t>
            </w:r>
          </w:p>
        </w:tc>
        <w:tc>
          <w:tcPr>
            <w:tcW w:w="1420" w:type="dxa"/>
            <w:vAlign w:val="center"/>
          </w:tcPr>
          <w:p>
            <w:pPr>
              <w:jc w:val="both"/>
              <w:rPr>
                <w:rFonts w:hint="eastAsia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eastAsia" w:eastAsia="宋体" w:cs="宋体"/>
                <w:sz w:val="28"/>
                <w:szCs w:val="28"/>
                <w:lang w:val="en-US" w:eastAsia="zh-CN"/>
              </w:rPr>
              <w:t>型式试验，对于暂无型式试验标准的，应进行含关键检测项的委托试验</w:t>
            </w:r>
          </w:p>
        </w:tc>
        <w:tc>
          <w:tcPr>
            <w:tcW w:w="1666" w:type="dxa"/>
            <w:vMerge w:val="continue"/>
            <w:vAlign w:val="center"/>
          </w:tcPr>
          <w:p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>
      <w:pPr>
        <w:rPr>
          <w:rFonts w:cs="Times New Roman"/>
        </w:rPr>
      </w:pPr>
    </w:p>
    <w:p>
      <w:pPr>
        <w:pStyle w:val="5"/>
        <w:rPr>
          <w:rFonts w:ascii="Calibri" w:hAnsi="宋体" w:cs="Times New Roman"/>
          <w:kern w:val="44"/>
          <w:sz w:val="28"/>
          <w:szCs w:val="28"/>
        </w:rPr>
      </w:pPr>
      <w:bookmarkStart w:id="7" w:name="_Toc16594"/>
      <w:r>
        <w:rPr>
          <w:rFonts w:ascii="Calibri" w:hAnsi="宋体" w:cs="Calibri"/>
          <w:kern w:val="44"/>
          <w:sz w:val="28"/>
          <w:szCs w:val="28"/>
        </w:rPr>
        <w:t>7</w:t>
      </w:r>
      <w:r>
        <w:rPr>
          <w:rFonts w:hint="eastAsia" w:ascii="Calibri" w:hAnsi="宋体" w:cs="宋体"/>
          <w:kern w:val="44"/>
          <w:sz w:val="28"/>
          <w:szCs w:val="28"/>
        </w:rPr>
        <w:t>包装、运输及质量保证</w:t>
      </w:r>
      <w:bookmarkEnd w:id="7"/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7.1</w:t>
      </w:r>
      <w:r>
        <w:rPr>
          <w:rFonts w:hint="eastAsia" w:ascii="宋体" w:hAnsi="宋体" w:cs="宋体"/>
          <w:sz w:val="28"/>
          <w:szCs w:val="28"/>
        </w:rPr>
        <w:t>产品在运输应有防护措施，以免散失损坏或丢失、变形、受潮和腐蚀，中标方应按电压等级分类供货。</w:t>
      </w:r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7.2</w:t>
      </w:r>
      <w:r>
        <w:rPr>
          <w:rFonts w:hint="eastAsia" w:ascii="宋体" w:hAnsi="宋体" w:cs="宋体"/>
          <w:sz w:val="28"/>
          <w:szCs w:val="28"/>
        </w:rPr>
        <w:t>储存、运输中应该注意通风、防潮</w:t>
      </w:r>
      <w:r>
        <w:rPr>
          <w:rFonts w:ascii="宋体" w:cs="宋体"/>
          <w:sz w:val="28"/>
          <w:szCs w:val="28"/>
        </w:rPr>
        <w:t>,</w:t>
      </w:r>
      <w:r>
        <w:rPr>
          <w:rFonts w:hint="eastAsia" w:ascii="宋体" w:hAnsi="宋体" w:cs="宋体"/>
          <w:sz w:val="28"/>
          <w:szCs w:val="28"/>
        </w:rPr>
        <w:t>同时不得与有腐蚀性的物品堆放在一起。还应注意避开有腐蚀性气体环境。运输工程中应避免野蛮装卸。</w:t>
      </w:r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7.3</w:t>
      </w:r>
      <w:r>
        <w:rPr>
          <w:rFonts w:hint="eastAsia" w:ascii="宋体" w:hAnsi="宋体" w:cs="宋体"/>
          <w:sz w:val="28"/>
          <w:szCs w:val="28"/>
        </w:rPr>
        <w:t>中标方应对所加工的产品通过招标方验收评审通过之日计起，提供一年“三包”质量保证，质保期后如发生损坏，中标方应及时提供维修、更换服务，并按最近的投标价提供。</w:t>
      </w:r>
    </w:p>
    <w:p>
      <w:pPr>
        <w:spacing w:line="360" w:lineRule="auto"/>
        <w:ind w:firstLine="280" w:firstLineChars="1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★</w:t>
      </w:r>
      <w:r>
        <w:rPr>
          <w:rFonts w:ascii="宋体" w:hAnsi="宋体" w:cs="宋体"/>
          <w:sz w:val="28"/>
          <w:szCs w:val="28"/>
        </w:rPr>
        <w:t>7.4</w:t>
      </w:r>
      <w:r>
        <w:rPr>
          <w:rFonts w:hint="eastAsia" w:ascii="宋体" w:hAnsi="宋体" w:cs="宋体"/>
          <w:sz w:val="28"/>
          <w:szCs w:val="28"/>
        </w:rPr>
        <w:t>中标方应遵守本招标技术文件中各条款和工作项目的</w:t>
      </w:r>
      <w:r>
        <w:rPr>
          <w:rFonts w:ascii="宋体" w:hAnsi="宋体" w:cs="宋体"/>
          <w:sz w:val="28"/>
          <w:szCs w:val="28"/>
        </w:rPr>
        <w:t>ISO9000</w:t>
      </w:r>
      <w:r>
        <w:rPr>
          <w:rFonts w:hint="eastAsia" w:ascii="宋体" w:hAnsi="宋体" w:cs="宋体"/>
          <w:sz w:val="28"/>
          <w:szCs w:val="28"/>
        </w:rPr>
        <w:t>、</w:t>
      </w:r>
      <w:r>
        <w:rPr>
          <w:rFonts w:ascii="宋体" w:hAnsi="宋体" w:cs="宋体"/>
          <w:sz w:val="28"/>
          <w:szCs w:val="28"/>
        </w:rPr>
        <w:t>GB/T19000</w:t>
      </w:r>
      <w:r>
        <w:rPr>
          <w:rFonts w:hint="eastAsia" w:ascii="宋体" w:hAnsi="宋体" w:cs="宋体"/>
          <w:sz w:val="28"/>
          <w:szCs w:val="28"/>
        </w:rPr>
        <w:t>质量保证体系</w:t>
      </w:r>
      <w:r>
        <w:rPr>
          <w:rFonts w:ascii="宋体" w:hAnsi="宋体" w:cs="宋体"/>
          <w:sz w:val="28"/>
          <w:szCs w:val="28"/>
        </w:rPr>
        <w:t xml:space="preserve">, </w:t>
      </w:r>
      <w:r>
        <w:rPr>
          <w:rFonts w:hint="eastAsia" w:ascii="宋体" w:hAnsi="宋体" w:cs="宋体"/>
          <w:sz w:val="28"/>
          <w:szCs w:val="28"/>
        </w:rPr>
        <w:t>中标方质量保证体系已经过国家认证和且在有效期内。</w:t>
      </w:r>
      <w:bookmarkStart w:id="8" w:name="_Toc28920"/>
    </w:p>
    <w:p>
      <w:pPr>
        <w:pStyle w:val="2"/>
        <w:rPr>
          <w:rFonts w:hint="eastAsia" w:ascii="宋体" w:hAnsi="宋体" w:cs="宋体"/>
          <w:sz w:val="28"/>
          <w:szCs w:val="28"/>
        </w:rPr>
      </w:pPr>
    </w:p>
    <w:p>
      <w:pPr>
        <w:pStyle w:val="3"/>
      </w:pPr>
    </w:p>
    <w:p>
      <w:pPr>
        <w:pStyle w:val="4"/>
        <w:spacing w:before="0" w:after="0" w:line="360" w:lineRule="auto"/>
        <w:rPr>
          <w:rFonts w:cs="Times New Roman"/>
          <w:sz w:val="28"/>
          <w:szCs w:val="28"/>
        </w:rPr>
      </w:pPr>
      <w:r>
        <w:rPr>
          <w:rFonts w:hint="eastAsia" w:cs="宋体"/>
          <w:sz w:val="28"/>
          <w:szCs w:val="28"/>
        </w:rPr>
        <w:t>附件</w:t>
      </w:r>
      <w:bookmarkEnd w:id="8"/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1.</w:t>
      </w:r>
      <w:r>
        <w:rPr>
          <w:rFonts w:hint="eastAsia" w:ascii="宋体" w:hAnsi="宋体" w:cs="宋体"/>
          <w:sz w:val="28"/>
          <w:szCs w:val="28"/>
        </w:rPr>
        <w:t>差异表</w:t>
      </w:r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序号招标文件投标文件条目</w:t>
      </w:r>
    </w:p>
    <w:tbl>
      <w:tblPr>
        <w:tblStyle w:val="11"/>
        <w:tblW w:w="850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368"/>
        <w:gridCol w:w="2412"/>
        <w:gridCol w:w="1644"/>
        <w:gridCol w:w="2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restart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bookmarkStart w:id="9" w:name="_Toc148970013"/>
            <w:r>
              <w:rPr>
                <w:rFonts w:hint="eastAsia" w:ascii="宋体" w:hAnsi="宋体" w:cs="宋体"/>
                <w:sz w:val="24"/>
                <w:szCs w:val="24"/>
              </w:rPr>
              <w:t>序号</w:t>
            </w:r>
            <w:bookmarkEnd w:id="9"/>
          </w:p>
        </w:tc>
        <w:tc>
          <w:tcPr>
            <w:tcW w:w="3780" w:type="dxa"/>
            <w:gridSpan w:val="2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bookmarkStart w:id="10" w:name="_Toc148970014"/>
            <w:r>
              <w:rPr>
                <w:rFonts w:hint="eastAsia" w:ascii="宋体" w:hAnsi="宋体" w:cs="宋体"/>
                <w:sz w:val="24"/>
                <w:szCs w:val="24"/>
              </w:rPr>
              <w:t>招标文件</w:t>
            </w:r>
            <w:bookmarkEnd w:id="10"/>
          </w:p>
        </w:tc>
        <w:tc>
          <w:tcPr>
            <w:tcW w:w="3874" w:type="dxa"/>
            <w:gridSpan w:val="2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bookmarkStart w:id="11" w:name="_Toc148970015"/>
            <w:r>
              <w:rPr>
                <w:rFonts w:hint="eastAsia" w:ascii="宋体" w:hAnsi="宋体" w:cs="宋体"/>
                <w:sz w:val="24"/>
                <w:szCs w:val="24"/>
              </w:rPr>
              <w:t>投标文件</w:t>
            </w:r>
            <w:bookmarkEnd w:id="1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continue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</w:p>
        </w:tc>
        <w:tc>
          <w:tcPr>
            <w:tcW w:w="1368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bookmarkStart w:id="12" w:name="_Toc148970016"/>
            <w:r>
              <w:rPr>
                <w:rFonts w:hint="eastAsia" w:ascii="宋体" w:hAnsi="宋体" w:cs="宋体"/>
                <w:sz w:val="24"/>
                <w:szCs w:val="24"/>
              </w:rPr>
              <w:t>条目</w:t>
            </w:r>
            <w:bookmarkEnd w:id="12"/>
          </w:p>
        </w:tc>
        <w:tc>
          <w:tcPr>
            <w:tcW w:w="2412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bookmarkStart w:id="13" w:name="_Toc148970017"/>
            <w:r>
              <w:rPr>
                <w:rFonts w:hint="eastAsia" w:ascii="宋体" w:hAnsi="宋体" w:cs="宋体"/>
                <w:sz w:val="24"/>
                <w:szCs w:val="24"/>
              </w:rPr>
              <w:t>简要内容</w:t>
            </w:r>
            <w:bookmarkEnd w:id="13"/>
          </w:p>
        </w:tc>
        <w:tc>
          <w:tcPr>
            <w:tcW w:w="1644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满足程度</w:t>
            </w:r>
          </w:p>
        </w:tc>
        <w:tc>
          <w:tcPr>
            <w:tcW w:w="2230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850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368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……</w:t>
            </w:r>
          </w:p>
        </w:tc>
        <w:tc>
          <w:tcPr>
            <w:tcW w:w="2412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……</w:t>
            </w:r>
          </w:p>
        </w:tc>
        <w:tc>
          <w:tcPr>
            <w:tcW w:w="1644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优于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部分满足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不满足</w:t>
            </w:r>
          </w:p>
        </w:tc>
        <w:tc>
          <w:tcPr>
            <w:tcW w:w="2230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vAlign w:val="center"/>
          </w:tcPr>
          <w:p>
            <w:pPr>
              <w:spacing w:line="360" w:lineRule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368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……</w:t>
            </w:r>
          </w:p>
        </w:tc>
        <w:tc>
          <w:tcPr>
            <w:tcW w:w="2412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……</w:t>
            </w:r>
          </w:p>
        </w:tc>
        <w:tc>
          <w:tcPr>
            <w:tcW w:w="1644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优于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部分满足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不满足</w:t>
            </w:r>
          </w:p>
        </w:tc>
        <w:tc>
          <w:tcPr>
            <w:tcW w:w="2230" w:type="dxa"/>
            <w:vAlign w:val="center"/>
          </w:tcPr>
          <w:p>
            <w:pPr>
              <w:spacing w:line="360" w:lineRule="auto"/>
              <w:rPr>
                <w:rFonts w:asci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……</w:t>
            </w:r>
          </w:p>
        </w:tc>
      </w:tr>
    </w:tbl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</w:p>
    <w:p>
      <w:pPr>
        <w:spacing w:line="360" w:lineRule="auto"/>
        <w:ind w:firstLine="280" w:firstLineChars="100"/>
        <w:rPr>
          <w:rFonts w:ascii="宋体" w:cs="Times New Roman"/>
          <w:sz w:val="28"/>
          <w:szCs w:val="28"/>
        </w:rPr>
      </w:pPr>
      <w:r>
        <w:rPr>
          <w:rFonts w:ascii="宋体" w:hAnsi="宋体" w:cs="宋体"/>
          <w:sz w:val="28"/>
          <w:szCs w:val="28"/>
        </w:rPr>
        <w:t>2</w:t>
      </w:r>
      <w:r>
        <w:rPr>
          <w:rFonts w:hint="eastAsia" w:ascii="宋体" w:hAnsi="宋体" w:cs="宋体"/>
          <w:sz w:val="28"/>
          <w:szCs w:val="28"/>
        </w:rPr>
        <w:t>、投标方需要说明的其它问题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1474EE"/>
    <w:multiLevelType w:val="multilevel"/>
    <w:tmpl w:val="651474EE"/>
    <w:lvl w:ilvl="0" w:tentative="0">
      <w:start w:val="1"/>
      <w:numFmt w:val="decimalEnclosedParen"/>
      <w:lvlText w:val="%1"/>
      <w:lvlJc w:val="left"/>
      <w:pPr>
        <w:ind w:left="780" w:hanging="36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2BA"/>
    <w:rsid w:val="0000347D"/>
    <w:rsid w:val="00096618"/>
    <w:rsid w:val="000C5062"/>
    <w:rsid w:val="000C6D20"/>
    <w:rsid w:val="000E5E5B"/>
    <w:rsid w:val="00132F0B"/>
    <w:rsid w:val="001363AE"/>
    <w:rsid w:val="00192F60"/>
    <w:rsid w:val="001A29E4"/>
    <w:rsid w:val="001B5C1B"/>
    <w:rsid w:val="001F2393"/>
    <w:rsid w:val="00237B17"/>
    <w:rsid w:val="002A091D"/>
    <w:rsid w:val="002F34D6"/>
    <w:rsid w:val="00316F10"/>
    <w:rsid w:val="00336DA9"/>
    <w:rsid w:val="003B32BA"/>
    <w:rsid w:val="003C03FC"/>
    <w:rsid w:val="003E71BC"/>
    <w:rsid w:val="004317CE"/>
    <w:rsid w:val="00555852"/>
    <w:rsid w:val="00563C21"/>
    <w:rsid w:val="005649F5"/>
    <w:rsid w:val="00595B84"/>
    <w:rsid w:val="005B1254"/>
    <w:rsid w:val="005D61BC"/>
    <w:rsid w:val="005E4095"/>
    <w:rsid w:val="00625359"/>
    <w:rsid w:val="00651E02"/>
    <w:rsid w:val="00660D42"/>
    <w:rsid w:val="00671434"/>
    <w:rsid w:val="006737E9"/>
    <w:rsid w:val="00674768"/>
    <w:rsid w:val="00674817"/>
    <w:rsid w:val="006E0B10"/>
    <w:rsid w:val="00730762"/>
    <w:rsid w:val="008B5D75"/>
    <w:rsid w:val="008C01CF"/>
    <w:rsid w:val="0090265A"/>
    <w:rsid w:val="009A5C63"/>
    <w:rsid w:val="009E648D"/>
    <w:rsid w:val="00A1149B"/>
    <w:rsid w:val="00A251D6"/>
    <w:rsid w:val="00A80C4A"/>
    <w:rsid w:val="00B0475A"/>
    <w:rsid w:val="00B618A5"/>
    <w:rsid w:val="00B723F3"/>
    <w:rsid w:val="00B917D5"/>
    <w:rsid w:val="00C12DD9"/>
    <w:rsid w:val="00C21DFD"/>
    <w:rsid w:val="00CD7AC5"/>
    <w:rsid w:val="00CF0829"/>
    <w:rsid w:val="00D62F0D"/>
    <w:rsid w:val="00DA5389"/>
    <w:rsid w:val="00DF7A7C"/>
    <w:rsid w:val="00E33F81"/>
    <w:rsid w:val="00EF68A3"/>
    <w:rsid w:val="00F22709"/>
    <w:rsid w:val="00F512B2"/>
    <w:rsid w:val="00F524B0"/>
    <w:rsid w:val="00F82C64"/>
    <w:rsid w:val="00FB34BD"/>
    <w:rsid w:val="00FC21C5"/>
    <w:rsid w:val="00FF07F2"/>
    <w:rsid w:val="00FF2E87"/>
    <w:rsid w:val="095F4F6E"/>
    <w:rsid w:val="0C8711CC"/>
    <w:rsid w:val="15AD5F8B"/>
    <w:rsid w:val="22A655AD"/>
    <w:rsid w:val="244008DA"/>
    <w:rsid w:val="267D55BB"/>
    <w:rsid w:val="2C020908"/>
    <w:rsid w:val="3B9F4427"/>
    <w:rsid w:val="3E8308D2"/>
    <w:rsid w:val="4A6E1422"/>
    <w:rsid w:val="4CD25091"/>
    <w:rsid w:val="572A4459"/>
    <w:rsid w:val="5C9C6D32"/>
    <w:rsid w:val="63EA734C"/>
    <w:rsid w:val="746B5BE0"/>
    <w:rsid w:val="749234CF"/>
    <w:rsid w:val="75EC3368"/>
    <w:rsid w:val="7D42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99" w:name="toc 1"/>
    <w:lsdException w:qFormat="1" w:unhideWhenUsed="0" w:uiPriority="99" w:name="toc 2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5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6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link w:val="17"/>
    <w:qFormat/>
    <w:uiPriority w:val="99"/>
    <w:pPr>
      <w:spacing w:after="120"/>
    </w:pPr>
  </w:style>
  <w:style w:type="paragraph" w:styleId="3">
    <w:name w:val="Title"/>
    <w:basedOn w:val="1"/>
    <w:next w:val="1"/>
    <w:link w:val="18"/>
    <w:qFormat/>
    <w:uiPriority w:val="99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alloon Text"/>
    <w:basedOn w:val="1"/>
    <w:link w:val="19"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semiHidden/>
    <w:qFormat/>
    <w:uiPriority w:val="99"/>
  </w:style>
  <w:style w:type="paragraph" w:styleId="10">
    <w:name w:val="toc 2"/>
    <w:basedOn w:val="1"/>
    <w:next w:val="1"/>
    <w:semiHidden/>
    <w:qFormat/>
    <w:uiPriority w:val="99"/>
    <w:pPr>
      <w:ind w:left="420" w:leftChars="200"/>
    </w:pPr>
  </w:style>
  <w:style w:type="table" w:styleId="12">
    <w:name w:val="Table Grid"/>
    <w:basedOn w:val="11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qFormat/>
    <w:uiPriority w:val="99"/>
    <w:rPr>
      <w:color w:val="0000FF"/>
      <w:u w:val="single"/>
    </w:rPr>
  </w:style>
  <w:style w:type="character" w:customStyle="1" w:styleId="15">
    <w:name w:val="标题 1 Char"/>
    <w:basedOn w:val="13"/>
    <w:link w:val="4"/>
    <w:qFormat/>
    <w:locked/>
    <w:uiPriority w:val="99"/>
    <w:rPr>
      <w:b/>
      <w:bCs/>
      <w:kern w:val="44"/>
      <w:sz w:val="44"/>
      <w:szCs w:val="44"/>
    </w:rPr>
  </w:style>
  <w:style w:type="character" w:customStyle="1" w:styleId="16">
    <w:name w:val="标题 2 Char"/>
    <w:basedOn w:val="13"/>
    <w:link w:val="5"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17">
    <w:name w:val="正文文本 Char"/>
    <w:basedOn w:val="13"/>
    <w:link w:val="2"/>
    <w:semiHidden/>
    <w:qFormat/>
    <w:uiPriority w:val="99"/>
    <w:rPr>
      <w:rFonts w:ascii="Calibri" w:hAnsi="Calibri" w:cs="Calibri"/>
      <w:szCs w:val="21"/>
    </w:rPr>
  </w:style>
  <w:style w:type="character" w:customStyle="1" w:styleId="18">
    <w:name w:val="标题 Char"/>
    <w:basedOn w:val="13"/>
    <w:link w:val="3"/>
    <w:qFormat/>
    <w:uiPriority w:val="10"/>
    <w:rPr>
      <w:rFonts w:ascii="Cambria" w:hAnsi="Cambria" w:cs="Times New Roman"/>
      <w:b/>
      <w:bCs/>
      <w:sz w:val="32"/>
      <w:szCs w:val="32"/>
    </w:rPr>
  </w:style>
  <w:style w:type="character" w:customStyle="1" w:styleId="19">
    <w:name w:val="批注框文本 Char"/>
    <w:basedOn w:val="13"/>
    <w:link w:val="6"/>
    <w:semiHidden/>
    <w:qFormat/>
    <w:locked/>
    <w:uiPriority w:val="99"/>
    <w:rPr>
      <w:sz w:val="18"/>
      <w:szCs w:val="18"/>
    </w:rPr>
  </w:style>
  <w:style w:type="character" w:customStyle="1" w:styleId="20">
    <w:name w:val="页脚 Char"/>
    <w:basedOn w:val="13"/>
    <w:link w:val="7"/>
    <w:qFormat/>
    <w:locked/>
    <w:uiPriority w:val="99"/>
    <w:rPr>
      <w:sz w:val="18"/>
      <w:szCs w:val="18"/>
    </w:rPr>
  </w:style>
  <w:style w:type="character" w:customStyle="1" w:styleId="21">
    <w:name w:val="页眉 Char"/>
    <w:basedOn w:val="13"/>
    <w:link w:val="8"/>
    <w:qFormat/>
    <w:locked/>
    <w:uiPriority w:val="99"/>
    <w:rPr>
      <w:sz w:val="18"/>
      <w:szCs w:val="18"/>
    </w:rPr>
  </w:style>
  <w:style w:type="paragraph" w:customStyle="1" w:styleId="22">
    <w:name w:val="TOC 标题1"/>
    <w:basedOn w:val="4"/>
    <w:next w:val="1"/>
    <w:semiHidden/>
    <w:qFormat/>
    <w:uiPriority w:val="99"/>
    <w:pPr>
      <w:widowControl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9</Pages>
  <Words>107</Words>
  <Characters>112</Characters>
  <Lines>26</Lines>
  <Paragraphs>7</Paragraphs>
  <TotalTime>0</TotalTime>
  <ScaleCrop>false</ScaleCrop>
  <LinksUpToDate>false</LinksUpToDate>
  <CharactersWithSpaces>121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2023-10-07T15:28:00Z</dcterms:created>
  <dc:creator>admin</dc:creator>
  <cp:lastModifiedBy>陈欣</cp:lastModifiedBy>
  <dcterms:modified xsi:type="dcterms:W3CDTF">2025-11-05T12:20:29Z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F0F636BEA04B4769ABCD103D72040901</vt:lpwstr>
  </property>
  <property fmtid="{D5CDD505-2E9C-101B-9397-08002B2CF9AE}" pid="4" name="KSOTemplateDocerSaveRecord">
    <vt:lpwstr>eyJoZGlkIjoiYjNmOWRiYmQ2MDY0MWU1N2RhNWZjNTQ0OTMxMDRlMTYiLCJ1c2VySWQiOiIyNDI5NTcwNDEifQ==</vt:lpwstr>
  </property>
</Properties>
</file>