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9FAF3E">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广州供电局2026-2027年输变电工程生产标识服务项目 </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招标）</w:t>
      </w:r>
    </w:p>
    <w:bookmarkEnd w:id="0"/>
    <w:p w14:paraId="67C9B237">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1CBBF3D9">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62A0F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6" w:type="dxa"/>
            <w:noWrap w:val="0"/>
            <w:vAlign w:val="top"/>
          </w:tcPr>
          <w:p w14:paraId="5F2B4901">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top"/>
          </w:tcPr>
          <w:p w14:paraId="71A35135">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top"/>
          </w:tcPr>
          <w:p w14:paraId="7CDFE9A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796B0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6" w:type="dxa"/>
            <w:noWrap w:val="0"/>
            <w:vAlign w:val="center"/>
          </w:tcPr>
          <w:p w14:paraId="1CB6458B">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5610D15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可研批复(项目立项)文号</w:t>
            </w:r>
          </w:p>
        </w:tc>
        <w:tc>
          <w:tcPr>
            <w:tcW w:w="5250" w:type="dxa"/>
            <w:noWrap w:val="0"/>
            <w:vAlign w:val="center"/>
          </w:tcPr>
          <w:p w14:paraId="3CE0397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yellow"/>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纳入本框架范围内的各主网基建项目</w:t>
            </w:r>
            <w:r>
              <w:rPr>
                <w:rFonts w:hint="eastAsia" w:asciiTheme="minorEastAsia" w:hAnsiTheme="minorEastAsia" w:eastAsiaTheme="minorEastAsia" w:cstheme="minorEastAsia"/>
                <w:b w:val="0"/>
                <w:bCs w:val="0"/>
                <w:strike w:val="0"/>
                <w:dstrike w:val="0"/>
                <w:snapToGrid w:val="0"/>
                <w:color w:val="auto"/>
                <w:kern w:val="0"/>
                <w:sz w:val="24"/>
                <w:szCs w:val="24"/>
                <w:highlight w:val="none"/>
                <w:u w:val="single"/>
                <w:vertAlign w:val="baseline"/>
                <w:lang w:val="en-US" w:eastAsia="zh-CN"/>
              </w:rPr>
              <w:t>（含纳入基建统一建设的技改、迁改项目）</w:t>
            </w: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对应的立项批复文件。</w:t>
            </w:r>
          </w:p>
        </w:tc>
      </w:tr>
      <w:tr w14:paraId="2665D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6" w:type="dxa"/>
            <w:noWrap w:val="0"/>
            <w:vAlign w:val="center"/>
          </w:tcPr>
          <w:p w14:paraId="6277C22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0719B92D">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资金落实情况</w:t>
            </w:r>
          </w:p>
        </w:tc>
        <w:tc>
          <w:tcPr>
            <w:tcW w:w="5250" w:type="dxa"/>
            <w:noWrap w:val="0"/>
            <w:vAlign w:val="center"/>
          </w:tcPr>
          <w:p w14:paraId="201A94CF">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yellow"/>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关于下达广州供电局2025年管制业务固定资产投资计划的通知（广供电资〔2025〕3号），以及纳入本框架范围内的各电网基建项目对应本框架年度的固定资产投资计划。</w:t>
            </w:r>
          </w:p>
        </w:tc>
      </w:tr>
      <w:tr w14:paraId="31FEE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6" w:type="dxa"/>
            <w:noWrap w:val="0"/>
            <w:vAlign w:val="center"/>
          </w:tcPr>
          <w:p w14:paraId="2471DCC0">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693CE1A9">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0AEEBA64">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yellow"/>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广东电网有限责任公司广州供电局</w:t>
            </w:r>
          </w:p>
        </w:tc>
      </w:tr>
      <w:tr w14:paraId="7635F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6" w:type="dxa"/>
            <w:noWrap w:val="0"/>
            <w:vAlign w:val="center"/>
          </w:tcPr>
          <w:p w14:paraId="25BEBE65">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6B825821">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3BED1C7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yellow"/>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w:t>
            </w:r>
          </w:p>
        </w:tc>
      </w:tr>
      <w:tr w14:paraId="1A84E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6" w:type="dxa"/>
            <w:noWrap w:val="0"/>
            <w:vAlign w:val="center"/>
          </w:tcPr>
          <w:p w14:paraId="5A5025B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24F405F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服务期/框架有效期</w:t>
            </w:r>
          </w:p>
        </w:tc>
        <w:tc>
          <w:tcPr>
            <w:tcW w:w="5250" w:type="dxa"/>
            <w:noWrap w:val="0"/>
            <w:vAlign w:val="center"/>
          </w:tcPr>
          <w:p w14:paraId="0A08785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框架有效期：合同签订之日起至2027年12月31日。</w:t>
            </w:r>
          </w:p>
          <w:p w14:paraId="680AA328">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服务期：实际服务期以委托函上载明的时间为准。</w:t>
            </w:r>
          </w:p>
          <w:p w14:paraId="367C593C">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yellow"/>
                <w:u w:val="none"/>
                <w:vertAlign w:val="baseline"/>
                <w:lang w:val="en-US" w:eastAsia="zh-CN" w:bidi="ar-SA"/>
              </w:rPr>
            </w:pPr>
          </w:p>
        </w:tc>
      </w:tr>
    </w:tbl>
    <w:p w14:paraId="0F73DBE5">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240" w:lineRule="auto"/>
        <w:ind w:firstLine="482" w:firstLineChars="200"/>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09DD5B0E">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240" w:lineRule="auto"/>
        <w:ind w:firstLine="482" w:firstLineChars="200"/>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64C3FA0C">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color w:val="auto"/>
          <w:kern w:val="2"/>
          <w:sz w:val="24"/>
          <w:szCs w:val="24"/>
          <w:highlight w:val="none"/>
          <w:u w:val="single"/>
          <w:lang w:val="en-US" w:eastAsia="zh-CN" w:bidi="ar-SA"/>
        </w:rPr>
      </w:pPr>
      <w:r>
        <w:rPr>
          <w:rFonts w:hint="eastAsia" w:ascii="宋体" w:hAnsi="宋体" w:cs="宋体"/>
          <w:b w:val="0"/>
          <w:bCs w:val="0"/>
          <w:i w:val="0"/>
          <w:iCs/>
          <w:color w:val="auto"/>
          <w:kern w:val="2"/>
          <w:sz w:val="24"/>
          <w:szCs w:val="24"/>
          <w:highlight w:val="none"/>
          <w:u w:val="single"/>
          <w:lang w:val="en-US" w:eastAsia="zh-CN" w:bidi="ar-SA"/>
        </w:rPr>
        <w:t>1.</w:t>
      </w:r>
      <w:r>
        <w:rPr>
          <w:rFonts w:hint="eastAsia" w:ascii="宋体" w:hAnsi="宋体" w:eastAsia="宋体" w:cs="宋体"/>
          <w:b w:val="0"/>
          <w:bCs w:val="0"/>
          <w:i w:val="0"/>
          <w:iCs/>
          <w:color w:val="auto"/>
          <w:kern w:val="2"/>
          <w:sz w:val="24"/>
          <w:szCs w:val="24"/>
          <w:highlight w:val="none"/>
          <w:u w:val="single"/>
          <w:lang w:val="en-US" w:eastAsia="zh-CN" w:bidi="ar-SA"/>
        </w:rPr>
        <w:t>广州供电局2026-2027年输变电工程生产标识服务项目：</w:t>
      </w:r>
    </w:p>
    <w:p w14:paraId="7395C68F">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color w:val="auto"/>
          <w:kern w:val="2"/>
          <w:sz w:val="24"/>
          <w:szCs w:val="24"/>
          <w:highlight w:val="none"/>
          <w:u w:val="single"/>
          <w:lang w:val="en-US" w:eastAsia="zh-CN" w:bidi="ar-SA"/>
        </w:rPr>
      </w:pPr>
      <w:r>
        <w:rPr>
          <w:rFonts w:hint="eastAsia" w:ascii="宋体" w:hAnsi="宋体" w:cs="宋体"/>
          <w:b w:val="0"/>
          <w:bCs w:val="0"/>
          <w:i w:val="0"/>
          <w:iCs/>
          <w:color w:val="auto"/>
          <w:kern w:val="2"/>
          <w:sz w:val="24"/>
          <w:szCs w:val="24"/>
          <w:highlight w:val="none"/>
          <w:u w:val="single"/>
          <w:lang w:val="en-US" w:eastAsia="zh-CN" w:bidi="ar-SA"/>
        </w:rPr>
        <w:t>1.1</w:t>
      </w:r>
      <w:r>
        <w:rPr>
          <w:rFonts w:hint="eastAsia" w:ascii="宋体" w:hAnsi="宋体" w:eastAsia="宋体" w:cs="宋体"/>
          <w:b w:val="0"/>
          <w:bCs w:val="0"/>
          <w:i w:val="0"/>
          <w:iCs/>
          <w:color w:val="auto"/>
          <w:kern w:val="2"/>
          <w:sz w:val="24"/>
          <w:szCs w:val="24"/>
          <w:highlight w:val="none"/>
          <w:u w:val="single"/>
          <w:lang w:val="en-US" w:eastAsia="zh-CN" w:bidi="ar-SA"/>
        </w:rPr>
        <w:t>输变电工程标识牌制作、安装。</w:t>
      </w:r>
    </w:p>
    <w:p w14:paraId="089BCF39">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color w:val="auto"/>
          <w:kern w:val="2"/>
          <w:sz w:val="24"/>
          <w:szCs w:val="24"/>
          <w:highlight w:val="none"/>
          <w:u w:val="single"/>
          <w:lang w:val="en-US" w:eastAsia="zh-CN" w:bidi="ar-SA"/>
        </w:rPr>
      </w:pPr>
      <w:r>
        <w:rPr>
          <w:rFonts w:hint="eastAsia" w:ascii="宋体" w:hAnsi="宋体" w:cs="宋体"/>
          <w:b w:val="0"/>
          <w:bCs w:val="0"/>
          <w:i w:val="0"/>
          <w:iCs/>
          <w:color w:val="auto"/>
          <w:kern w:val="2"/>
          <w:sz w:val="24"/>
          <w:szCs w:val="24"/>
          <w:highlight w:val="none"/>
          <w:u w:val="single"/>
          <w:lang w:val="en-US" w:eastAsia="zh-CN" w:bidi="ar-SA"/>
        </w:rPr>
        <w:t>1.2</w:t>
      </w:r>
      <w:r>
        <w:rPr>
          <w:rFonts w:hint="eastAsia" w:ascii="宋体" w:hAnsi="宋体" w:eastAsia="宋体" w:cs="宋体"/>
          <w:b w:val="0"/>
          <w:bCs w:val="0"/>
          <w:i w:val="0"/>
          <w:iCs/>
          <w:color w:val="auto"/>
          <w:kern w:val="2"/>
          <w:sz w:val="24"/>
          <w:szCs w:val="24"/>
          <w:highlight w:val="none"/>
          <w:u w:val="single"/>
          <w:lang w:val="en-US" w:eastAsia="zh-CN" w:bidi="ar-SA"/>
        </w:rPr>
        <w:t>变电站划线：变电站划禁止阻塞线、减速提示线、安全警戒线、防止踏空线、防止</w:t>
      </w:r>
    </w:p>
    <w:p w14:paraId="1794ACF0">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color w:val="auto"/>
          <w:kern w:val="2"/>
          <w:sz w:val="24"/>
          <w:szCs w:val="24"/>
          <w:highlight w:val="none"/>
          <w:u w:val="single"/>
          <w:lang w:val="en-US" w:eastAsia="zh-CN" w:bidi="ar-SA"/>
        </w:rPr>
      </w:pPr>
      <w:r>
        <w:rPr>
          <w:rFonts w:hint="eastAsia" w:ascii="宋体" w:hAnsi="宋体" w:eastAsia="宋体" w:cs="宋体"/>
          <w:b w:val="0"/>
          <w:bCs w:val="0"/>
          <w:i w:val="0"/>
          <w:iCs/>
          <w:color w:val="auto"/>
          <w:kern w:val="2"/>
          <w:sz w:val="24"/>
          <w:szCs w:val="24"/>
          <w:highlight w:val="none"/>
          <w:u w:val="single"/>
          <w:lang w:val="en-US" w:eastAsia="zh-CN" w:bidi="ar-SA"/>
        </w:rPr>
        <w:t>碰头线、防止绊跤线和生产通道边缘警戒线等相关划线施工。</w:t>
      </w:r>
    </w:p>
    <w:p w14:paraId="0A223FA4">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color w:val="auto"/>
          <w:kern w:val="2"/>
          <w:sz w:val="24"/>
          <w:szCs w:val="24"/>
          <w:highlight w:val="none"/>
          <w:u w:val="single"/>
          <w:lang w:val="en-US" w:eastAsia="zh-CN" w:bidi="ar-SA"/>
        </w:rPr>
      </w:pPr>
      <w:r>
        <w:rPr>
          <w:rFonts w:hint="eastAsia" w:ascii="宋体" w:hAnsi="宋体" w:cs="宋体"/>
          <w:b w:val="0"/>
          <w:bCs w:val="0"/>
          <w:i w:val="0"/>
          <w:iCs/>
          <w:color w:val="auto"/>
          <w:kern w:val="2"/>
          <w:sz w:val="24"/>
          <w:szCs w:val="24"/>
          <w:highlight w:val="none"/>
          <w:u w:val="single"/>
          <w:lang w:val="en-US" w:eastAsia="zh-CN" w:bidi="ar-SA"/>
        </w:rPr>
        <w:t>1.3</w:t>
      </w:r>
      <w:r>
        <w:rPr>
          <w:rFonts w:hint="eastAsia" w:ascii="宋体" w:hAnsi="宋体" w:eastAsia="宋体" w:cs="宋体"/>
          <w:b w:val="0"/>
          <w:bCs w:val="0"/>
          <w:i w:val="0"/>
          <w:iCs/>
          <w:color w:val="auto"/>
          <w:kern w:val="2"/>
          <w:sz w:val="24"/>
          <w:szCs w:val="24"/>
          <w:highlight w:val="none"/>
          <w:u w:val="single"/>
          <w:lang w:val="en-US" w:eastAsia="zh-CN" w:bidi="ar-SA"/>
        </w:rPr>
        <w:t>涉及电力隧道项目的</w:t>
      </w:r>
      <w:r>
        <w:rPr>
          <w:rFonts w:hint="eastAsia" w:ascii="宋体" w:hAnsi="宋体" w:cs="宋体"/>
          <w:b w:val="0"/>
          <w:bCs w:val="0"/>
          <w:i w:val="0"/>
          <w:iCs/>
          <w:color w:val="auto"/>
          <w:kern w:val="2"/>
          <w:sz w:val="24"/>
          <w:szCs w:val="24"/>
          <w:highlight w:val="none"/>
          <w:u w:val="single"/>
          <w:lang w:val="en-US" w:eastAsia="zh-CN" w:bidi="ar-SA"/>
        </w:rPr>
        <w:t>标识</w:t>
      </w:r>
      <w:r>
        <w:rPr>
          <w:rFonts w:hint="eastAsia" w:ascii="宋体" w:hAnsi="宋体" w:eastAsia="宋体" w:cs="宋体"/>
          <w:b w:val="0"/>
          <w:bCs w:val="0"/>
          <w:i w:val="0"/>
          <w:iCs/>
          <w:color w:val="auto"/>
          <w:kern w:val="2"/>
          <w:sz w:val="24"/>
          <w:szCs w:val="24"/>
          <w:highlight w:val="none"/>
          <w:u w:val="single"/>
          <w:lang w:val="en-US" w:eastAsia="zh-CN" w:bidi="ar-SA"/>
        </w:rPr>
        <w:t>牌制作与安装。</w:t>
      </w:r>
    </w:p>
    <w:p w14:paraId="56FE686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二、采购范围</w:t>
      </w:r>
    </w:p>
    <w:p w14:paraId="5FC24655">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i w:val="0"/>
          <w:iCs/>
          <w:color w:val="auto"/>
          <w:kern w:val="2"/>
          <w:sz w:val="24"/>
          <w:szCs w:val="24"/>
          <w:highlight w:val="none"/>
          <w:u w:val="single"/>
          <w:lang w:val="en-US" w:eastAsia="zh-CN" w:bidi="ar-SA"/>
        </w:rPr>
      </w:pPr>
      <w:r>
        <w:rPr>
          <w:rFonts w:hint="eastAsia" w:ascii="宋体" w:hAnsi="宋体" w:cs="宋体"/>
          <w:b w:val="0"/>
          <w:bCs w:val="0"/>
          <w:i w:val="0"/>
          <w:iCs/>
          <w:color w:val="auto"/>
          <w:kern w:val="2"/>
          <w:sz w:val="24"/>
          <w:szCs w:val="24"/>
          <w:highlight w:val="none"/>
          <w:u w:val="single"/>
          <w:lang w:val="en-US" w:eastAsia="zh-CN" w:bidi="ar-SA"/>
        </w:rPr>
        <w:t>1.广州供电局2026-2027年输变电工程生产标识服务项目（包括因2026-2027</w:t>
      </w:r>
    </w:p>
    <w:p w14:paraId="0464AA13">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i w:val="0"/>
          <w:iCs/>
          <w:color w:val="auto"/>
          <w:kern w:val="2"/>
          <w:sz w:val="24"/>
          <w:szCs w:val="24"/>
          <w:highlight w:val="none"/>
          <w:u w:val="single"/>
          <w:lang w:val="en-US" w:eastAsia="zh-CN" w:bidi="ar-SA"/>
        </w:rPr>
      </w:pPr>
      <w:r>
        <w:rPr>
          <w:rFonts w:hint="eastAsia" w:ascii="宋体" w:hAnsi="宋体" w:cs="宋体"/>
          <w:b w:val="0"/>
          <w:bCs w:val="0"/>
          <w:i w:val="0"/>
          <w:iCs/>
          <w:color w:val="auto"/>
          <w:kern w:val="2"/>
          <w:sz w:val="24"/>
          <w:szCs w:val="24"/>
          <w:highlight w:val="none"/>
          <w:u w:val="single"/>
          <w:lang w:val="en-US" w:eastAsia="zh-CN" w:bidi="ar-SA"/>
        </w:rPr>
        <w:t>年度投资计划需要增补的项目）标识服务项目的标识牌制作、安装。</w:t>
      </w:r>
    </w:p>
    <w:p w14:paraId="161D5859">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i w:val="0"/>
          <w:iCs/>
          <w:color w:val="auto"/>
          <w:kern w:val="2"/>
          <w:sz w:val="24"/>
          <w:szCs w:val="24"/>
          <w:highlight w:val="none"/>
          <w:u w:val="single"/>
          <w:lang w:val="en-US" w:eastAsia="zh-CN" w:bidi="ar-SA"/>
        </w:rPr>
      </w:pPr>
      <w:r>
        <w:rPr>
          <w:rFonts w:hint="eastAsia" w:ascii="宋体" w:hAnsi="宋体" w:cs="宋体"/>
          <w:b w:val="0"/>
          <w:bCs w:val="0"/>
          <w:i w:val="0"/>
          <w:iCs/>
          <w:color w:val="auto"/>
          <w:kern w:val="2"/>
          <w:sz w:val="24"/>
          <w:szCs w:val="24"/>
          <w:highlight w:val="none"/>
          <w:u w:val="single"/>
          <w:lang w:val="en-US" w:eastAsia="zh-CN" w:bidi="ar-SA"/>
        </w:rPr>
        <w:t>2.变电工程的标识牌限价包含现场安装费；电缆线路工程（含电力隧道）的标识牌包含现场安装费；架空线路工程标识牌限价不含现场安装费，安装由施工单位负责。</w:t>
      </w:r>
    </w:p>
    <w:p w14:paraId="373712DC">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i w:val="0"/>
          <w:iCs/>
          <w:color w:val="auto"/>
          <w:kern w:val="2"/>
          <w:sz w:val="24"/>
          <w:szCs w:val="24"/>
          <w:highlight w:val="none"/>
          <w:u w:val="single"/>
          <w:lang w:val="en-US" w:eastAsia="zh-CN" w:bidi="ar-SA"/>
        </w:rPr>
      </w:pPr>
      <w:r>
        <w:rPr>
          <w:rFonts w:hint="eastAsia" w:ascii="宋体" w:hAnsi="宋体" w:cs="宋体"/>
          <w:b w:val="0"/>
          <w:bCs w:val="0"/>
          <w:i w:val="0"/>
          <w:iCs/>
          <w:color w:val="auto"/>
          <w:kern w:val="2"/>
          <w:sz w:val="24"/>
          <w:szCs w:val="24"/>
          <w:highlight w:val="none"/>
          <w:u w:val="single"/>
          <w:lang w:val="en-US" w:eastAsia="zh-CN" w:bidi="ar-SA"/>
        </w:rPr>
        <w:t>3.项目范围包括纳入基建统一建设的主网、技改、迁改项目。</w:t>
      </w:r>
    </w:p>
    <w:p w14:paraId="71A8083D">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color w:val="auto"/>
          <w:kern w:val="2"/>
          <w:sz w:val="24"/>
          <w:szCs w:val="24"/>
          <w:highlight w:val="none"/>
          <w:u w:val="single"/>
          <w:lang w:val="en-US" w:eastAsia="zh-CN" w:bidi="ar-SA"/>
        </w:rPr>
      </w:pPr>
      <w:r>
        <w:rPr>
          <w:rFonts w:hint="eastAsia" w:ascii="宋体" w:hAnsi="宋体" w:cs="宋体"/>
          <w:b w:val="0"/>
          <w:bCs w:val="0"/>
          <w:i w:val="0"/>
          <w:iCs/>
          <w:color w:val="auto"/>
          <w:kern w:val="2"/>
          <w:sz w:val="24"/>
          <w:szCs w:val="24"/>
          <w:highlight w:val="none"/>
          <w:u w:val="single"/>
          <w:lang w:val="en-US" w:eastAsia="zh-CN" w:bidi="ar-SA"/>
        </w:rPr>
        <w:t>4.发包价为预计金额，不承诺实际的项目数量和金额。</w:t>
      </w:r>
    </w:p>
    <w:p w14:paraId="42857505">
      <w:pPr>
        <w:pStyle w:val="2"/>
        <w:rPr>
          <w:rFonts w:hint="eastAsia"/>
          <w:lang w:val="en-US" w:eastAsia="zh-CN"/>
        </w:rPr>
      </w:pPr>
    </w:p>
    <w:p w14:paraId="18830028">
      <w:pPr>
        <w:pStyle w:val="4"/>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三、报价表及报价要求</w:t>
      </w:r>
    </w:p>
    <w:tbl>
      <w:tblPr>
        <w:tblStyle w:val="11"/>
        <w:tblpPr w:leftFromText="180" w:rightFromText="180" w:vertAnchor="text" w:horzAnchor="page" w:tblpX="1352" w:tblpY="66"/>
        <w:tblOverlap w:val="never"/>
        <w:tblW w:w="505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5"/>
        <w:gridCol w:w="3428"/>
        <w:gridCol w:w="1575"/>
        <w:gridCol w:w="1335"/>
        <w:gridCol w:w="1485"/>
        <w:gridCol w:w="1635"/>
      </w:tblGrid>
      <w:tr w14:paraId="52B07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trPr>
        <w:tc>
          <w:tcPr>
            <w:tcW w:w="305"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4220A9E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序号</w:t>
            </w:r>
          </w:p>
        </w:tc>
        <w:tc>
          <w:tcPr>
            <w:tcW w:w="1701"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53707197">
            <w:pPr>
              <w:keepNext w:val="0"/>
              <w:keepLines w:val="0"/>
              <w:widowControl/>
              <w:suppressLineNumbers w:val="0"/>
              <w:shd w:val="clear" w:color="auto" w:fill="auto"/>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工程或费用名称</w:t>
            </w:r>
          </w:p>
        </w:tc>
        <w:tc>
          <w:tcPr>
            <w:tcW w:w="781" w:type="pct"/>
            <w:tcBorders>
              <w:top w:val="single" w:color="000000" w:sz="4" w:space="0"/>
              <w:left w:val="single" w:color="000000" w:sz="4" w:space="0"/>
              <w:bottom w:val="single" w:color="auto" w:sz="4" w:space="0"/>
              <w:right w:val="single" w:color="000000" w:sz="4" w:space="0"/>
            </w:tcBorders>
            <w:shd w:val="clear" w:color="auto" w:fill="auto"/>
            <w:vAlign w:val="center"/>
          </w:tcPr>
          <w:p w14:paraId="77F6CBB7">
            <w:pPr>
              <w:keepNext w:val="0"/>
              <w:keepLines w:val="0"/>
              <w:widowControl/>
              <w:suppressLineNumbers w:val="0"/>
              <w:shd w:val="clear" w:color="auto" w:fill="auto"/>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预计发包金额</w:t>
            </w:r>
          </w:p>
          <w:p w14:paraId="07FB9EBF">
            <w:pPr>
              <w:keepNext w:val="0"/>
              <w:keepLines w:val="0"/>
              <w:widowControl/>
              <w:suppressLineNumbers w:val="0"/>
              <w:shd w:val="clear" w:color="auto" w:fill="auto"/>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（万元）</w:t>
            </w:r>
          </w:p>
        </w:tc>
        <w:tc>
          <w:tcPr>
            <w:tcW w:w="662" w:type="pct"/>
            <w:tcBorders>
              <w:top w:val="single" w:color="000000" w:sz="4" w:space="0"/>
              <w:left w:val="single" w:color="000000" w:sz="4" w:space="0"/>
              <w:bottom w:val="single" w:color="auto" w:sz="4" w:space="0"/>
              <w:right w:val="single" w:color="000000" w:sz="4" w:space="0"/>
            </w:tcBorders>
            <w:shd w:val="clear" w:color="auto" w:fill="auto"/>
            <w:vAlign w:val="center"/>
          </w:tcPr>
          <w:p w14:paraId="3A915A7F">
            <w:pPr>
              <w:keepNext w:val="0"/>
              <w:keepLines w:val="0"/>
              <w:widowControl/>
              <w:suppressLineNumbers w:val="0"/>
              <w:shd w:val="clear" w:color="auto" w:fill="auto"/>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投标下浮率</w:t>
            </w:r>
          </w:p>
        </w:tc>
        <w:tc>
          <w:tcPr>
            <w:tcW w:w="737" w:type="pct"/>
            <w:tcBorders>
              <w:top w:val="single" w:color="auto" w:sz="4" w:space="0"/>
              <w:left w:val="single" w:color="auto" w:sz="4" w:space="0"/>
              <w:bottom w:val="single" w:color="auto" w:sz="4" w:space="0"/>
              <w:right w:val="single" w:color="auto" w:sz="4" w:space="0"/>
            </w:tcBorders>
            <w:shd w:val="clear" w:color="auto" w:fill="auto"/>
            <w:vAlign w:val="center"/>
          </w:tcPr>
          <w:p w14:paraId="0B267332">
            <w:pPr>
              <w:keepNext w:val="0"/>
              <w:keepLines w:val="0"/>
              <w:widowControl/>
              <w:suppressLineNumbers w:val="0"/>
              <w:shd w:val="clear" w:color="auto" w:fill="auto"/>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投标报价合计（元）</w:t>
            </w:r>
          </w:p>
        </w:tc>
        <w:tc>
          <w:tcPr>
            <w:tcW w:w="811" w:type="pct"/>
            <w:tcBorders>
              <w:top w:val="single" w:color="000000" w:sz="4" w:space="0"/>
              <w:left w:val="single" w:color="auto" w:sz="4" w:space="0"/>
              <w:right w:val="single" w:color="000000" w:sz="4" w:space="0"/>
            </w:tcBorders>
            <w:shd w:val="clear" w:color="auto" w:fill="auto"/>
            <w:noWrap/>
            <w:vAlign w:val="center"/>
          </w:tcPr>
          <w:p w14:paraId="044AC0FF">
            <w:pPr>
              <w:keepNext w:val="0"/>
              <w:keepLines w:val="0"/>
              <w:widowControl/>
              <w:suppressLineNumbers w:val="0"/>
              <w:shd w:val="clear" w:color="auto" w:fill="auto"/>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备  注</w:t>
            </w:r>
          </w:p>
        </w:tc>
      </w:tr>
      <w:tr w14:paraId="0774F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5" w:type="pct"/>
            <w:tcBorders>
              <w:top w:val="single" w:color="auto" w:sz="4" w:space="0"/>
              <w:left w:val="single" w:color="auto" w:sz="4" w:space="0"/>
              <w:bottom w:val="single" w:color="000000" w:sz="4" w:space="0"/>
              <w:right w:val="single" w:color="000000" w:sz="4" w:space="0"/>
            </w:tcBorders>
            <w:shd w:val="clear" w:color="auto" w:fill="auto"/>
            <w:noWrap/>
            <w:vAlign w:val="center"/>
          </w:tcPr>
          <w:p w14:paraId="46284471">
            <w:pPr>
              <w:jc w:val="center"/>
              <w:rPr>
                <w:rFonts w:hint="default" w:ascii="宋体" w:hAnsi="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1</w:t>
            </w:r>
          </w:p>
        </w:tc>
        <w:tc>
          <w:tcPr>
            <w:tcW w:w="1701" w:type="pct"/>
            <w:tcBorders>
              <w:top w:val="single" w:color="auto" w:sz="4" w:space="0"/>
              <w:left w:val="single" w:color="000000" w:sz="4" w:space="0"/>
              <w:bottom w:val="single" w:color="000000" w:sz="4" w:space="0"/>
              <w:right w:val="single" w:color="000000" w:sz="4" w:space="0"/>
            </w:tcBorders>
            <w:shd w:val="clear" w:color="auto" w:fill="auto"/>
            <w:vAlign w:val="center"/>
          </w:tcPr>
          <w:p w14:paraId="6296F323">
            <w:pPr>
              <w:keepNext w:val="0"/>
              <w:keepLines w:val="0"/>
              <w:widowControl/>
              <w:suppressLineNumbers w:val="0"/>
              <w:shd w:val="clear" w:color="auto" w:fill="auto"/>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标包1.广州供电局2026-2027年输变电工程生产标识服务项目</w:t>
            </w:r>
          </w:p>
        </w:tc>
        <w:tc>
          <w:tcPr>
            <w:tcW w:w="781" w:type="pct"/>
            <w:tcBorders>
              <w:top w:val="single" w:color="auto" w:sz="4" w:space="0"/>
              <w:left w:val="single" w:color="000000" w:sz="4" w:space="0"/>
              <w:bottom w:val="single" w:color="000000" w:sz="4" w:space="0"/>
              <w:right w:val="single" w:color="auto" w:sz="4" w:space="0"/>
            </w:tcBorders>
            <w:shd w:val="clear" w:color="auto" w:fill="auto"/>
            <w:vAlign w:val="center"/>
          </w:tcPr>
          <w:p w14:paraId="7C6EFEEC">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1000</w:t>
            </w:r>
          </w:p>
        </w:tc>
        <w:tc>
          <w:tcPr>
            <w:tcW w:w="662" w:type="pct"/>
            <w:vMerge w:val="restart"/>
            <w:tcBorders>
              <w:top w:val="single" w:color="auto" w:sz="4" w:space="0"/>
              <w:left w:val="single" w:color="auto" w:sz="4" w:space="0"/>
              <w:right w:val="single" w:color="auto" w:sz="4" w:space="0"/>
            </w:tcBorders>
            <w:shd w:val="clear" w:color="auto" w:fill="auto"/>
            <w:vAlign w:val="center"/>
          </w:tcPr>
          <w:p w14:paraId="2F5CB644">
            <w:pPr>
              <w:jc w:val="center"/>
              <w:rPr>
                <w:rFonts w:hint="eastAsia" w:ascii="宋体" w:hAnsi="宋体" w:eastAsia="宋体" w:cs="宋体"/>
                <w:i w:val="0"/>
                <w:iCs w:val="0"/>
                <w:color w:val="000000"/>
                <w:sz w:val="21"/>
                <w:szCs w:val="21"/>
                <w:highlight w:val="none"/>
                <w:u w:val="none"/>
              </w:rPr>
            </w:pPr>
            <w:r>
              <w:rPr>
                <w:rFonts w:hint="eastAsia" w:ascii="宋体" w:hAnsi="宋体" w:cs="宋体"/>
                <w:i w:val="0"/>
                <w:iCs w:val="0"/>
                <w:color w:val="000000"/>
                <w:kern w:val="0"/>
                <w:sz w:val="21"/>
                <w:szCs w:val="21"/>
                <w:highlight w:val="none"/>
                <w:u w:val="single"/>
                <w:lang w:val="en-US" w:eastAsia="zh-CN" w:bidi="ar"/>
              </w:rPr>
              <w:t xml:space="preserve">   </w:t>
            </w:r>
            <w:r>
              <w:rPr>
                <w:rFonts w:hint="eastAsia" w:ascii="宋体" w:hAnsi="宋体" w:eastAsia="宋体" w:cs="宋体"/>
                <w:i w:val="0"/>
                <w:iCs w:val="0"/>
                <w:color w:val="000000"/>
                <w:kern w:val="0"/>
                <w:sz w:val="21"/>
                <w:szCs w:val="21"/>
                <w:highlight w:val="none"/>
                <w:u w:val="none"/>
                <w:lang w:val="en-US" w:eastAsia="zh-CN" w:bidi="ar"/>
              </w:rPr>
              <w:t>%</w:t>
            </w:r>
          </w:p>
        </w:tc>
        <w:tc>
          <w:tcPr>
            <w:tcW w:w="737" w:type="pct"/>
            <w:tcBorders>
              <w:top w:val="single" w:color="auto" w:sz="4" w:space="0"/>
              <w:left w:val="single" w:color="auto" w:sz="4" w:space="0"/>
              <w:bottom w:val="single" w:color="000000" w:sz="4" w:space="0"/>
              <w:right w:val="single" w:color="auto" w:sz="4" w:space="0"/>
            </w:tcBorders>
            <w:shd w:val="clear" w:color="auto" w:fill="auto"/>
            <w:vAlign w:val="center"/>
          </w:tcPr>
          <w:p w14:paraId="1CFF49BD">
            <w:pPr>
              <w:jc w:val="center"/>
              <w:rPr>
                <w:rFonts w:hint="eastAsia" w:ascii="宋体" w:hAnsi="宋体" w:eastAsia="宋体" w:cs="宋体"/>
                <w:i w:val="0"/>
                <w:iCs w:val="0"/>
                <w:color w:val="000000"/>
                <w:sz w:val="21"/>
                <w:szCs w:val="21"/>
                <w:highlight w:val="none"/>
                <w:u w:val="none"/>
              </w:rPr>
            </w:pPr>
          </w:p>
        </w:tc>
        <w:tc>
          <w:tcPr>
            <w:tcW w:w="811" w:type="pct"/>
            <w:vMerge w:val="restart"/>
            <w:tcBorders>
              <w:top w:val="single" w:color="000000" w:sz="4" w:space="0"/>
              <w:left w:val="single" w:color="auto" w:sz="4" w:space="0"/>
              <w:right w:val="single" w:color="000000" w:sz="4" w:space="0"/>
            </w:tcBorders>
            <w:shd w:val="clear" w:color="auto" w:fill="auto"/>
            <w:noWrap/>
            <w:vAlign w:val="center"/>
          </w:tcPr>
          <w:p w14:paraId="5B0A7727">
            <w:pPr>
              <w:shd w:val="clear" w:color="auto" w:fill="auto"/>
              <w:jc w:val="center"/>
              <w:rPr>
                <w:rFonts w:hint="eastAsia" w:ascii="宋体" w:hAnsi="宋体" w:eastAsia="宋体" w:cs="宋体"/>
                <w:i w:val="0"/>
                <w:iCs w:val="0"/>
                <w:color w:val="0000FF"/>
                <w:sz w:val="21"/>
                <w:szCs w:val="21"/>
                <w:highlight w:val="none"/>
                <w:u w:val="none"/>
                <w:lang w:eastAsia="zh-CN"/>
              </w:rPr>
            </w:pPr>
            <w:r>
              <w:rPr>
                <w:rFonts w:hint="eastAsia"/>
                <w:color w:val="auto"/>
              </w:rPr>
              <w:t>有单价限价，详见</w:t>
            </w:r>
            <w:r>
              <w:rPr>
                <w:rFonts w:hint="eastAsia"/>
                <w:color w:val="auto"/>
                <w:lang w:eastAsia="zh-CN"/>
              </w:rPr>
              <w:t>《广州供电局2026-2027年输变电工程生产标识服务项目-单价</w:t>
            </w:r>
            <w:r>
              <w:rPr>
                <w:rFonts w:hint="eastAsia"/>
                <w:color w:val="auto"/>
                <w:lang w:val="en-US" w:eastAsia="zh-CN"/>
              </w:rPr>
              <w:t>限价</w:t>
            </w:r>
            <w:r>
              <w:rPr>
                <w:rFonts w:hint="eastAsia"/>
                <w:color w:val="auto"/>
                <w:lang w:eastAsia="zh-CN"/>
              </w:rPr>
              <w:t>表》</w:t>
            </w:r>
          </w:p>
        </w:tc>
      </w:tr>
      <w:tr w14:paraId="23CBC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5"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3941C972">
            <w:pPr>
              <w:jc w:val="center"/>
              <w:rPr>
                <w:rFonts w:hint="default" w:ascii="宋体" w:hAnsi="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2</w:t>
            </w:r>
          </w:p>
        </w:tc>
        <w:tc>
          <w:tcPr>
            <w:tcW w:w="1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DF8FA">
            <w:pPr>
              <w:keepNext w:val="0"/>
              <w:keepLines w:val="0"/>
              <w:widowControl/>
              <w:suppressLineNumbers w:val="0"/>
              <w:shd w:val="clear" w:color="auto" w:fill="auto"/>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标包</w:t>
            </w:r>
            <w:r>
              <w:rPr>
                <w:rFonts w:hint="eastAsia" w:ascii="宋体" w:hAnsi="宋体" w:cs="宋体"/>
                <w:i w:val="0"/>
                <w:iCs w:val="0"/>
                <w:color w:val="000000"/>
                <w:kern w:val="0"/>
                <w:sz w:val="21"/>
                <w:szCs w:val="21"/>
                <w:highlight w:val="none"/>
                <w:u w:val="none"/>
                <w:lang w:val="en-US" w:eastAsia="zh-CN" w:bidi="ar"/>
              </w:rPr>
              <w:t>2</w:t>
            </w:r>
            <w:r>
              <w:rPr>
                <w:rFonts w:hint="eastAsia" w:ascii="宋体" w:hAnsi="宋体" w:eastAsia="宋体" w:cs="宋体"/>
                <w:i w:val="0"/>
                <w:iCs w:val="0"/>
                <w:color w:val="000000"/>
                <w:kern w:val="0"/>
                <w:sz w:val="21"/>
                <w:szCs w:val="21"/>
                <w:highlight w:val="none"/>
                <w:u w:val="none"/>
                <w:lang w:val="en-US" w:eastAsia="zh-CN" w:bidi="ar"/>
              </w:rPr>
              <w:t>.广州供电局2026-2027年输变电工程生产标识服务项目</w:t>
            </w:r>
          </w:p>
        </w:tc>
        <w:tc>
          <w:tcPr>
            <w:tcW w:w="781" w:type="pct"/>
            <w:tcBorders>
              <w:top w:val="single" w:color="000000" w:sz="4" w:space="0"/>
              <w:left w:val="single" w:color="000000" w:sz="4" w:space="0"/>
              <w:bottom w:val="single" w:color="000000" w:sz="4" w:space="0"/>
              <w:right w:val="single" w:color="auto" w:sz="4" w:space="0"/>
            </w:tcBorders>
            <w:shd w:val="clear" w:color="auto" w:fill="auto"/>
            <w:vAlign w:val="center"/>
          </w:tcPr>
          <w:p w14:paraId="6AACC20A">
            <w:pPr>
              <w:jc w:val="center"/>
              <w:rPr>
                <w:rFonts w:hint="default" w:ascii="宋体" w:hAnsi="宋体" w:eastAsia="宋体" w:cs="宋体"/>
                <w:i w:val="0"/>
                <w:iCs w:val="0"/>
                <w:color w:val="000000"/>
                <w:sz w:val="21"/>
                <w:szCs w:val="21"/>
                <w:highlight w:val="none"/>
                <w:u w:val="none"/>
                <w:lang w:val="en-US"/>
              </w:rPr>
            </w:pPr>
            <w:r>
              <w:rPr>
                <w:rFonts w:hint="eastAsia" w:ascii="宋体" w:hAnsi="宋体" w:cs="宋体"/>
                <w:i w:val="0"/>
                <w:iCs w:val="0"/>
                <w:color w:val="000000"/>
                <w:sz w:val="21"/>
                <w:szCs w:val="21"/>
                <w:highlight w:val="none"/>
                <w:u w:val="none"/>
                <w:lang w:val="en-US" w:eastAsia="zh-CN"/>
              </w:rPr>
              <w:t>600</w:t>
            </w:r>
          </w:p>
        </w:tc>
        <w:tc>
          <w:tcPr>
            <w:tcW w:w="662" w:type="pct"/>
            <w:vMerge w:val="continue"/>
            <w:tcBorders>
              <w:left w:val="single" w:color="auto" w:sz="4" w:space="0"/>
              <w:right w:val="single" w:color="auto" w:sz="4" w:space="0"/>
            </w:tcBorders>
            <w:shd w:val="clear" w:color="auto" w:fill="auto"/>
            <w:vAlign w:val="center"/>
          </w:tcPr>
          <w:p w14:paraId="56F71100">
            <w:pPr>
              <w:jc w:val="center"/>
              <w:rPr>
                <w:rFonts w:hint="eastAsia" w:ascii="宋体" w:hAnsi="宋体" w:eastAsia="宋体" w:cs="宋体"/>
                <w:i w:val="0"/>
                <w:iCs w:val="0"/>
                <w:color w:val="000000"/>
                <w:sz w:val="21"/>
                <w:szCs w:val="21"/>
                <w:highlight w:val="none"/>
                <w:u w:val="none"/>
              </w:rPr>
            </w:pPr>
          </w:p>
        </w:tc>
        <w:tc>
          <w:tcPr>
            <w:tcW w:w="737" w:type="pct"/>
            <w:tcBorders>
              <w:top w:val="single" w:color="000000" w:sz="4" w:space="0"/>
              <w:left w:val="single" w:color="auto" w:sz="4" w:space="0"/>
              <w:bottom w:val="single" w:color="000000" w:sz="4" w:space="0"/>
              <w:right w:val="single" w:color="auto" w:sz="4" w:space="0"/>
            </w:tcBorders>
            <w:shd w:val="clear" w:color="auto" w:fill="auto"/>
            <w:vAlign w:val="center"/>
          </w:tcPr>
          <w:p w14:paraId="1DAE97B9">
            <w:pPr>
              <w:jc w:val="center"/>
              <w:rPr>
                <w:rFonts w:hint="eastAsia" w:ascii="宋体" w:hAnsi="宋体" w:eastAsia="宋体" w:cs="宋体"/>
                <w:i w:val="0"/>
                <w:iCs w:val="0"/>
                <w:color w:val="000000"/>
                <w:sz w:val="21"/>
                <w:szCs w:val="21"/>
                <w:highlight w:val="none"/>
                <w:u w:val="none"/>
              </w:rPr>
            </w:pPr>
          </w:p>
        </w:tc>
        <w:tc>
          <w:tcPr>
            <w:tcW w:w="811" w:type="pct"/>
            <w:vMerge w:val="continue"/>
            <w:tcBorders>
              <w:left w:val="single" w:color="auto" w:sz="4" w:space="0"/>
              <w:right w:val="single" w:color="000000" w:sz="4" w:space="0"/>
            </w:tcBorders>
            <w:shd w:val="clear" w:color="auto" w:fill="auto"/>
            <w:noWrap/>
            <w:vAlign w:val="center"/>
          </w:tcPr>
          <w:p w14:paraId="02E97D0C">
            <w:pPr>
              <w:shd w:val="clear" w:color="auto" w:fill="auto"/>
              <w:jc w:val="center"/>
              <w:rPr>
                <w:rFonts w:hint="eastAsia" w:ascii="宋体" w:hAnsi="宋体" w:eastAsia="宋体" w:cs="宋体"/>
                <w:i w:val="0"/>
                <w:iCs w:val="0"/>
                <w:color w:val="000000"/>
                <w:sz w:val="21"/>
                <w:szCs w:val="21"/>
                <w:highlight w:val="none"/>
                <w:u w:val="none"/>
              </w:rPr>
            </w:pPr>
          </w:p>
        </w:tc>
      </w:tr>
      <w:tr w14:paraId="56E8F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5" w:type="pct"/>
            <w:tcBorders>
              <w:top w:val="single" w:color="000000" w:sz="4" w:space="0"/>
              <w:left w:val="single" w:color="auto" w:sz="4" w:space="0"/>
              <w:bottom w:val="single" w:color="auto" w:sz="4" w:space="0"/>
              <w:right w:val="single" w:color="000000" w:sz="4" w:space="0"/>
            </w:tcBorders>
            <w:shd w:val="clear" w:color="auto" w:fill="auto"/>
            <w:noWrap/>
            <w:vAlign w:val="center"/>
          </w:tcPr>
          <w:p w14:paraId="7051CD18">
            <w:pPr>
              <w:jc w:val="center"/>
              <w:rPr>
                <w:rFonts w:hint="default" w:ascii="宋体" w:hAnsi="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3</w:t>
            </w:r>
          </w:p>
        </w:tc>
        <w:tc>
          <w:tcPr>
            <w:tcW w:w="1701" w:type="pct"/>
            <w:tcBorders>
              <w:top w:val="single" w:color="000000" w:sz="4" w:space="0"/>
              <w:left w:val="single" w:color="000000" w:sz="4" w:space="0"/>
              <w:bottom w:val="single" w:color="auto" w:sz="4" w:space="0"/>
              <w:right w:val="single" w:color="000000" w:sz="4" w:space="0"/>
            </w:tcBorders>
            <w:shd w:val="clear" w:color="auto" w:fill="auto"/>
            <w:vAlign w:val="center"/>
          </w:tcPr>
          <w:p w14:paraId="5FCCC04D">
            <w:pPr>
              <w:keepNext w:val="0"/>
              <w:keepLines w:val="0"/>
              <w:widowControl/>
              <w:suppressLineNumbers w:val="0"/>
              <w:shd w:val="clear" w:color="auto" w:fill="auto"/>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标包</w:t>
            </w:r>
            <w:r>
              <w:rPr>
                <w:rFonts w:hint="eastAsia" w:ascii="宋体" w:hAnsi="宋体" w:cs="宋体"/>
                <w:i w:val="0"/>
                <w:iCs w:val="0"/>
                <w:color w:val="000000"/>
                <w:kern w:val="0"/>
                <w:sz w:val="21"/>
                <w:szCs w:val="21"/>
                <w:highlight w:val="none"/>
                <w:u w:val="none"/>
                <w:lang w:val="en-US" w:eastAsia="zh-CN" w:bidi="ar"/>
              </w:rPr>
              <w:t>3</w:t>
            </w:r>
            <w:r>
              <w:rPr>
                <w:rFonts w:hint="eastAsia" w:ascii="宋体" w:hAnsi="宋体" w:eastAsia="宋体" w:cs="宋体"/>
                <w:i w:val="0"/>
                <w:iCs w:val="0"/>
                <w:color w:val="000000"/>
                <w:kern w:val="0"/>
                <w:sz w:val="21"/>
                <w:szCs w:val="21"/>
                <w:highlight w:val="none"/>
                <w:u w:val="none"/>
                <w:lang w:val="en-US" w:eastAsia="zh-CN" w:bidi="ar"/>
              </w:rPr>
              <w:t>.广州供电局2026-2027年输变电工程生产标识服务项目</w:t>
            </w:r>
          </w:p>
        </w:tc>
        <w:tc>
          <w:tcPr>
            <w:tcW w:w="781" w:type="pct"/>
            <w:tcBorders>
              <w:top w:val="single" w:color="000000" w:sz="4" w:space="0"/>
              <w:left w:val="single" w:color="000000" w:sz="4" w:space="0"/>
              <w:bottom w:val="single" w:color="auto" w:sz="4" w:space="0"/>
              <w:right w:val="single" w:color="auto" w:sz="4" w:space="0"/>
            </w:tcBorders>
            <w:shd w:val="clear" w:color="auto" w:fill="auto"/>
            <w:vAlign w:val="center"/>
          </w:tcPr>
          <w:p w14:paraId="219C211B">
            <w:pPr>
              <w:jc w:val="center"/>
              <w:rPr>
                <w:rFonts w:hint="default" w:ascii="宋体" w:hAnsi="宋体" w:eastAsia="宋体" w:cs="宋体"/>
                <w:i w:val="0"/>
                <w:iCs w:val="0"/>
                <w:color w:val="000000"/>
                <w:sz w:val="21"/>
                <w:szCs w:val="21"/>
                <w:highlight w:val="none"/>
                <w:u w:val="none"/>
                <w:lang w:val="en-US"/>
              </w:rPr>
            </w:pPr>
            <w:r>
              <w:rPr>
                <w:rFonts w:hint="eastAsia" w:ascii="宋体" w:hAnsi="宋体" w:cs="宋体"/>
                <w:i w:val="0"/>
                <w:iCs w:val="0"/>
                <w:color w:val="000000"/>
                <w:sz w:val="21"/>
                <w:szCs w:val="21"/>
                <w:highlight w:val="none"/>
                <w:u w:val="none"/>
                <w:lang w:val="en-US" w:eastAsia="zh-CN"/>
              </w:rPr>
              <w:t>400</w:t>
            </w:r>
          </w:p>
        </w:tc>
        <w:tc>
          <w:tcPr>
            <w:tcW w:w="662" w:type="pct"/>
            <w:vMerge w:val="continue"/>
            <w:tcBorders>
              <w:left w:val="single" w:color="auto" w:sz="4" w:space="0"/>
              <w:bottom w:val="single" w:color="auto" w:sz="4" w:space="0"/>
              <w:right w:val="single" w:color="auto" w:sz="4" w:space="0"/>
            </w:tcBorders>
            <w:shd w:val="clear" w:color="auto" w:fill="auto"/>
            <w:vAlign w:val="center"/>
          </w:tcPr>
          <w:p w14:paraId="4A2AFF38">
            <w:pPr>
              <w:jc w:val="center"/>
              <w:rPr>
                <w:rFonts w:hint="eastAsia" w:ascii="宋体" w:hAnsi="宋体" w:eastAsia="宋体" w:cs="宋体"/>
                <w:i w:val="0"/>
                <w:iCs w:val="0"/>
                <w:color w:val="000000"/>
                <w:sz w:val="21"/>
                <w:szCs w:val="21"/>
                <w:highlight w:val="none"/>
                <w:u w:val="none"/>
              </w:rPr>
            </w:pPr>
          </w:p>
        </w:tc>
        <w:tc>
          <w:tcPr>
            <w:tcW w:w="737" w:type="pct"/>
            <w:tcBorders>
              <w:top w:val="single" w:color="000000" w:sz="4" w:space="0"/>
              <w:left w:val="single" w:color="auto" w:sz="4" w:space="0"/>
              <w:bottom w:val="single" w:color="auto" w:sz="4" w:space="0"/>
              <w:right w:val="single" w:color="auto" w:sz="4" w:space="0"/>
            </w:tcBorders>
            <w:shd w:val="clear" w:color="auto" w:fill="auto"/>
            <w:vAlign w:val="center"/>
          </w:tcPr>
          <w:p w14:paraId="67CDBE9C">
            <w:pPr>
              <w:jc w:val="center"/>
              <w:rPr>
                <w:rFonts w:hint="eastAsia" w:ascii="宋体" w:hAnsi="宋体" w:eastAsia="宋体" w:cs="宋体"/>
                <w:i w:val="0"/>
                <w:iCs w:val="0"/>
                <w:color w:val="000000"/>
                <w:sz w:val="21"/>
                <w:szCs w:val="21"/>
                <w:highlight w:val="none"/>
                <w:u w:val="none"/>
              </w:rPr>
            </w:pPr>
          </w:p>
        </w:tc>
        <w:tc>
          <w:tcPr>
            <w:tcW w:w="811" w:type="pct"/>
            <w:vMerge w:val="continue"/>
            <w:tcBorders>
              <w:left w:val="single" w:color="auto" w:sz="4" w:space="0"/>
              <w:bottom w:val="single" w:color="000000" w:sz="4" w:space="0"/>
              <w:right w:val="single" w:color="000000" w:sz="4" w:space="0"/>
            </w:tcBorders>
            <w:shd w:val="clear" w:color="auto" w:fill="auto"/>
            <w:noWrap/>
            <w:vAlign w:val="center"/>
          </w:tcPr>
          <w:p w14:paraId="600A9722">
            <w:pPr>
              <w:shd w:val="clear" w:color="auto" w:fill="auto"/>
              <w:jc w:val="center"/>
              <w:rPr>
                <w:rFonts w:hint="eastAsia" w:ascii="宋体" w:hAnsi="宋体" w:eastAsia="宋体" w:cs="宋体"/>
                <w:i w:val="0"/>
                <w:iCs w:val="0"/>
                <w:color w:val="000000"/>
                <w:sz w:val="21"/>
                <w:szCs w:val="21"/>
                <w:highlight w:val="none"/>
                <w:u w:val="none"/>
              </w:rPr>
            </w:pPr>
          </w:p>
        </w:tc>
      </w:tr>
    </w:tbl>
    <w:p w14:paraId="46F1B34F">
      <w:pPr>
        <w:rPr>
          <w:rFonts w:hint="eastAsia" w:ascii="宋体" w:hAnsi="宋体" w:eastAsia="宋体" w:cs="宋体"/>
          <w:strike w:val="0"/>
          <w:dstrike w:val="0"/>
          <w:color w:val="FF0000"/>
          <w:kern w:val="2"/>
          <w:sz w:val="24"/>
          <w:szCs w:val="24"/>
          <w:highlight w:val="none"/>
          <w:u w:val="none"/>
          <w:lang w:val="en-US" w:eastAsia="zh-CN" w:bidi="ar-SA"/>
        </w:rPr>
      </w:pPr>
    </w:p>
    <w:p w14:paraId="3376FB1D">
      <w:pPr>
        <w:pStyle w:val="7"/>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bookmarkStart w:id="1" w:name="_GoBack"/>
      <w:bookmarkEnd w:id="1"/>
    </w:p>
    <w:p w14:paraId="4B1B9991">
      <w:pPr>
        <w:pStyle w:val="8"/>
        <w:numPr>
          <w:ilvl w:val="0"/>
          <w:numId w:val="2"/>
        </w:numPr>
        <w:jc w:val="left"/>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u w:val="single"/>
        </w:rPr>
        <w:t>按下浮率报价（保留两位小数，如 8.88%），同时填报投标总报价及投标单价（投标总报价=预计发包价×（1-投标下浮率），四舍五入保留两位小数）。当投标总报价与投标下浮率计算结果不一致时，以投标下浮率为准，按上述公式修订投标总报价</w:t>
      </w:r>
      <w:r>
        <w:rPr>
          <w:rFonts w:ascii="宋体" w:hAnsi="宋体" w:eastAsia="宋体" w:cs="宋体"/>
          <w:b w:val="0"/>
          <w:bCs w:val="0"/>
          <w:color w:val="auto"/>
          <w:sz w:val="24"/>
          <w:szCs w:val="24"/>
          <w:highlight w:val="none"/>
          <w:u w:val="single"/>
        </w:rPr>
        <w:t>。</w:t>
      </w:r>
    </w:p>
    <w:p w14:paraId="1F7C1246">
      <w:pPr>
        <w:pStyle w:val="8"/>
        <w:numPr>
          <w:ilvl w:val="0"/>
          <w:numId w:val="2"/>
        </w:numPr>
        <w:shd w:val="clear" w:color="auto" w:fill="auto"/>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u w:val="single"/>
          <w:lang w:val="en-US" w:eastAsia="zh-CN"/>
        </w:rPr>
        <w:t>投标下浮率＞15%的，应在投标文件中附成本分析报告，充分说明单价和费用的组成、降低成本的合理措施及在其他工程中应用过的经验等，否则视为原则性不响应招标文件要求，作否决投标处理。</w:t>
      </w:r>
      <w:r>
        <w:rPr>
          <w:rFonts w:hint="eastAsia" w:ascii="宋体" w:hAnsi="宋体" w:eastAsia="宋体" w:cs="宋体"/>
          <w:b w:val="0"/>
          <w:bCs w:val="0"/>
          <w:color w:val="auto"/>
          <w:sz w:val="24"/>
          <w:szCs w:val="24"/>
          <w:highlight w:val="none"/>
          <w:lang w:val="en-US" w:eastAsia="zh-CN"/>
        </w:rPr>
        <w:t xml:space="preserve">                                                                           </w:t>
      </w:r>
    </w:p>
    <w:p w14:paraId="25758431">
      <w:pPr>
        <w:numPr>
          <w:ilvl w:val="0"/>
          <w:numId w:val="0"/>
        </w:numPr>
        <w:ind w:left="240" w:leftChars="0"/>
        <w:rPr>
          <w:rFonts w:hint="default"/>
          <w:highlight w:val="none"/>
          <w:lang w:val="en-US" w:eastAsia="zh-CN"/>
        </w:rPr>
      </w:pPr>
    </w:p>
    <w:p w14:paraId="0EE22B4F">
      <w:pPr>
        <w:rPr>
          <w:rFonts w:hint="eastAsia"/>
          <w:highlight w:val="none"/>
          <w:lang w:val="en-US" w:eastAsia="zh-CN"/>
        </w:rPr>
      </w:pPr>
    </w:p>
    <w:p w14:paraId="0BFFF940">
      <w:pPr>
        <w:pStyle w:val="2"/>
        <w:rPr>
          <w:rFonts w:hint="eastAsia"/>
          <w:lang w:val="en-US" w:eastAsia="zh-CN"/>
        </w:rPr>
      </w:pPr>
    </w:p>
    <w:p w14:paraId="6A781AB3">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3AB78C80">
      <w:pPr>
        <w:pStyle w:val="8"/>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本合同为暂定总价，结算时按单价限价×（1-中标下浮率）×实际工作数量进行结算 。                                                                         </w:t>
      </w:r>
    </w:p>
    <w:p w14:paraId="2134022A">
      <w:pPr>
        <w:pStyle w:val="8"/>
        <w:shd w:val="clear" w:color="auto" w:fill="auto"/>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单价限价，详见《广州供电局2026-2027年输变电工程生产标识服务项目-单价限价表》。</w:t>
      </w:r>
    </w:p>
    <w:p w14:paraId="02572B25">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47386DCB">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14:paraId="32E620A7">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14:paraId="2865DE37">
      <w:pPr>
        <w:keepNext w:val="0"/>
        <w:keepLines w:val="0"/>
        <w:pageBreakBefore w:val="0"/>
        <w:widowControl w:val="0"/>
        <w:kinsoku/>
        <w:wordWrap/>
        <w:overflowPunct/>
        <w:topLinePunct w:val="0"/>
        <w:bidi w:val="0"/>
        <w:snapToGrid/>
        <w:spacing w:before="157" w:beforeLines="50" w:after="157" w:afterLines="50" w:line="480" w:lineRule="auto"/>
        <w:textAlignment w:val="auto"/>
        <w:rPr>
          <w:rFonts w:hint="eastAsia" w:ascii="Wingdings" w:hAnsi="Wingdings" w:cs="Wingdings" w:eastAsiaTheme="minorEastAsia"/>
          <w:b/>
          <w:bCs/>
          <w:i w:val="0"/>
          <w:iCs/>
          <w:color w:val="auto"/>
          <w:kern w:val="2"/>
          <w:sz w:val="24"/>
          <w:szCs w:val="24"/>
          <w:highlight w:val="none"/>
          <w:u w:val="single"/>
          <w:lang w:val="en-US" w:eastAsia="zh-CN" w:bidi="ar-SA"/>
        </w:rPr>
      </w:pPr>
      <w:r>
        <w:rPr>
          <w:rFonts w:hint="eastAsia" w:ascii="Wingdings" w:hAnsi="Wingdings" w:cs="Wingdings" w:eastAsiaTheme="minorEastAsia"/>
          <w:b/>
          <w:bCs/>
          <w:i w:val="0"/>
          <w:iCs/>
          <w:color w:val="auto"/>
          <w:kern w:val="2"/>
          <w:sz w:val="24"/>
          <w:szCs w:val="24"/>
          <w:highlight w:val="none"/>
          <w:u w:val="single"/>
          <w:lang w:val="en-US" w:eastAsia="zh-CN" w:bidi="ar-SA"/>
        </w:rPr>
        <w:t xml:space="preserve">                                       </w:t>
      </w:r>
    </w:p>
    <w:p w14:paraId="6282A302">
      <w:pPr>
        <w:pStyle w:val="2"/>
        <w:keepNext w:val="0"/>
        <w:keepLines w:val="0"/>
        <w:pageBreakBefore w:val="0"/>
        <w:widowControl w:val="0"/>
        <w:numPr>
          <w:ilvl w:val="0"/>
          <w:numId w:val="3"/>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2B9AA8BA">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p>
    <w:p w14:paraId="2C22E849">
      <w:pPr>
        <w:pStyle w:val="2"/>
        <w:rPr>
          <w:rFonts w:hint="eastAsia" w:asciiTheme="minorEastAsia" w:hAnsiTheme="minorEastAsia" w:eastAsiaTheme="minorEastAsia" w:cstheme="minorEastAsia"/>
          <w:i w:val="0"/>
          <w:iCs/>
          <w:color w:val="auto"/>
          <w:sz w:val="24"/>
          <w:szCs w:val="24"/>
          <w:highlight w:val="none"/>
        </w:rPr>
      </w:pPr>
    </w:p>
    <w:p w14:paraId="045A78CD">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p>
    <w:p w14:paraId="206704DF">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14:paraId="484A4028">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en-US" w:eastAsia="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（二）符合图纸及技术文件的要求（如有，详见招标文件附件）。</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abstractNum w:abstractNumId="2">
    <w:nsid w:val="12846F37"/>
    <w:multiLevelType w:val="singleLevel"/>
    <w:tmpl w:val="12846F37"/>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02E96"/>
    <w:rsid w:val="001270A5"/>
    <w:rsid w:val="00567FB0"/>
    <w:rsid w:val="007A4AD7"/>
    <w:rsid w:val="020F12D6"/>
    <w:rsid w:val="04A24F71"/>
    <w:rsid w:val="06A157B1"/>
    <w:rsid w:val="076F3B3B"/>
    <w:rsid w:val="07CA37DF"/>
    <w:rsid w:val="0BC07002"/>
    <w:rsid w:val="0BCB60B7"/>
    <w:rsid w:val="0E2F4C02"/>
    <w:rsid w:val="0E3616E0"/>
    <w:rsid w:val="0E394169"/>
    <w:rsid w:val="0F81532F"/>
    <w:rsid w:val="107144D2"/>
    <w:rsid w:val="116419AD"/>
    <w:rsid w:val="11DF6CFE"/>
    <w:rsid w:val="13383335"/>
    <w:rsid w:val="14440D4B"/>
    <w:rsid w:val="14781EB9"/>
    <w:rsid w:val="14B666F3"/>
    <w:rsid w:val="15056A61"/>
    <w:rsid w:val="15E30C3C"/>
    <w:rsid w:val="17722603"/>
    <w:rsid w:val="18E57496"/>
    <w:rsid w:val="1A386933"/>
    <w:rsid w:val="1A4F176B"/>
    <w:rsid w:val="1B663F82"/>
    <w:rsid w:val="1C2B25D2"/>
    <w:rsid w:val="1C2D4629"/>
    <w:rsid w:val="1C43636C"/>
    <w:rsid w:val="1C8618B6"/>
    <w:rsid w:val="1D904223"/>
    <w:rsid w:val="1F2947BE"/>
    <w:rsid w:val="1F653C49"/>
    <w:rsid w:val="1FF914D4"/>
    <w:rsid w:val="200F7DE4"/>
    <w:rsid w:val="20735046"/>
    <w:rsid w:val="216F4D5B"/>
    <w:rsid w:val="21C11DC8"/>
    <w:rsid w:val="23B738BA"/>
    <w:rsid w:val="24E67795"/>
    <w:rsid w:val="24F737D8"/>
    <w:rsid w:val="2525523D"/>
    <w:rsid w:val="26EB3B6A"/>
    <w:rsid w:val="282B4094"/>
    <w:rsid w:val="291D5E51"/>
    <w:rsid w:val="29926CD8"/>
    <w:rsid w:val="2B032A34"/>
    <w:rsid w:val="2BE07E0A"/>
    <w:rsid w:val="2CA17C08"/>
    <w:rsid w:val="2DDF66E3"/>
    <w:rsid w:val="2FEB7CCF"/>
    <w:rsid w:val="2FF65FF8"/>
    <w:rsid w:val="300D195C"/>
    <w:rsid w:val="30BF37B5"/>
    <w:rsid w:val="313B0851"/>
    <w:rsid w:val="31C955A9"/>
    <w:rsid w:val="32A64CA6"/>
    <w:rsid w:val="33B200AF"/>
    <w:rsid w:val="33C75702"/>
    <w:rsid w:val="33E61BE2"/>
    <w:rsid w:val="361736AD"/>
    <w:rsid w:val="36D200CF"/>
    <w:rsid w:val="379951F8"/>
    <w:rsid w:val="38382DC3"/>
    <w:rsid w:val="38DE045C"/>
    <w:rsid w:val="39253F57"/>
    <w:rsid w:val="3987396D"/>
    <w:rsid w:val="39FA7EF0"/>
    <w:rsid w:val="3B595AEE"/>
    <w:rsid w:val="3BF24D81"/>
    <w:rsid w:val="3BFE7BEA"/>
    <w:rsid w:val="3C4750A3"/>
    <w:rsid w:val="3C4A35F1"/>
    <w:rsid w:val="3ED2701E"/>
    <w:rsid w:val="4061523C"/>
    <w:rsid w:val="420455E6"/>
    <w:rsid w:val="42E73C50"/>
    <w:rsid w:val="44982260"/>
    <w:rsid w:val="44D414C9"/>
    <w:rsid w:val="46472D5E"/>
    <w:rsid w:val="480E5801"/>
    <w:rsid w:val="489B11D5"/>
    <w:rsid w:val="496A657E"/>
    <w:rsid w:val="49843C09"/>
    <w:rsid w:val="49E74E37"/>
    <w:rsid w:val="4B3A1BDA"/>
    <w:rsid w:val="4BAB0353"/>
    <w:rsid w:val="4BF83760"/>
    <w:rsid w:val="4C5B4768"/>
    <w:rsid w:val="4C8349B8"/>
    <w:rsid w:val="504766FD"/>
    <w:rsid w:val="52EB05AA"/>
    <w:rsid w:val="552A0C96"/>
    <w:rsid w:val="55BB16B6"/>
    <w:rsid w:val="55C3156A"/>
    <w:rsid w:val="560A4CB8"/>
    <w:rsid w:val="5782183A"/>
    <w:rsid w:val="57BD355E"/>
    <w:rsid w:val="58D21C48"/>
    <w:rsid w:val="5B0320E2"/>
    <w:rsid w:val="5B8B11A7"/>
    <w:rsid w:val="5B9E2EC4"/>
    <w:rsid w:val="5CD10D7E"/>
    <w:rsid w:val="5DC7771A"/>
    <w:rsid w:val="60002310"/>
    <w:rsid w:val="608606DE"/>
    <w:rsid w:val="610E324A"/>
    <w:rsid w:val="61BC7605"/>
    <w:rsid w:val="61F31EFD"/>
    <w:rsid w:val="628C7955"/>
    <w:rsid w:val="63066BC7"/>
    <w:rsid w:val="63D0487B"/>
    <w:rsid w:val="64672037"/>
    <w:rsid w:val="64911DA0"/>
    <w:rsid w:val="65945D8D"/>
    <w:rsid w:val="66C35559"/>
    <w:rsid w:val="67D57489"/>
    <w:rsid w:val="67F92484"/>
    <w:rsid w:val="68087628"/>
    <w:rsid w:val="68570F93"/>
    <w:rsid w:val="6A287B5E"/>
    <w:rsid w:val="6B303A1A"/>
    <w:rsid w:val="6C704794"/>
    <w:rsid w:val="6CBB78A5"/>
    <w:rsid w:val="6DAA2FDF"/>
    <w:rsid w:val="6DF95579"/>
    <w:rsid w:val="6E121228"/>
    <w:rsid w:val="70D1495F"/>
    <w:rsid w:val="70ED510D"/>
    <w:rsid w:val="712F63C0"/>
    <w:rsid w:val="716C6863"/>
    <w:rsid w:val="72717CD1"/>
    <w:rsid w:val="743E1546"/>
    <w:rsid w:val="74614F7E"/>
    <w:rsid w:val="74695E39"/>
    <w:rsid w:val="754C6F3B"/>
    <w:rsid w:val="75B11AFF"/>
    <w:rsid w:val="75D32619"/>
    <w:rsid w:val="768D126A"/>
    <w:rsid w:val="780B6A75"/>
    <w:rsid w:val="797B4BA4"/>
    <w:rsid w:val="79F83E18"/>
    <w:rsid w:val="7CED7DC5"/>
    <w:rsid w:val="7D0F76D8"/>
    <w:rsid w:val="7D304D71"/>
    <w:rsid w:val="7E3420E0"/>
    <w:rsid w:val="7F1B3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5">
    <w:name w:val="Normal Indent"/>
    <w:basedOn w:val="1"/>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w:basedOn w:val="1"/>
    <w:next w:val="8"/>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8">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9">
    <w:name w:val="Body Text Indent"/>
    <w:basedOn w:val="1"/>
    <w:qFormat/>
    <w:uiPriority w:val="0"/>
    <w:pPr>
      <w:spacing w:after="120"/>
      <w:ind w:left="420" w:leftChars="200"/>
    </w:pPr>
  </w:style>
  <w:style w:type="paragraph" w:styleId="10">
    <w:name w:val="Body Text First Indent"/>
    <w:basedOn w:val="7"/>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 w:type="character" w:customStyle="1" w:styleId="16">
    <w:name w:val="font11"/>
    <w:basedOn w:val="13"/>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1196</Words>
  <Characters>1350</Characters>
  <Lines>0</Lines>
  <Paragraphs>0</Paragraphs>
  <TotalTime>20</TotalTime>
  <ScaleCrop>false</ScaleCrop>
  <LinksUpToDate>false</LinksUpToDate>
  <CharactersWithSpaces>1509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批注</cp:lastModifiedBy>
  <cp:lastPrinted>2024-03-20T01:54:00Z</cp:lastPrinted>
  <dcterms:modified xsi:type="dcterms:W3CDTF">2025-09-10T01:53:21Z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EDF1AA3B88D44F0F8FEC517A4732750F</vt:lpwstr>
  </property>
  <property fmtid="{D5CDD505-2E9C-101B-9397-08002B2CF9AE}" pid="4" name="KSOTemplateDocerSaveRecord">
    <vt:lpwstr>eyJoZGlkIjoiYTRlYzViOTg3MzA5ZmNlNTA4ZDdkNmFjYWRlNWJjNjYiLCJ1c2VySWQiOiIxMTIzODYyNzQxIn0=</vt:lpwstr>
  </property>
</Properties>
</file>