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广州供电局2025-2026年综合管廊电力仓、市政道路同步建设电力管沟设计评审及技术咨询服务项目</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pPr>
        <w:pStyle w:val="9"/>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2"/>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246"/>
        <w:gridCol w:w="5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noWrap w:val="0"/>
            <w:vAlign w:val="top"/>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246" w:type="dxa"/>
            <w:noWrap w:val="0"/>
            <w:vAlign w:val="top"/>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787" w:type="dxa"/>
            <w:noWrap w:val="0"/>
            <w:vAlign w:val="top"/>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24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可研批复(项目立项)文号</w:t>
            </w:r>
          </w:p>
        </w:tc>
        <w:tc>
          <w:tcPr>
            <w:tcW w:w="5787"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24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资金落实情况</w:t>
            </w:r>
          </w:p>
        </w:tc>
        <w:tc>
          <w:tcPr>
            <w:tcW w:w="5787"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《关于下达2025年广州供电局计划预算的通知》（广供电财〔2025〕26号），以及纳入本框架范围内的预算。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24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787"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24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787"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24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服务期/框架有效期</w:t>
            </w:r>
          </w:p>
        </w:tc>
        <w:tc>
          <w:tcPr>
            <w:tcW w:w="5787"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框架有效期：合同签订之日起至2026年12月31日。服务期：实际服务期以委托函上载明的时间为准。</w:t>
            </w:r>
          </w:p>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i w:val="0"/>
          <w:iCs/>
          <w:color w:val="auto"/>
          <w:kern w:val="2"/>
          <w:sz w:val="24"/>
          <w:szCs w:val="24"/>
          <w:highlight w:val="none"/>
          <w:u w:val="single"/>
          <w:lang w:val="en-US" w:eastAsia="zh-CN" w:bidi="ar-SA"/>
        </w:rPr>
      </w:pPr>
      <w:r>
        <w:rPr>
          <w:rFonts w:hint="eastAsia" w:ascii="宋体" w:hAnsi="宋体" w:eastAsia="宋体" w:cs="宋体"/>
          <w:b w:val="0"/>
          <w:bCs w:val="0"/>
          <w:i w:val="0"/>
          <w:iCs/>
          <w:color w:val="auto"/>
          <w:kern w:val="2"/>
          <w:sz w:val="24"/>
          <w:szCs w:val="24"/>
          <w:highlight w:val="none"/>
          <w:u w:val="single"/>
          <w:lang w:val="en-US" w:eastAsia="zh-CN" w:bidi="ar-SA"/>
        </w:rPr>
        <w:t>本次招标为对政府或其他外部单位提交广州供电局审查的综合管廊</w:t>
      </w:r>
      <w:r>
        <w:rPr>
          <w:rFonts w:hint="eastAsia" w:ascii="宋体" w:hAnsi="宋体" w:cs="宋体"/>
          <w:b w:val="0"/>
          <w:bCs w:val="0"/>
          <w:i w:val="0"/>
          <w:iCs/>
          <w:color w:val="auto"/>
          <w:kern w:val="2"/>
          <w:sz w:val="24"/>
          <w:szCs w:val="24"/>
          <w:highlight w:val="none"/>
          <w:u w:val="single"/>
          <w:lang w:val="en-US" w:eastAsia="zh-CN" w:bidi="ar-SA"/>
        </w:rPr>
        <w:t>电力仓</w:t>
      </w:r>
      <w:r>
        <w:rPr>
          <w:rFonts w:hint="eastAsia" w:ascii="宋体" w:hAnsi="宋体" w:eastAsia="宋体" w:cs="宋体"/>
          <w:b w:val="0"/>
          <w:bCs w:val="0"/>
          <w:i w:val="0"/>
          <w:iCs/>
          <w:color w:val="auto"/>
          <w:kern w:val="2"/>
          <w:sz w:val="24"/>
          <w:szCs w:val="24"/>
          <w:highlight w:val="none"/>
          <w:u w:val="single"/>
          <w:lang w:val="en-US" w:eastAsia="zh-CN" w:bidi="ar-SA"/>
        </w:rPr>
        <w:t>、市政道路同步建设</w:t>
      </w:r>
      <w:r>
        <w:rPr>
          <w:rFonts w:hint="eastAsia" w:ascii="宋体" w:hAnsi="宋体" w:cs="宋体"/>
          <w:b w:val="0"/>
          <w:bCs w:val="0"/>
          <w:i w:val="0"/>
          <w:iCs/>
          <w:color w:val="auto"/>
          <w:kern w:val="2"/>
          <w:sz w:val="24"/>
          <w:szCs w:val="24"/>
          <w:highlight w:val="none"/>
          <w:u w:val="single"/>
          <w:lang w:val="en-US" w:eastAsia="zh-CN" w:bidi="ar-SA"/>
        </w:rPr>
        <w:t>电力</w:t>
      </w:r>
      <w:r>
        <w:rPr>
          <w:rFonts w:hint="eastAsia" w:ascii="宋体" w:hAnsi="宋体" w:eastAsia="宋体" w:cs="宋体"/>
          <w:b w:val="0"/>
          <w:bCs w:val="0"/>
          <w:i w:val="0"/>
          <w:iCs/>
          <w:color w:val="auto"/>
          <w:kern w:val="2"/>
          <w:sz w:val="24"/>
          <w:szCs w:val="24"/>
          <w:highlight w:val="none"/>
          <w:u w:val="single"/>
          <w:lang w:val="en-US" w:eastAsia="zh-CN" w:bidi="ar-SA"/>
        </w:rPr>
        <w:t>管沟提供评审及技术支持等服务。最终以招标人根据标包划分原则和招标结果出具的委托</w:t>
      </w: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函</w:t>
      </w:r>
      <w:r>
        <w:rPr>
          <w:rFonts w:hint="eastAsia" w:ascii="宋体" w:hAnsi="宋体" w:eastAsia="宋体" w:cs="宋体"/>
          <w:b w:val="0"/>
          <w:bCs w:val="0"/>
          <w:i w:val="0"/>
          <w:iCs/>
          <w:color w:val="auto"/>
          <w:kern w:val="2"/>
          <w:sz w:val="24"/>
          <w:szCs w:val="24"/>
          <w:highlight w:val="none"/>
          <w:u w:val="single"/>
          <w:lang w:val="en-US" w:eastAsia="zh-CN" w:bidi="ar-SA"/>
        </w:rPr>
        <w:t>为准。</w:t>
      </w:r>
    </w:p>
    <w:p>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二、采购范围</w:t>
      </w:r>
    </w:p>
    <w:p>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i w:val="0"/>
          <w:iCs/>
          <w:color w:val="auto"/>
          <w:kern w:val="2"/>
          <w:sz w:val="24"/>
          <w:szCs w:val="24"/>
          <w:highlight w:val="none"/>
          <w:u w:val="single"/>
          <w:lang w:val="en-US" w:eastAsia="zh-CN" w:bidi="ar-SA"/>
        </w:rPr>
      </w:pPr>
      <w:r>
        <w:rPr>
          <w:rFonts w:hint="eastAsia" w:ascii="宋体" w:hAnsi="宋体" w:eastAsia="宋体" w:cs="宋体"/>
          <w:b w:val="0"/>
          <w:bCs w:val="0"/>
          <w:i w:val="0"/>
          <w:iCs/>
          <w:color w:val="auto"/>
          <w:kern w:val="2"/>
          <w:sz w:val="24"/>
          <w:szCs w:val="24"/>
          <w:highlight w:val="none"/>
          <w:u w:val="single"/>
          <w:lang w:val="en-US" w:eastAsia="zh-CN" w:bidi="ar-SA"/>
        </w:rPr>
        <w:t>本次招标为对政府或其他外部单位提交广州供电局审查的综合管廊电力仓、市政道路同步建设电力管沟提供评审及技术支持等服务。</w:t>
      </w:r>
    </w:p>
    <w:p>
      <w:pPr>
        <w:pStyle w:val="9"/>
        <w:rPr>
          <w:rFonts w:hint="eastAsia" w:ascii="宋体" w:hAnsi="宋体" w:eastAsia="宋体" w:cs="宋体"/>
          <w:b w:val="0"/>
          <w:bCs w:val="0"/>
          <w:i w:val="0"/>
          <w:iCs/>
          <w:color w:val="auto"/>
          <w:kern w:val="2"/>
          <w:sz w:val="24"/>
          <w:szCs w:val="24"/>
          <w:highlight w:val="none"/>
          <w:u w:val="single"/>
          <w:lang w:val="en-US" w:eastAsia="zh-CN" w:bidi="ar-SA"/>
        </w:rPr>
      </w:pPr>
    </w:p>
    <w:p>
      <w:pPr>
        <w:pStyle w:val="3"/>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三、报价表及报价要求</w:t>
      </w:r>
    </w:p>
    <w:tbl>
      <w:tblPr>
        <w:tblStyle w:val="11"/>
        <w:tblpPr w:leftFromText="180" w:rightFromText="180" w:vertAnchor="text" w:horzAnchor="page" w:tblpX="1352" w:tblpY="66"/>
        <w:tblOverlap w:val="never"/>
        <w:tblW w:w="931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1"/>
        <w:gridCol w:w="2785"/>
        <w:gridCol w:w="1540"/>
        <w:gridCol w:w="1282"/>
        <w:gridCol w:w="1146"/>
        <w:gridCol w:w="19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PrEx>
        <w:trPr>
          <w:trHeight w:val="23" w:hRule="atLeast"/>
        </w:trPr>
        <w:tc>
          <w:tcPr>
            <w:tcW w:w="651" w:type="dxa"/>
            <w:tcBorders>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2785" w:type="dxa"/>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工程或费用名称</w:t>
            </w:r>
          </w:p>
        </w:tc>
        <w:tc>
          <w:tcPr>
            <w:tcW w:w="1540" w:type="dxa"/>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b/>
                <w:bCs/>
                <w:sz w:val="21"/>
                <w:szCs w:val="21"/>
                <w:highlight w:val="none"/>
                <w:lang w:val="en-US"/>
              </w:rPr>
            </w:pPr>
            <w:r>
              <w:rPr>
                <w:rFonts w:hint="eastAsia"/>
                <w:b/>
                <w:bCs/>
                <w:sz w:val="21"/>
                <w:szCs w:val="21"/>
                <w:highlight w:val="none"/>
                <w:lang w:val="en-US" w:eastAsia="zh-CN"/>
              </w:rPr>
              <w:t>预计发包金额</w:t>
            </w:r>
            <w:r>
              <w:rPr>
                <w:rFonts w:hint="eastAsia" w:hAnsi="宋体" w:cs="宋体"/>
                <w:b/>
                <w:bCs/>
                <w:i w:val="0"/>
                <w:iCs w:val="0"/>
                <w:color w:val="000000"/>
                <w:kern w:val="0"/>
                <w:sz w:val="21"/>
                <w:szCs w:val="21"/>
                <w:highlight w:val="none"/>
                <w:u w:val="none"/>
                <w:lang w:val="en-US" w:eastAsia="zh-CN" w:bidi="ar"/>
              </w:rPr>
              <w:t>（元）</w:t>
            </w:r>
          </w:p>
        </w:tc>
        <w:tc>
          <w:tcPr>
            <w:tcW w:w="1282" w:type="dxa"/>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投标下浮率</w:t>
            </w:r>
          </w:p>
        </w:tc>
        <w:tc>
          <w:tcPr>
            <w:tcW w:w="1146" w:type="dxa"/>
            <w:tcBorders>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b/>
                <w:bCs/>
                <w:sz w:val="21"/>
                <w:szCs w:val="21"/>
                <w:highlight w:val="none"/>
                <w:lang w:val="en-US" w:eastAsia="zh-CN"/>
              </w:rPr>
            </w:pPr>
            <w:r>
              <w:rPr>
                <w:rFonts w:hint="eastAsia"/>
                <w:b/>
                <w:bCs/>
                <w:sz w:val="21"/>
                <w:szCs w:val="21"/>
                <w:highlight w:val="none"/>
                <w:lang w:val="en-US" w:eastAsia="zh-CN"/>
              </w:rPr>
              <w:t>报价金额</w:t>
            </w:r>
          </w:p>
          <w:p>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hAnsi="宋体" w:cs="宋体"/>
                <w:b/>
                <w:bCs/>
                <w:i w:val="0"/>
                <w:iCs w:val="0"/>
                <w:color w:val="000000"/>
                <w:kern w:val="0"/>
                <w:sz w:val="21"/>
                <w:szCs w:val="21"/>
                <w:highlight w:val="none"/>
                <w:u w:val="none"/>
                <w:lang w:val="en-US" w:eastAsia="zh-CN" w:bidi="ar"/>
              </w:rPr>
              <w:t>（元）</w:t>
            </w:r>
          </w:p>
        </w:tc>
        <w:tc>
          <w:tcPr>
            <w:tcW w:w="1907" w:type="dxa"/>
            <w:tcBorders>
              <w:lef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备  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51" w:type="dxa"/>
            <w:tcBorders>
              <w:top w:val="single" w:color="000000" w:sz="4" w:space="0"/>
              <w:bottom w:val="single" w:color="000000" w:sz="4" w:space="0"/>
              <w:right w:val="single" w:color="000000" w:sz="4" w:space="0"/>
            </w:tcBorders>
            <w:shd w:val="clear" w:color="auto" w:fill="auto"/>
            <w:noWrap/>
            <w:vAlign w:val="center"/>
          </w:tcPr>
          <w:p>
            <w:pPr>
              <w:jc w:val="center"/>
              <w:rPr>
                <w:rFonts w:hint="default" w:ascii="宋体" w:hAnsi="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1</w:t>
            </w:r>
          </w:p>
        </w:tc>
        <w:tc>
          <w:tcPr>
            <w:tcW w:w="2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kern w:val="0"/>
                <w:sz w:val="21"/>
                <w:szCs w:val="21"/>
                <w:highlight w:val="none"/>
                <w:u w:val="none"/>
                <w:lang w:val="en-US" w:eastAsia="zh-CN" w:bidi="ar"/>
              </w:rPr>
              <w:t>广州供电局2025-2026年综合管廊电力仓、市政道路同步建设电力管沟设计评审及技术咨询服务项目</w:t>
            </w:r>
          </w:p>
        </w:tc>
        <w:tc>
          <w:tcPr>
            <w:tcW w:w="1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仿宋" w:hAnsi="仿宋" w:eastAsia="仿宋" w:cs="仿宋"/>
                <w:b w:val="0"/>
                <w:bCs w:val="0"/>
                <w:i w:val="0"/>
                <w:color w:val="auto"/>
                <w:kern w:val="0"/>
                <w:sz w:val="21"/>
                <w:szCs w:val="21"/>
                <w:highlight w:val="none"/>
                <w:u w:val="none"/>
                <w:lang w:val="en-US" w:eastAsia="zh-CN" w:bidi="ar"/>
              </w:rPr>
              <w:t>2000000</w:t>
            </w:r>
          </w:p>
        </w:tc>
        <w:tc>
          <w:tcPr>
            <w:tcW w:w="1282" w:type="dxa"/>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cs="宋体"/>
                <w:i w:val="0"/>
                <w:iCs w:val="0"/>
                <w:color w:val="000000"/>
                <w:kern w:val="0"/>
                <w:sz w:val="21"/>
                <w:szCs w:val="21"/>
                <w:highlight w:val="none"/>
                <w:u w:val="single"/>
                <w:lang w:val="en-US" w:eastAsia="zh-CN" w:bidi="ar"/>
              </w:rPr>
            </w:pPr>
            <w:r>
              <w:rPr>
                <w:rFonts w:hint="eastAsia" w:ascii="宋体" w:hAnsi="宋体" w:cs="宋体"/>
                <w:i w:val="0"/>
                <w:iCs w:val="0"/>
                <w:color w:val="000000"/>
                <w:kern w:val="0"/>
                <w:sz w:val="21"/>
                <w:szCs w:val="21"/>
                <w:highlight w:val="none"/>
                <w:u w:val="single"/>
                <w:lang w:val="en-US" w:eastAsia="zh-CN" w:bidi="ar"/>
              </w:rPr>
              <w:t xml:space="preserve">   </w:t>
            </w:r>
            <w:r>
              <w:rPr>
                <w:rFonts w:hint="eastAsia" w:ascii="宋体" w:hAnsi="宋体" w:eastAsia="宋体" w:cs="宋体"/>
                <w:i w:val="0"/>
                <w:iCs w:val="0"/>
                <w:color w:val="000000"/>
                <w:kern w:val="0"/>
                <w:sz w:val="21"/>
                <w:szCs w:val="21"/>
                <w:highlight w:val="none"/>
                <w:u w:val="none"/>
                <w:lang w:val="en-US" w:eastAsia="zh-CN" w:bidi="ar"/>
              </w:rPr>
              <w:t>%</w:t>
            </w:r>
          </w:p>
        </w:tc>
        <w:tc>
          <w:tcPr>
            <w:tcW w:w="11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1"/>
                <w:szCs w:val="21"/>
                <w:highlight w:val="none"/>
                <w:u w:val="none"/>
              </w:rPr>
            </w:pPr>
          </w:p>
        </w:tc>
        <w:tc>
          <w:tcPr>
            <w:tcW w:w="1907" w:type="dxa"/>
            <w:tcBorders>
              <w:top w:val="single" w:color="000000" w:sz="4" w:space="0"/>
              <w:left w:val="single" w:color="000000" w:sz="4" w:space="0"/>
              <w:bottom w:val="single" w:color="000000" w:sz="4" w:space="0"/>
            </w:tcBorders>
            <w:shd w:val="clear" w:color="auto" w:fill="auto"/>
            <w:noWrap/>
            <w:vAlign w:val="center"/>
          </w:tcPr>
          <w:p>
            <w:pPr>
              <w:jc w:val="center"/>
              <w:rPr>
                <w:rFonts w:hint="eastAsia" w:ascii="宋体" w:hAnsi="宋体" w:cs="宋体"/>
                <w:i w:val="0"/>
                <w:iCs w:val="0"/>
                <w:color w:val="000000"/>
                <w:sz w:val="21"/>
                <w:szCs w:val="21"/>
                <w:highlight w:val="none"/>
                <w:u w:val="none"/>
                <w:lang w:val="en-US" w:eastAsia="zh-CN"/>
              </w:rPr>
            </w:pPr>
            <w:r>
              <w:rPr>
                <w:rFonts w:hint="eastAsia" w:ascii="宋体" w:hAnsi="宋体" w:eastAsia="宋体" w:cs="宋体"/>
                <w:i w:val="0"/>
                <w:iCs w:val="0"/>
                <w:color w:val="auto"/>
                <w:sz w:val="21"/>
                <w:szCs w:val="21"/>
                <w:highlight w:val="none"/>
                <w:u w:val="none"/>
              </w:rPr>
              <w:t>有</w:t>
            </w:r>
            <w:r>
              <w:rPr>
                <w:rFonts w:hint="eastAsia" w:ascii="宋体" w:hAnsi="宋体" w:eastAsia="宋体" w:cs="宋体"/>
                <w:i w:val="0"/>
                <w:iCs w:val="0"/>
                <w:color w:val="auto"/>
                <w:sz w:val="21"/>
                <w:szCs w:val="21"/>
                <w:highlight w:val="none"/>
                <w:u w:val="none"/>
              </w:rPr>
              <w:t>单价</w:t>
            </w:r>
            <w:r>
              <w:rPr>
                <w:rFonts w:hint="eastAsia" w:ascii="宋体" w:hAnsi="宋体" w:eastAsia="宋体" w:cs="宋体"/>
                <w:i w:val="0"/>
                <w:iCs w:val="0"/>
                <w:color w:val="auto"/>
                <w:sz w:val="21"/>
                <w:szCs w:val="21"/>
                <w:highlight w:val="none"/>
                <w:u w:val="none"/>
              </w:rPr>
              <w:t>限价，详见报价</w:t>
            </w:r>
            <w:r>
              <w:rPr>
                <w:rFonts w:hint="eastAsia" w:ascii="宋体" w:hAnsi="宋体" w:cs="宋体"/>
                <w:i w:val="0"/>
                <w:iCs w:val="0"/>
                <w:color w:val="auto"/>
                <w:sz w:val="21"/>
                <w:szCs w:val="21"/>
                <w:highlight w:val="none"/>
                <w:u w:val="none"/>
                <w:lang w:val="en-US" w:eastAsia="zh-CN"/>
              </w:rPr>
              <w:t>明细</w:t>
            </w:r>
            <w:r>
              <w:rPr>
                <w:rFonts w:hint="eastAsia" w:ascii="宋体" w:hAnsi="宋体" w:eastAsia="宋体" w:cs="宋体"/>
                <w:i w:val="0"/>
                <w:iCs w:val="0"/>
                <w:color w:val="auto"/>
                <w:sz w:val="21"/>
                <w:szCs w:val="21"/>
                <w:highlight w:val="none"/>
                <w:u w:val="none"/>
              </w:rPr>
              <w:t>表</w:t>
            </w:r>
            <w:r>
              <w:rPr>
                <w:rFonts w:hint="eastAsia" w:ascii="宋体" w:hAnsi="宋体" w:cs="宋体"/>
                <w:i w:val="0"/>
                <w:iCs w:val="0"/>
                <w:color w:val="000000"/>
                <w:sz w:val="21"/>
                <w:szCs w:val="21"/>
                <w:highlight w:val="none"/>
                <w:u w:val="none"/>
                <w:lang w:val="en-US" w:eastAsia="zh-CN"/>
              </w:rPr>
              <w:t>。</w:t>
            </w:r>
          </w:p>
        </w:tc>
      </w:tr>
    </w:tbl>
    <w:p>
      <w:pPr>
        <w:pStyle w:val="6"/>
        <w:ind w:firstLine="240" w:firstLineChars="100"/>
        <w:rPr>
          <w:rFonts w:hint="eastAsia" w:ascii="宋体" w:hAnsi="宋体" w:eastAsia="宋体" w:cs="宋体"/>
          <w:color w:val="auto"/>
          <w:kern w:val="2"/>
          <w:sz w:val="24"/>
          <w:szCs w:val="24"/>
          <w:highlight w:val="none"/>
          <w:u w:val="none"/>
          <w:lang w:val="en-US" w:eastAsia="zh-CN" w:bidi="ar-SA"/>
        </w:rPr>
      </w:pPr>
    </w:p>
    <w:p>
      <w:pPr>
        <w:pStyle w:val="6"/>
        <w:ind w:firstLine="240" w:firstLineChars="1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pPr>
        <w:pStyle w:val="7"/>
        <w:jc w:val="left"/>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1.按下浮率报价（保留两位小数，如8.88%），同时填报投标报价（投标报价=预计发包价×（1-投标下浮率），四舍五入保留两位小数）。当投标报价与投标下浮率计算结果不一致时，以投标下浮率为准，按上述公式修订投标报价。</w:t>
      </w:r>
    </w:p>
    <w:p>
      <w:pPr>
        <w:pStyle w:val="7"/>
        <w:numPr>
          <w:ilvl w:val="0"/>
          <w:numId w:val="0"/>
        </w:numPr>
        <w:shd w:val="clear" w:color="auto" w:fill="auto"/>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2.投标</w:t>
      </w:r>
      <w:r>
        <w:rPr>
          <w:rFonts w:ascii="宋体" w:hAnsi="宋体" w:eastAsia="宋体" w:cs="宋体"/>
          <w:b w:val="0"/>
          <w:bCs w:val="0"/>
          <w:color w:val="auto"/>
          <w:sz w:val="24"/>
          <w:szCs w:val="24"/>
          <w:highlight w:val="none"/>
          <w:u w:val="single"/>
        </w:rPr>
        <w:t>下浮率不低于0%为有效报价；当投标下浮率＞</w:t>
      </w:r>
      <w:r>
        <w:rPr>
          <w:rFonts w:hint="eastAsia" w:ascii="宋体" w:hAnsi="宋体" w:eastAsia="宋体" w:cs="宋体"/>
          <w:b w:val="0"/>
          <w:bCs w:val="0"/>
          <w:color w:val="auto"/>
          <w:sz w:val="24"/>
          <w:szCs w:val="24"/>
          <w:highlight w:val="none"/>
          <w:u w:val="single"/>
          <w:lang w:val="en-US" w:eastAsia="zh-CN"/>
        </w:rPr>
        <w:t xml:space="preserve"> </w:t>
      </w:r>
      <w:r>
        <w:rPr>
          <w:rFonts w:ascii="宋体" w:hAnsi="宋体" w:eastAsia="宋体" w:cs="宋体"/>
          <w:b w:val="0"/>
          <w:bCs w:val="0"/>
          <w:color w:val="auto"/>
          <w:sz w:val="24"/>
          <w:szCs w:val="24"/>
          <w:highlight w:val="none"/>
          <w:u w:val="single"/>
        </w:rPr>
        <w:t>15%</w:t>
      </w:r>
      <w:r>
        <w:rPr>
          <w:rFonts w:hint="eastAsia" w:ascii="宋体" w:hAnsi="宋体" w:eastAsia="宋体" w:cs="宋体"/>
          <w:b w:val="0"/>
          <w:bCs w:val="0"/>
          <w:color w:val="auto"/>
          <w:sz w:val="24"/>
          <w:szCs w:val="24"/>
          <w:highlight w:val="none"/>
          <w:u w:val="single"/>
          <w:lang w:val="en-US" w:eastAsia="zh-CN"/>
        </w:rPr>
        <w:t xml:space="preserve"> </w:t>
      </w:r>
      <w:r>
        <w:rPr>
          <w:rFonts w:ascii="宋体" w:hAnsi="宋体" w:eastAsia="宋体" w:cs="宋体"/>
          <w:b w:val="0"/>
          <w:bCs w:val="0"/>
          <w:color w:val="auto"/>
          <w:sz w:val="24"/>
          <w:szCs w:val="24"/>
          <w:highlight w:val="none"/>
          <w:u w:val="single"/>
        </w:rPr>
        <w:t>时应附成本分析报告，充分说明单价和费用的组成、降低成本的合理措施及在其他工程中应用过的经验等，经评审通过后方可视为有效报价。</w:t>
      </w:r>
    </w:p>
    <w:p>
      <w:pPr>
        <w:pStyle w:val="3"/>
        <w:keepNext w:val="0"/>
        <w:keepLines w:val="0"/>
        <w:pageBreakBefore w:val="0"/>
        <w:widowControl w:val="0"/>
        <w:numPr>
          <w:ilvl w:val="0"/>
          <w:numId w:val="0"/>
        </w:numPr>
        <w:kinsoku/>
        <w:wordWrap/>
        <w:overflowPunct/>
        <w:topLinePunct w:val="0"/>
        <w:bidi w:val="0"/>
        <w:snapToGrid/>
        <w:spacing w:beforeLines="0" w:afterLines="0" w:line="480" w:lineRule="auto"/>
        <w:ind w:left="0" w:leftChars="0" w:firstLine="482" w:firstLineChars="200"/>
        <w:textAlignment w:val="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keepNext w:val="0"/>
        <w:keepLines w:val="0"/>
        <w:pageBreakBefore w:val="0"/>
        <w:widowControl w:val="0"/>
        <w:shd w:val="clear" w:color="auto" w:fill="auto"/>
        <w:kinsoku/>
        <w:wordWrap/>
        <w:overflowPunct/>
        <w:topLinePunct w:val="0"/>
        <w:bidi w:val="0"/>
        <w:snapToGrid/>
        <w:spacing w:line="480" w:lineRule="auto"/>
        <w:ind w:left="0" w:firstLine="482" w:firstLineChars="200"/>
        <w:textAlignment w:val="auto"/>
        <w:rPr>
          <w:rFonts w:hint="eastAsia" w:ascii="宋体" w:hAnsi="宋体" w:cs="宋体"/>
          <w:b/>
          <w:bCs/>
          <w:i w:val="0"/>
          <w:iCs/>
          <w:color w:val="auto"/>
          <w:kern w:val="2"/>
          <w:sz w:val="24"/>
          <w:szCs w:val="24"/>
          <w:highlight w:val="none"/>
          <w:u w:val="single"/>
          <w:lang w:val="en-US" w:eastAsia="zh-CN" w:bidi="ar-SA"/>
        </w:rPr>
      </w:pPr>
      <w:r>
        <w:rPr>
          <w:rFonts w:hint="eastAsia" w:ascii="宋体" w:hAnsi="宋体" w:eastAsia="宋体" w:cs="宋体"/>
          <w:b/>
          <w:bCs/>
          <w:i w:val="0"/>
          <w:iCs/>
          <w:color w:val="auto"/>
          <w:kern w:val="2"/>
          <w:sz w:val="24"/>
          <w:szCs w:val="24"/>
          <w:highlight w:val="none"/>
          <w:u w:val="single"/>
          <w:lang w:val="en-US" w:eastAsia="zh-CN" w:bidi="ar-SA"/>
        </w:rPr>
        <w:t>本合同为暂定总价，结算时按限价单价×（1-中标下浮率）×实际工作数量进行结算</w:t>
      </w:r>
      <w:r>
        <w:rPr>
          <w:rFonts w:hint="eastAsia" w:ascii="宋体" w:hAnsi="宋体" w:cs="宋体"/>
          <w:b/>
          <w:bCs/>
          <w:i w:val="0"/>
          <w:iCs/>
          <w:color w:val="auto"/>
          <w:kern w:val="2"/>
          <w:sz w:val="24"/>
          <w:szCs w:val="24"/>
          <w:highlight w:val="none"/>
          <w:u w:val="single"/>
          <w:lang w:val="en-US" w:eastAsia="zh-CN" w:bidi="ar-SA"/>
        </w:rPr>
        <w:t>。</w:t>
      </w:r>
    </w:p>
    <w:p>
      <w:pPr>
        <w:pStyle w:val="6"/>
        <w:ind w:firstLine="480" w:firstLineChars="200"/>
        <w:rPr>
          <w:rFonts w:hint="default" w:ascii="宋体" w:hAnsi="宋体" w:eastAsia="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限价单价详见下表：</w:t>
      </w:r>
    </w:p>
    <w:tbl>
      <w:tblPr>
        <w:tblStyle w:val="11"/>
        <w:tblW w:w="86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58"/>
        <w:gridCol w:w="2329"/>
        <w:gridCol w:w="2244"/>
        <w:gridCol w:w="25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2" w:hRule="atLeast"/>
          <w:jc w:val="center"/>
        </w:trPr>
        <w:tc>
          <w:tcPr>
            <w:tcW w:w="388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类型</w:t>
            </w:r>
          </w:p>
        </w:tc>
        <w:tc>
          <w:tcPr>
            <w:tcW w:w="2244" w:type="dxa"/>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费用</w:t>
            </w:r>
            <w:r>
              <w:rPr>
                <w:rStyle w:val="17"/>
                <w:rFonts w:hint="eastAsia" w:asciiTheme="minorEastAsia" w:hAnsiTheme="minorEastAsia" w:eastAsiaTheme="minorEastAsia" w:cstheme="minorEastAsia"/>
                <w:sz w:val="21"/>
                <w:szCs w:val="21"/>
                <w:lang w:val="en-US" w:eastAsia="zh-CN" w:bidi="ar"/>
              </w:rPr>
              <w:t>(</w:t>
            </w:r>
            <w:r>
              <w:rPr>
                <w:rStyle w:val="16"/>
                <w:rFonts w:hint="eastAsia" w:asciiTheme="minorEastAsia" w:hAnsiTheme="minorEastAsia" w:eastAsiaTheme="minorEastAsia" w:cstheme="minorEastAsia"/>
                <w:sz w:val="21"/>
                <w:szCs w:val="21"/>
                <w:lang w:val="en-US" w:eastAsia="zh-CN" w:bidi="ar"/>
              </w:rPr>
              <w:t>元</w:t>
            </w:r>
            <w:r>
              <w:rPr>
                <w:rStyle w:val="17"/>
                <w:rFonts w:hint="eastAsia" w:asciiTheme="minorEastAsia" w:hAnsiTheme="minorEastAsia" w:eastAsiaTheme="minorEastAsia" w:cstheme="minorEastAsia"/>
                <w:sz w:val="21"/>
                <w:szCs w:val="21"/>
                <w:lang w:val="en-US" w:eastAsia="zh-CN" w:bidi="ar"/>
              </w:rPr>
              <w:t>)</w:t>
            </w:r>
          </w:p>
        </w:tc>
        <w:tc>
          <w:tcPr>
            <w:tcW w:w="2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4" w:hRule="atLeast"/>
          <w:jc w:val="center"/>
        </w:trPr>
        <w:tc>
          <w:tcPr>
            <w:tcW w:w="155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有隧道</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初步设计</w:t>
            </w:r>
            <w:r>
              <w:rPr>
                <w:rFonts w:hint="eastAsia" w:asciiTheme="minorEastAsia" w:hAnsiTheme="minorEastAsia" w:cstheme="minorEastAsia"/>
                <w:i w:val="0"/>
                <w:iCs w:val="0"/>
                <w:color w:val="000000"/>
                <w:kern w:val="0"/>
                <w:sz w:val="21"/>
                <w:szCs w:val="21"/>
                <w:u w:val="none"/>
                <w:lang w:val="en-US" w:eastAsia="zh-CN" w:bidi="ar"/>
              </w:rPr>
              <w:t>评审</w:t>
            </w:r>
          </w:p>
        </w:tc>
        <w:tc>
          <w:tcPr>
            <w:tcW w:w="2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 xml:space="preserve">76185.80 </w:t>
            </w:r>
          </w:p>
        </w:tc>
        <w:tc>
          <w:tcPr>
            <w:tcW w:w="2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Theme="minorEastAsia" w:hAnsiTheme="minorEastAsia" w:eastAsiaTheme="minorEastAsia" w:cstheme="minorEastAsia"/>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4" w:hRule="atLeast"/>
          <w:jc w:val="center"/>
        </w:trPr>
        <w:tc>
          <w:tcPr>
            <w:tcW w:w="155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Theme="minorEastAsia" w:hAnsiTheme="minorEastAsia" w:eastAsiaTheme="minorEastAsia" w:cstheme="minorEastAsia"/>
                <w:i w:val="0"/>
                <w:iCs w:val="0"/>
                <w:color w:val="000000"/>
                <w:sz w:val="21"/>
                <w:szCs w:val="21"/>
                <w:u w:val="none"/>
              </w:rPr>
            </w:pP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施工图</w:t>
            </w:r>
            <w:r>
              <w:rPr>
                <w:rFonts w:hint="eastAsia" w:asciiTheme="minorEastAsia" w:hAnsiTheme="minorEastAsia" w:cstheme="minorEastAsia"/>
                <w:i w:val="0"/>
                <w:iCs w:val="0"/>
                <w:color w:val="000000"/>
                <w:kern w:val="0"/>
                <w:sz w:val="21"/>
                <w:szCs w:val="21"/>
                <w:u w:val="none"/>
                <w:lang w:val="en-US" w:eastAsia="zh-CN" w:bidi="ar"/>
              </w:rPr>
              <w:t>评审</w:t>
            </w:r>
          </w:p>
        </w:tc>
        <w:tc>
          <w:tcPr>
            <w:tcW w:w="2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 xml:space="preserve">87419.00 </w:t>
            </w:r>
          </w:p>
        </w:tc>
        <w:tc>
          <w:tcPr>
            <w:tcW w:w="254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t>含设计变更审查、现场确认、参与技术协调等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7" w:hRule="atLeast"/>
          <w:jc w:val="center"/>
        </w:trPr>
        <w:tc>
          <w:tcPr>
            <w:tcW w:w="155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无隧道</w:t>
            </w: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初步设计</w:t>
            </w:r>
            <w:r>
              <w:rPr>
                <w:rFonts w:hint="eastAsia" w:asciiTheme="minorEastAsia" w:hAnsiTheme="minorEastAsia" w:cstheme="minorEastAsia"/>
                <w:i w:val="0"/>
                <w:iCs w:val="0"/>
                <w:color w:val="000000"/>
                <w:kern w:val="0"/>
                <w:sz w:val="21"/>
                <w:szCs w:val="21"/>
                <w:u w:val="none"/>
                <w:lang w:val="en-US" w:eastAsia="zh-CN" w:bidi="ar"/>
              </w:rPr>
              <w:t>评审</w:t>
            </w:r>
          </w:p>
        </w:tc>
        <w:tc>
          <w:tcPr>
            <w:tcW w:w="2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 xml:space="preserve">44413.63 </w:t>
            </w:r>
          </w:p>
        </w:tc>
        <w:tc>
          <w:tcPr>
            <w:tcW w:w="25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Theme="minorEastAsia" w:hAnsiTheme="minorEastAsia" w:eastAsiaTheme="minorEastAsia" w:cstheme="minorEastAsia"/>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155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Theme="minorEastAsia" w:hAnsiTheme="minorEastAsia" w:eastAsiaTheme="minorEastAsia" w:cstheme="minorEastAsia"/>
                <w:i w:val="0"/>
                <w:iCs w:val="0"/>
                <w:color w:val="000000"/>
                <w:sz w:val="21"/>
                <w:szCs w:val="21"/>
                <w:u w:val="none"/>
              </w:rPr>
            </w:pPr>
          </w:p>
        </w:tc>
        <w:tc>
          <w:tcPr>
            <w:tcW w:w="23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施工图</w:t>
            </w:r>
            <w:r>
              <w:rPr>
                <w:rFonts w:hint="eastAsia" w:asciiTheme="minorEastAsia" w:hAnsiTheme="minorEastAsia" w:cstheme="minorEastAsia"/>
                <w:i w:val="0"/>
                <w:iCs w:val="0"/>
                <w:color w:val="000000"/>
                <w:kern w:val="0"/>
                <w:sz w:val="21"/>
                <w:szCs w:val="21"/>
                <w:u w:val="none"/>
                <w:lang w:val="en-US" w:eastAsia="zh-CN" w:bidi="ar"/>
              </w:rPr>
              <w:t>评审</w:t>
            </w:r>
          </w:p>
        </w:tc>
        <w:tc>
          <w:tcPr>
            <w:tcW w:w="2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 xml:space="preserve">51897.30 </w:t>
            </w:r>
          </w:p>
        </w:tc>
        <w:tc>
          <w:tcPr>
            <w:tcW w:w="254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t>含设计变更审查、现场确认、参与技术协调等</w:t>
            </w:r>
          </w:p>
        </w:tc>
      </w:tr>
    </w:tbl>
    <w:p>
      <w:pPr>
        <w:pStyle w:val="9"/>
        <w:rPr>
          <w:rFonts w:hint="eastAsia" w:ascii="宋体" w:hAnsi="宋体" w:cs="宋体"/>
          <w:b/>
          <w:bCs/>
          <w:i w:val="0"/>
          <w:iCs/>
          <w:color w:val="auto"/>
          <w:kern w:val="2"/>
          <w:sz w:val="24"/>
          <w:szCs w:val="24"/>
          <w:highlight w:val="none"/>
          <w:u w:val="single"/>
          <w:lang w:val="en-US" w:eastAsia="zh-CN" w:bidi="ar-SA"/>
        </w:rPr>
      </w:pPr>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pPr>
        <w:pStyle w:val="10"/>
        <w:numPr>
          <w:ilvl w:val="0"/>
          <w:numId w:val="0"/>
        </w:numPr>
        <w:rPr>
          <w:rFonts w:hint="eastAsia"/>
          <w:sz w:val="24"/>
          <w:szCs w:val="24"/>
          <w:highlight w:val="none"/>
          <w:lang w:eastAsia="zh-CN"/>
        </w:rPr>
      </w:pPr>
      <w:r>
        <w:rPr>
          <w:rFonts w:hint="default" w:ascii="Wingdings" w:hAnsi="Wingdings" w:cs="Wingdings"/>
          <w:sz w:val="24"/>
          <w:szCs w:val="24"/>
          <w:highlight w:val="none"/>
        </w:rPr>
        <w:sym w:font="Wingdings" w:char="00FE"/>
      </w:r>
      <w:r>
        <w:rPr>
          <w:rFonts w:hint="eastAsia"/>
          <w:sz w:val="24"/>
          <w:szCs w:val="24"/>
          <w:highlight w:val="none"/>
          <w:lang w:eastAsia="zh-CN"/>
        </w:rPr>
        <w:t>不允许分包</w:t>
      </w:r>
    </w:p>
    <w:p>
      <w:pPr>
        <w:pStyle w:val="10"/>
        <w:numPr>
          <w:ilvl w:val="0"/>
          <w:numId w:val="0"/>
        </w:numPr>
        <w:rPr>
          <w:rFonts w:hint="eastAsia"/>
          <w:sz w:val="24"/>
          <w:szCs w:val="24"/>
          <w:highlight w:val="none"/>
          <w:lang w:eastAsia="zh-CN"/>
        </w:rPr>
      </w:pPr>
      <w:r>
        <w:rPr>
          <w:rFonts w:hint="default" w:ascii="Wingdings" w:hAnsi="Wingdings" w:cs="Wingdings"/>
          <w:sz w:val="24"/>
          <w:szCs w:val="24"/>
          <w:highlight w:val="none"/>
          <w:lang w:eastAsia="zh-CN"/>
        </w:rPr>
        <w:sym w:font="Wingdings" w:char="00A8"/>
      </w:r>
      <w:r>
        <w:rPr>
          <w:rFonts w:hint="eastAsia"/>
          <w:sz w:val="24"/>
          <w:szCs w:val="24"/>
          <w:highlight w:val="none"/>
          <w:lang w:eastAsia="zh-CN"/>
        </w:rPr>
        <w:t>允许分包，但必须符合以下要求：</w:t>
      </w:r>
    </w:p>
    <w:p>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bookmarkStart w:id="1" w:name="_GoBack"/>
      <w:bookmarkEnd w:id="1"/>
      <w:r>
        <w:rPr>
          <w:rFonts w:hint="default"/>
          <w:highlight w:val="none"/>
          <w:lang w:val="en-US" w:eastAsia="zh-CN"/>
        </w:rPr>
        <w:br w:type="page"/>
      </w:r>
    </w:p>
    <w:p>
      <w:pPr>
        <w:pStyle w:val="9"/>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pPr>
        <w:pStyle w:val="3"/>
        <w:spacing w:before="0" w:after="0" w:line="240" w:lineRule="auto"/>
        <w:rPr>
          <w:rFonts w:hint="eastAsia" w:asciiTheme="minorEastAsia" w:hAnsiTheme="minorEastAsia" w:eastAsiaTheme="minorEastAsia" w:cstheme="minorEastAsia"/>
          <w:i w:val="0"/>
          <w:iCs/>
          <w:color w:val="auto"/>
          <w:sz w:val="24"/>
          <w:szCs w:val="24"/>
          <w:highlight w:val="none"/>
        </w:rPr>
      </w:pPr>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p>
    <w:p>
      <w:pPr>
        <w:pStyle w:val="9"/>
        <w:rPr>
          <w:rFonts w:hint="eastAsia" w:asciiTheme="minorEastAsia" w:hAnsiTheme="minorEastAsia" w:eastAsiaTheme="minorEastAsia" w:cstheme="minorEastAsia"/>
          <w:i w:val="0"/>
          <w:iCs/>
          <w:color w:val="auto"/>
          <w:sz w:val="24"/>
          <w:szCs w:val="24"/>
          <w:highlight w:val="none"/>
        </w:rPr>
      </w:pPr>
    </w:p>
    <w:p>
      <w:pPr>
        <w:pStyle w:val="3"/>
        <w:spacing w:before="0" w:after="0" w:line="240" w:lineRule="auto"/>
        <w:rPr>
          <w:rFonts w:hint="eastAsia" w:asciiTheme="minorEastAsia" w:hAnsiTheme="minorEastAsia" w:eastAsiaTheme="minorEastAsia" w:cstheme="minorEastAsia"/>
          <w:i w:val="0"/>
          <w:iCs/>
          <w:color w:val="auto"/>
          <w:sz w:val="24"/>
          <w:szCs w:val="24"/>
          <w:highlight w:val="none"/>
        </w:rPr>
      </w:pPr>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p>
    <w:p>
      <w:pPr>
        <w:autoSpaceDE w:val="0"/>
        <w:autoSpaceDN w:val="0"/>
        <w:adjustRightInd w:val="0"/>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（一）满足南方电网公司基建管理制度、建设单位的质量、环境和职业健康安全管理体系文件、其他有关制度和规定。</w:t>
      </w:r>
    </w:p>
    <w:p>
      <w:pPr>
        <w:pStyle w:val="3"/>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（二）符合图纸及技术文件的要求（如有，详见招标文件附件）。</w:t>
      </w:r>
    </w:p>
    <w:p>
      <w:pPr>
        <w:rPr>
          <w:rFonts w:hint="eastAsia" w:ascii="宋体" w:hAnsi="宋体" w:eastAsia="宋体" w:cs="宋体"/>
          <w:color w:val="auto"/>
          <w:sz w:val="24"/>
          <w:szCs w:val="24"/>
          <w:highlight w:val="none"/>
          <w:u w:val="single"/>
          <w:vertAlign w:val="baseline"/>
          <w:lang w:val="en-US" w:eastAsia="zh-CN"/>
        </w:rPr>
      </w:pPr>
    </w:p>
    <w:p>
      <w:pPr>
        <w:pStyle w:val="9"/>
        <w:keepNext w:val="0"/>
        <w:keepLines w:val="0"/>
        <w:pageBreakBefore w:val="0"/>
        <w:widowControl w:val="0"/>
        <w:kinsoku/>
        <w:wordWrap/>
        <w:overflowPunct/>
        <w:topLinePunct w:val="0"/>
        <w:autoSpaceDE/>
        <w:autoSpaceDN/>
        <w:bidi w:val="0"/>
        <w:adjustRightInd/>
        <w:snapToGrid/>
        <w:spacing w:line="480" w:lineRule="atLeast"/>
        <w:textAlignment w:val="auto"/>
        <w:rPr>
          <w:rFonts w:hint="eastAsia" w:ascii="宋体" w:hAnsi="宋体" w:eastAsia="宋体" w:cs="宋体"/>
          <w:color w:val="auto"/>
          <w:sz w:val="24"/>
          <w:szCs w:val="24"/>
          <w:highlight w:val="none"/>
          <w:u w:val="single"/>
          <w:lang w:val="en-US" w:eastAsia="zh-CN"/>
        </w:rPr>
      </w:pPr>
    </w:p>
    <w:p>
      <w:pPr>
        <w:rPr>
          <w:highlight w:val="none"/>
        </w:rPr>
      </w:pPr>
    </w:p>
    <w:p>
      <w:pPr>
        <w:rPr>
          <w:highlight w:val="none"/>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EE20F8"/>
    <w:multiLevelType w:val="singleLevel"/>
    <w:tmpl w:val="EAEE20F8"/>
    <w:lvl w:ilvl="0" w:tentative="0">
      <w:start w:val="2"/>
      <w:numFmt w:val="chineseCounting"/>
      <w:suff w:val="nothing"/>
      <w:lvlText w:val="第%1部分."/>
      <w:lvlJc w:val="left"/>
      <w:rPr>
        <w:rFonts w:hint="eastAsia"/>
      </w:rPr>
    </w:lvl>
  </w:abstractNum>
  <w:abstractNum w:abstractNumId="1">
    <w:nsid w:val="0D7920FF"/>
    <w:multiLevelType w:val="singleLevel"/>
    <w:tmpl w:val="0D7920FF"/>
    <w:lvl w:ilvl="0" w:tentative="0">
      <w:start w:val="1"/>
      <w:numFmt w:val="chineseCounting"/>
      <w:suff w:val="nothing"/>
      <w:lvlText w:val="第%1部分."/>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lYzViOTg3MzA5ZmNlNTA4ZDdkNmFjYWRlNWJjNjYifQ=="/>
  </w:docVars>
  <w:rsids>
    <w:rsidRoot w:val="24F737D8"/>
    <w:rsid w:val="001270A5"/>
    <w:rsid w:val="007A4AD7"/>
    <w:rsid w:val="04A24F71"/>
    <w:rsid w:val="076F3B3B"/>
    <w:rsid w:val="07CA37DF"/>
    <w:rsid w:val="09F451AC"/>
    <w:rsid w:val="0A1E01F9"/>
    <w:rsid w:val="0B3F1FBB"/>
    <w:rsid w:val="0BC07002"/>
    <w:rsid w:val="0E2F4C02"/>
    <w:rsid w:val="0E3616E0"/>
    <w:rsid w:val="0E394169"/>
    <w:rsid w:val="0F027C76"/>
    <w:rsid w:val="0F81532F"/>
    <w:rsid w:val="107144D2"/>
    <w:rsid w:val="116419AD"/>
    <w:rsid w:val="11DF6CFE"/>
    <w:rsid w:val="13383335"/>
    <w:rsid w:val="14440D4B"/>
    <w:rsid w:val="14781EB9"/>
    <w:rsid w:val="14B666F3"/>
    <w:rsid w:val="15056A61"/>
    <w:rsid w:val="16F645C8"/>
    <w:rsid w:val="17722603"/>
    <w:rsid w:val="186254B6"/>
    <w:rsid w:val="18E57496"/>
    <w:rsid w:val="1992433F"/>
    <w:rsid w:val="1A386933"/>
    <w:rsid w:val="1A4F176B"/>
    <w:rsid w:val="1A993B83"/>
    <w:rsid w:val="1B663F82"/>
    <w:rsid w:val="1C0F7B2F"/>
    <w:rsid w:val="1C2D4629"/>
    <w:rsid w:val="1C43636C"/>
    <w:rsid w:val="1C8618B6"/>
    <w:rsid w:val="1D67166B"/>
    <w:rsid w:val="1D904223"/>
    <w:rsid w:val="1F653C49"/>
    <w:rsid w:val="1FBB53E2"/>
    <w:rsid w:val="1FDA4FD1"/>
    <w:rsid w:val="1FE6242C"/>
    <w:rsid w:val="1FF914D4"/>
    <w:rsid w:val="20735046"/>
    <w:rsid w:val="216F4D5B"/>
    <w:rsid w:val="21C11DC8"/>
    <w:rsid w:val="23B738BA"/>
    <w:rsid w:val="249663F5"/>
    <w:rsid w:val="24E67795"/>
    <w:rsid w:val="24F737D8"/>
    <w:rsid w:val="2525523D"/>
    <w:rsid w:val="265065FC"/>
    <w:rsid w:val="26EB3B6A"/>
    <w:rsid w:val="274D6DE4"/>
    <w:rsid w:val="291D5E51"/>
    <w:rsid w:val="2A0237C2"/>
    <w:rsid w:val="2A495A74"/>
    <w:rsid w:val="2BE07E0A"/>
    <w:rsid w:val="2CA17C08"/>
    <w:rsid w:val="2CE327BC"/>
    <w:rsid w:val="2DDF66E3"/>
    <w:rsid w:val="2FF65FF8"/>
    <w:rsid w:val="300D195C"/>
    <w:rsid w:val="30637DBE"/>
    <w:rsid w:val="30BF37B5"/>
    <w:rsid w:val="313B0851"/>
    <w:rsid w:val="31C955A9"/>
    <w:rsid w:val="33B200AF"/>
    <w:rsid w:val="33C75702"/>
    <w:rsid w:val="33DA0EE7"/>
    <w:rsid w:val="33E61BE2"/>
    <w:rsid w:val="361736AD"/>
    <w:rsid w:val="36D200CF"/>
    <w:rsid w:val="379951F8"/>
    <w:rsid w:val="38382DC3"/>
    <w:rsid w:val="38DE045C"/>
    <w:rsid w:val="3987396D"/>
    <w:rsid w:val="3B595AEE"/>
    <w:rsid w:val="3BB54B82"/>
    <w:rsid w:val="3BF24D81"/>
    <w:rsid w:val="3BFE7BEA"/>
    <w:rsid w:val="3C4750A3"/>
    <w:rsid w:val="3C4A35F1"/>
    <w:rsid w:val="40AF77D1"/>
    <w:rsid w:val="420455E6"/>
    <w:rsid w:val="42D33748"/>
    <w:rsid w:val="42E73C50"/>
    <w:rsid w:val="43004569"/>
    <w:rsid w:val="44982260"/>
    <w:rsid w:val="44D414C9"/>
    <w:rsid w:val="451737C4"/>
    <w:rsid w:val="46420CFB"/>
    <w:rsid w:val="46472D5E"/>
    <w:rsid w:val="47B3246E"/>
    <w:rsid w:val="495F1F9C"/>
    <w:rsid w:val="496A657E"/>
    <w:rsid w:val="49843C09"/>
    <w:rsid w:val="4A011C18"/>
    <w:rsid w:val="4A65737A"/>
    <w:rsid w:val="4A7964E5"/>
    <w:rsid w:val="4B213D41"/>
    <w:rsid w:val="4B3A1BDA"/>
    <w:rsid w:val="4BF83760"/>
    <w:rsid w:val="4C0C74F3"/>
    <w:rsid w:val="4C5B4768"/>
    <w:rsid w:val="4C8349B8"/>
    <w:rsid w:val="4DFE1C79"/>
    <w:rsid w:val="504766FD"/>
    <w:rsid w:val="513C2B96"/>
    <w:rsid w:val="546D3F92"/>
    <w:rsid w:val="552A0C96"/>
    <w:rsid w:val="55BB16B6"/>
    <w:rsid w:val="55C3156A"/>
    <w:rsid w:val="560A4CB8"/>
    <w:rsid w:val="56DA2F6E"/>
    <w:rsid w:val="5782183A"/>
    <w:rsid w:val="57BD355E"/>
    <w:rsid w:val="58D21C48"/>
    <w:rsid w:val="59DB70DF"/>
    <w:rsid w:val="5AD5108E"/>
    <w:rsid w:val="5B0320E2"/>
    <w:rsid w:val="5B8B11A7"/>
    <w:rsid w:val="5B9E2EC4"/>
    <w:rsid w:val="5CD10D7E"/>
    <w:rsid w:val="5DC7771A"/>
    <w:rsid w:val="5E71475D"/>
    <w:rsid w:val="60002310"/>
    <w:rsid w:val="608606DE"/>
    <w:rsid w:val="610E324A"/>
    <w:rsid w:val="61F31EFD"/>
    <w:rsid w:val="62C855CD"/>
    <w:rsid w:val="62F12707"/>
    <w:rsid w:val="63066BC7"/>
    <w:rsid w:val="63D0487B"/>
    <w:rsid w:val="642D788F"/>
    <w:rsid w:val="64672037"/>
    <w:rsid w:val="64911DA0"/>
    <w:rsid w:val="65945D8D"/>
    <w:rsid w:val="662D3D0A"/>
    <w:rsid w:val="66C35559"/>
    <w:rsid w:val="67D57489"/>
    <w:rsid w:val="68570F93"/>
    <w:rsid w:val="6A287B5E"/>
    <w:rsid w:val="6B303A1A"/>
    <w:rsid w:val="6C704794"/>
    <w:rsid w:val="6DAA2FDF"/>
    <w:rsid w:val="6DF95579"/>
    <w:rsid w:val="6E121228"/>
    <w:rsid w:val="70D1495F"/>
    <w:rsid w:val="70ED510D"/>
    <w:rsid w:val="712F63C0"/>
    <w:rsid w:val="72717CD1"/>
    <w:rsid w:val="743E1546"/>
    <w:rsid w:val="74614F7E"/>
    <w:rsid w:val="74695E39"/>
    <w:rsid w:val="754C6F3B"/>
    <w:rsid w:val="75B11AFF"/>
    <w:rsid w:val="75D32619"/>
    <w:rsid w:val="768D126A"/>
    <w:rsid w:val="780B6A75"/>
    <w:rsid w:val="79F83E18"/>
    <w:rsid w:val="7A3C3205"/>
    <w:rsid w:val="7BA03989"/>
    <w:rsid w:val="7CED7DC5"/>
    <w:rsid w:val="7D0F76D8"/>
    <w:rsid w:val="7E3420E0"/>
    <w:rsid w:val="7F1B3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2">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3">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hAnsi="Times New Roman" w:cs="Times New Roman"/>
      <w:kern w:val="0"/>
      <w:sz w:val="20"/>
      <w:szCs w:val="20"/>
    </w:rPr>
  </w:style>
  <w:style w:type="paragraph" w:styleId="5">
    <w:name w:val="annotation text"/>
    <w:basedOn w:val="1"/>
    <w:qFormat/>
    <w:uiPriority w:val="0"/>
    <w:pPr>
      <w:jc w:val="left"/>
    </w:pPr>
  </w:style>
  <w:style w:type="paragraph" w:styleId="6">
    <w:name w:val="Body Text"/>
    <w:basedOn w:val="1"/>
    <w:next w:val="7"/>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7">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8">
    <w:name w:val="Body Text Indent"/>
    <w:basedOn w:val="1"/>
    <w:qFormat/>
    <w:uiPriority w:val="0"/>
    <w:pPr>
      <w:spacing w:after="120"/>
      <w:ind w:left="420" w:leftChars="200"/>
    </w:pPr>
  </w:style>
  <w:style w:type="paragraph" w:styleId="9">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0">
    <w:name w:val="Body Text First Indent"/>
    <w:basedOn w:val="6"/>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目录 21"/>
    <w:basedOn w:val="1"/>
    <w:next w:val="1"/>
    <w:qFormat/>
    <w:uiPriority w:val="0"/>
    <w:pPr>
      <w:spacing w:before="100" w:beforeAutospacing="1" w:after="100" w:afterAutospacing="1"/>
      <w:ind w:left="420" w:leftChars="200"/>
    </w:pPr>
  </w:style>
  <w:style w:type="paragraph" w:customStyle="1" w:styleId="15">
    <w:name w:val="正文首行缩进1"/>
    <w:basedOn w:val="1"/>
    <w:qFormat/>
    <w:uiPriority w:val="0"/>
    <w:pPr>
      <w:spacing w:line="360" w:lineRule="auto"/>
      <w:ind w:firstLine="200" w:firstLineChars="200"/>
    </w:pPr>
    <w:rPr>
      <w:kern w:val="2"/>
      <w:sz w:val="24"/>
      <w:szCs w:val="24"/>
    </w:rPr>
  </w:style>
  <w:style w:type="character" w:customStyle="1" w:styleId="16">
    <w:name w:val="font11"/>
    <w:basedOn w:val="13"/>
    <w:qFormat/>
    <w:uiPriority w:val="0"/>
    <w:rPr>
      <w:rFonts w:hint="eastAsia" w:ascii="宋体" w:hAnsi="宋体" w:eastAsia="宋体" w:cs="宋体"/>
      <w:color w:val="000000"/>
      <w:sz w:val="22"/>
      <w:szCs w:val="22"/>
      <w:u w:val="none"/>
    </w:rPr>
  </w:style>
  <w:style w:type="character" w:customStyle="1" w:styleId="17">
    <w:name w:val="font41"/>
    <w:basedOn w:val="13"/>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1554</Words>
  <Characters>1697</Characters>
  <Lines>0</Lines>
  <Paragraphs>0</Paragraphs>
  <TotalTime>1</TotalTime>
  <ScaleCrop>false</ScaleCrop>
  <LinksUpToDate>false</LinksUpToDate>
  <CharactersWithSpaces>1718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chenyueming</cp:lastModifiedBy>
  <dcterms:modified xsi:type="dcterms:W3CDTF">2025-11-10T08:40:56Z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4585BC55D23D4F0CBD374BE10EE477A0</vt:lpwstr>
  </property>
</Properties>
</file>