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34ABB">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广州供电局2026-2027年输变电及小型基建工程检测技术服务项目</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5E812F1B">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7A9255B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246"/>
        <w:gridCol w:w="5787"/>
      </w:tblGrid>
      <w:tr w14:paraId="0CE20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top"/>
          </w:tcPr>
          <w:p w14:paraId="7536338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246" w:type="dxa"/>
            <w:noWrap w:val="0"/>
            <w:vAlign w:val="top"/>
          </w:tcPr>
          <w:p w14:paraId="78EFA68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787" w:type="dxa"/>
            <w:noWrap w:val="0"/>
            <w:vAlign w:val="top"/>
          </w:tcPr>
          <w:p w14:paraId="2D67C82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224C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3173ED6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246" w:type="dxa"/>
            <w:noWrap w:val="0"/>
            <w:vAlign w:val="center"/>
          </w:tcPr>
          <w:p w14:paraId="1E181DE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787" w:type="dxa"/>
            <w:noWrap w:val="0"/>
            <w:vAlign w:val="center"/>
          </w:tcPr>
          <w:p w14:paraId="1BD8491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05D2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16EF9D6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246" w:type="dxa"/>
            <w:noWrap w:val="0"/>
            <w:vAlign w:val="center"/>
          </w:tcPr>
          <w:p w14:paraId="0D58AA1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787" w:type="dxa"/>
            <w:noWrap w:val="0"/>
            <w:vAlign w:val="center"/>
          </w:tcPr>
          <w:p w14:paraId="0031360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关于下达广州供电局2025年管制业务固定资产投资计划的通知（广供电资〔2025〕3号），以及纳入本框架范围内的各电网基建项目对应本框架年度的固定资产投资计划。</w:t>
            </w:r>
          </w:p>
        </w:tc>
      </w:tr>
      <w:tr w14:paraId="69D1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15D39CA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246" w:type="dxa"/>
            <w:noWrap w:val="0"/>
            <w:vAlign w:val="center"/>
          </w:tcPr>
          <w:p w14:paraId="722AC1B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787" w:type="dxa"/>
            <w:noWrap w:val="0"/>
            <w:vAlign w:val="center"/>
          </w:tcPr>
          <w:p w14:paraId="0E8C81D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广东电网有限责任公司广州供电局</w:t>
            </w:r>
          </w:p>
        </w:tc>
      </w:tr>
      <w:tr w14:paraId="3A61F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6C1BD34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246" w:type="dxa"/>
            <w:noWrap w:val="0"/>
            <w:vAlign w:val="center"/>
          </w:tcPr>
          <w:p w14:paraId="72DD9A2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787" w:type="dxa"/>
            <w:noWrap w:val="0"/>
            <w:vAlign w:val="center"/>
          </w:tcPr>
          <w:p w14:paraId="54815E3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1FDC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 w:type="dxa"/>
            <w:noWrap w:val="0"/>
            <w:vAlign w:val="center"/>
          </w:tcPr>
          <w:p w14:paraId="6B4B4A7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246" w:type="dxa"/>
            <w:noWrap w:val="0"/>
            <w:vAlign w:val="center"/>
          </w:tcPr>
          <w:p w14:paraId="4313EBC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787" w:type="dxa"/>
            <w:noWrap w:val="0"/>
            <w:vAlign w:val="center"/>
          </w:tcPr>
          <w:p w14:paraId="7F7EC23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框架有效期：合同签订之日起至2027年12月31日。服务期：实际服务期以委托函上载明的时间为准。</w:t>
            </w:r>
          </w:p>
          <w:p w14:paraId="00570EC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p>
        </w:tc>
      </w:tr>
    </w:tbl>
    <w:p w14:paraId="18F4104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2" w:firstLineChars="200"/>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3352031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本次招标为广州供电局202</w:t>
      </w:r>
      <w:r>
        <w:rPr>
          <w:rFonts w:hint="eastAsia" w:ascii="宋体" w:hAnsi="宋体" w:cs="宋体"/>
          <w:b w:val="0"/>
          <w:bCs w:val="0"/>
          <w:i w:val="0"/>
          <w:iCs/>
          <w:color w:val="auto"/>
          <w:kern w:val="2"/>
          <w:sz w:val="24"/>
          <w:szCs w:val="24"/>
          <w:highlight w:val="none"/>
          <w:u w:val="single"/>
          <w:lang w:val="en-US" w:eastAsia="zh-CN" w:bidi="ar-SA"/>
        </w:rPr>
        <w:t>6</w:t>
      </w:r>
      <w:r>
        <w:rPr>
          <w:rFonts w:hint="eastAsia" w:ascii="宋体" w:hAnsi="宋体" w:eastAsia="宋体" w:cs="宋体"/>
          <w:b w:val="0"/>
          <w:bCs w:val="0"/>
          <w:i w:val="0"/>
          <w:iCs/>
          <w:color w:val="auto"/>
          <w:kern w:val="2"/>
          <w:sz w:val="24"/>
          <w:szCs w:val="24"/>
          <w:highlight w:val="none"/>
          <w:u w:val="single"/>
          <w:lang w:val="en-US" w:eastAsia="zh-CN" w:bidi="ar-SA"/>
        </w:rPr>
        <w:t>-202</w:t>
      </w:r>
      <w:r>
        <w:rPr>
          <w:rFonts w:hint="eastAsia" w:ascii="宋体" w:hAnsi="宋体" w:cs="宋体"/>
          <w:b w:val="0"/>
          <w:bCs w:val="0"/>
          <w:i w:val="0"/>
          <w:iCs/>
          <w:color w:val="auto"/>
          <w:kern w:val="2"/>
          <w:sz w:val="24"/>
          <w:szCs w:val="24"/>
          <w:highlight w:val="none"/>
          <w:u w:val="single"/>
          <w:lang w:val="en-US" w:eastAsia="zh-CN" w:bidi="ar-SA"/>
        </w:rPr>
        <w:t>7</w:t>
      </w:r>
      <w:r>
        <w:rPr>
          <w:rFonts w:hint="eastAsia" w:ascii="宋体" w:hAnsi="宋体" w:eastAsia="宋体" w:cs="宋体"/>
          <w:b w:val="0"/>
          <w:bCs w:val="0"/>
          <w:i w:val="0"/>
          <w:iCs/>
          <w:color w:val="auto"/>
          <w:kern w:val="2"/>
          <w:sz w:val="24"/>
          <w:szCs w:val="24"/>
          <w:highlight w:val="none"/>
          <w:u w:val="single"/>
          <w:lang w:val="en-US" w:eastAsia="zh-CN" w:bidi="ar-SA"/>
        </w:rPr>
        <w:t>年度投资计划内工程项目的</w:t>
      </w:r>
      <w:r>
        <w:rPr>
          <w:rFonts w:hint="eastAsia" w:ascii="宋体" w:hAnsi="宋体" w:eastAsia="宋体" w:cs="宋体"/>
          <w:b w:val="0"/>
          <w:bCs w:val="0"/>
          <w:i w:val="0"/>
          <w:iCs/>
          <w:strike w:val="0"/>
          <w:dstrike w:val="0"/>
          <w:color w:val="auto"/>
          <w:kern w:val="2"/>
          <w:sz w:val="24"/>
          <w:szCs w:val="24"/>
          <w:highlight w:val="none"/>
          <w:u w:val="single"/>
          <w:lang w:val="en-US" w:eastAsia="zh-CN" w:bidi="ar-SA"/>
        </w:rPr>
        <w:t>检测服务：包括</w:t>
      </w:r>
      <w:r>
        <w:rPr>
          <w:rFonts w:hint="eastAsia" w:ascii="宋体" w:hAnsi="宋体" w:eastAsia="宋体" w:cs="宋体"/>
          <w:b w:val="0"/>
          <w:bCs w:val="0"/>
          <w:i w:val="0"/>
          <w:iCs/>
          <w:color w:val="auto"/>
          <w:kern w:val="2"/>
          <w:sz w:val="24"/>
          <w:szCs w:val="24"/>
          <w:highlight w:val="none"/>
          <w:u w:val="single"/>
          <w:lang w:val="en-US" w:eastAsia="zh-CN" w:bidi="ar-SA"/>
        </w:rPr>
        <w:t>桩基础检测、锚杆检测、密实度检测、结构实体检测等基础检测；以及工程材料、构配件的检测。最终以招标人根据标包划分原则和招标结果出具的委托</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函</w:t>
      </w:r>
      <w:r>
        <w:rPr>
          <w:rFonts w:hint="eastAsia" w:ascii="宋体" w:hAnsi="宋体" w:eastAsia="宋体" w:cs="宋体"/>
          <w:b w:val="0"/>
          <w:bCs w:val="0"/>
          <w:i w:val="0"/>
          <w:iCs/>
          <w:color w:val="auto"/>
          <w:kern w:val="2"/>
          <w:sz w:val="24"/>
          <w:szCs w:val="24"/>
          <w:highlight w:val="none"/>
          <w:u w:val="single"/>
          <w:lang w:val="en-US" w:eastAsia="zh-CN" w:bidi="ar-SA"/>
        </w:rPr>
        <w:t>为准。</w:t>
      </w:r>
    </w:p>
    <w:p w14:paraId="26EAF773">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本项目分为4个标包，标包1分配份额为35%，标包2分配份额为30%，标包3分配份额为20%，标包4分配份额为15%。最终以招标人根据标包划分原则和招标结果出具的委托函为准。</w:t>
      </w:r>
    </w:p>
    <w:p w14:paraId="0C251491">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6D4BE1C3">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本次招标为广州供电局202</w:t>
      </w:r>
      <w:r>
        <w:rPr>
          <w:rFonts w:hint="eastAsia" w:ascii="宋体" w:hAnsi="宋体" w:cs="宋体"/>
          <w:b w:val="0"/>
          <w:bCs w:val="0"/>
          <w:i w:val="0"/>
          <w:iCs/>
          <w:color w:val="auto"/>
          <w:kern w:val="2"/>
          <w:sz w:val="24"/>
          <w:szCs w:val="24"/>
          <w:highlight w:val="none"/>
          <w:u w:val="single"/>
          <w:lang w:val="en-US" w:eastAsia="zh-CN" w:bidi="ar-SA"/>
        </w:rPr>
        <w:t>6</w:t>
      </w:r>
      <w:r>
        <w:rPr>
          <w:rFonts w:hint="eastAsia" w:ascii="宋体" w:hAnsi="宋体" w:eastAsia="宋体" w:cs="宋体"/>
          <w:b w:val="0"/>
          <w:bCs w:val="0"/>
          <w:i w:val="0"/>
          <w:iCs/>
          <w:color w:val="auto"/>
          <w:kern w:val="2"/>
          <w:sz w:val="24"/>
          <w:szCs w:val="24"/>
          <w:highlight w:val="none"/>
          <w:u w:val="single"/>
          <w:lang w:val="en-US" w:eastAsia="zh-CN" w:bidi="ar-SA"/>
        </w:rPr>
        <w:t>-202</w:t>
      </w:r>
      <w:r>
        <w:rPr>
          <w:rFonts w:hint="eastAsia" w:ascii="宋体" w:hAnsi="宋体" w:cs="宋体"/>
          <w:b w:val="0"/>
          <w:bCs w:val="0"/>
          <w:i w:val="0"/>
          <w:iCs/>
          <w:color w:val="auto"/>
          <w:kern w:val="2"/>
          <w:sz w:val="24"/>
          <w:szCs w:val="24"/>
          <w:highlight w:val="none"/>
          <w:u w:val="single"/>
          <w:lang w:val="en-US" w:eastAsia="zh-CN" w:bidi="ar-SA"/>
        </w:rPr>
        <w:t>7</w:t>
      </w:r>
      <w:r>
        <w:rPr>
          <w:rFonts w:hint="eastAsia" w:ascii="宋体" w:hAnsi="宋体" w:eastAsia="宋体" w:cs="宋体"/>
          <w:b w:val="0"/>
          <w:bCs w:val="0"/>
          <w:i w:val="0"/>
          <w:iCs/>
          <w:color w:val="auto"/>
          <w:kern w:val="2"/>
          <w:sz w:val="24"/>
          <w:szCs w:val="24"/>
          <w:highlight w:val="none"/>
          <w:u w:val="single"/>
          <w:lang w:val="en-US" w:eastAsia="zh-CN" w:bidi="ar-SA"/>
        </w:rPr>
        <w:t>年度投资计划内工程项目的检测服务：包括桩基础检测、锚杆检测、密实度检测、结构实体检测等基础检测；以及工程材料、构配件的检测。</w:t>
      </w:r>
    </w:p>
    <w:p w14:paraId="6BB0FBAE">
      <w:pPr>
        <w:pStyle w:val="2"/>
        <w:rPr>
          <w:rFonts w:hint="eastAsia" w:ascii="宋体" w:hAnsi="宋体" w:eastAsia="宋体" w:cs="宋体"/>
          <w:b w:val="0"/>
          <w:bCs w:val="0"/>
          <w:i w:val="0"/>
          <w:iCs/>
          <w:color w:val="auto"/>
          <w:kern w:val="2"/>
          <w:sz w:val="24"/>
          <w:szCs w:val="24"/>
          <w:highlight w:val="none"/>
          <w:u w:val="single"/>
          <w:lang w:val="en-US" w:eastAsia="zh-CN" w:bidi="ar-SA"/>
        </w:rPr>
      </w:pPr>
    </w:p>
    <w:p w14:paraId="18AC5712">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pPr w:leftFromText="180" w:rightFromText="180" w:vertAnchor="text" w:horzAnchor="page" w:tblpX="1352" w:tblpY="66"/>
        <w:tblOverlap w:val="never"/>
        <w:tblW w:w="931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2785"/>
        <w:gridCol w:w="1540"/>
        <w:gridCol w:w="1282"/>
        <w:gridCol w:w="1146"/>
        <w:gridCol w:w="1907"/>
      </w:tblGrid>
      <w:tr w14:paraId="5C526D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51" w:type="dxa"/>
            <w:tcBorders>
              <w:right w:val="single" w:color="000000" w:sz="4" w:space="0"/>
            </w:tcBorders>
            <w:shd w:val="clear" w:color="auto" w:fill="auto"/>
            <w:noWrap/>
            <w:vAlign w:val="center"/>
          </w:tcPr>
          <w:p w14:paraId="7AF363E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2785" w:type="dxa"/>
            <w:tcBorders>
              <w:left w:val="single" w:color="000000" w:sz="4" w:space="0"/>
              <w:right w:val="single" w:color="000000" w:sz="4" w:space="0"/>
            </w:tcBorders>
            <w:shd w:val="clear" w:color="auto" w:fill="auto"/>
            <w:noWrap/>
            <w:vAlign w:val="center"/>
          </w:tcPr>
          <w:p w14:paraId="6737B52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工程或费用名称</w:t>
            </w:r>
          </w:p>
        </w:tc>
        <w:tc>
          <w:tcPr>
            <w:tcW w:w="1540" w:type="dxa"/>
            <w:tcBorders>
              <w:left w:val="single" w:color="000000" w:sz="4" w:space="0"/>
              <w:right w:val="single" w:color="000000" w:sz="4" w:space="0"/>
            </w:tcBorders>
            <w:shd w:val="clear" w:color="auto" w:fill="auto"/>
            <w:noWrap/>
            <w:vAlign w:val="center"/>
          </w:tcPr>
          <w:p w14:paraId="7BF14928">
            <w:pPr>
              <w:keepNext w:val="0"/>
              <w:keepLines w:val="0"/>
              <w:widowControl/>
              <w:suppressLineNumbers w:val="0"/>
              <w:jc w:val="center"/>
              <w:textAlignment w:val="center"/>
              <w:rPr>
                <w:rFonts w:hint="default"/>
                <w:b/>
                <w:bCs/>
                <w:sz w:val="21"/>
                <w:szCs w:val="21"/>
                <w:highlight w:val="none"/>
                <w:lang w:val="en-US"/>
              </w:rPr>
            </w:pPr>
            <w:r>
              <w:rPr>
                <w:rFonts w:hint="eastAsia"/>
                <w:b/>
                <w:bCs/>
                <w:sz w:val="21"/>
                <w:szCs w:val="21"/>
                <w:highlight w:val="none"/>
                <w:lang w:val="en-US" w:eastAsia="zh-CN"/>
              </w:rPr>
              <w:t>预计发包金额</w:t>
            </w:r>
            <w:r>
              <w:rPr>
                <w:rFonts w:hint="eastAsia" w:hAnsi="宋体" w:cs="宋体"/>
                <w:b/>
                <w:bCs/>
                <w:i w:val="0"/>
                <w:iCs w:val="0"/>
                <w:color w:val="000000"/>
                <w:kern w:val="0"/>
                <w:sz w:val="21"/>
                <w:szCs w:val="21"/>
                <w:highlight w:val="none"/>
                <w:u w:val="none"/>
                <w:lang w:val="en-US" w:eastAsia="zh-CN" w:bidi="ar"/>
              </w:rPr>
              <w:t>（元）</w:t>
            </w:r>
          </w:p>
        </w:tc>
        <w:tc>
          <w:tcPr>
            <w:tcW w:w="1282" w:type="dxa"/>
            <w:tcBorders>
              <w:left w:val="single" w:color="000000" w:sz="4" w:space="0"/>
              <w:right w:val="single" w:color="000000" w:sz="4" w:space="0"/>
            </w:tcBorders>
            <w:shd w:val="clear" w:color="auto" w:fill="auto"/>
            <w:vAlign w:val="center"/>
          </w:tcPr>
          <w:p w14:paraId="6F9B007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投标下浮率</w:t>
            </w:r>
          </w:p>
        </w:tc>
        <w:tc>
          <w:tcPr>
            <w:tcW w:w="1146" w:type="dxa"/>
            <w:tcBorders>
              <w:left w:val="single" w:color="auto" w:sz="4" w:space="0"/>
              <w:bottom w:val="single" w:color="000000" w:sz="4" w:space="0"/>
              <w:right w:val="single" w:color="000000" w:sz="4" w:space="0"/>
            </w:tcBorders>
            <w:shd w:val="clear" w:color="auto" w:fill="auto"/>
            <w:noWrap/>
            <w:vAlign w:val="center"/>
          </w:tcPr>
          <w:p w14:paraId="0BA41B8F">
            <w:pPr>
              <w:keepNext w:val="0"/>
              <w:keepLines w:val="0"/>
              <w:widowControl/>
              <w:suppressLineNumbers w:val="0"/>
              <w:jc w:val="center"/>
              <w:textAlignment w:val="center"/>
              <w:rPr>
                <w:rFonts w:hint="eastAsia"/>
                <w:b/>
                <w:bCs/>
                <w:sz w:val="21"/>
                <w:szCs w:val="21"/>
                <w:highlight w:val="none"/>
                <w:lang w:val="en-US" w:eastAsia="zh-CN"/>
              </w:rPr>
            </w:pPr>
            <w:r>
              <w:rPr>
                <w:rFonts w:hint="eastAsia"/>
                <w:b/>
                <w:bCs/>
                <w:sz w:val="21"/>
                <w:szCs w:val="21"/>
                <w:highlight w:val="none"/>
                <w:lang w:val="en-US" w:eastAsia="zh-CN"/>
              </w:rPr>
              <w:t>报价金额</w:t>
            </w:r>
          </w:p>
          <w:p w14:paraId="62F2F68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hAnsi="宋体" w:cs="宋体"/>
                <w:b/>
                <w:bCs/>
                <w:i w:val="0"/>
                <w:iCs w:val="0"/>
                <w:color w:val="000000"/>
                <w:kern w:val="0"/>
                <w:sz w:val="21"/>
                <w:szCs w:val="21"/>
                <w:highlight w:val="none"/>
                <w:u w:val="none"/>
                <w:lang w:val="en-US" w:eastAsia="zh-CN" w:bidi="ar"/>
              </w:rPr>
              <w:t>（元）</w:t>
            </w:r>
          </w:p>
        </w:tc>
        <w:tc>
          <w:tcPr>
            <w:tcW w:w="1907" w:type="dxa"/>
            <w:tcBorders>
              <w:left w:val="single" w:color="auto" w:sz="4" w:space="0"/>
            </w:tcBorders>
            <w:shd w:val="clear" w:color="auto" w:fill="auto"/>
            <w:noWrap/>
            <w:vAlign w:val="center"/>
          </w:tcPr>
          <w:p w14:paraId="21882CA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  注</w:t>
            </w:r>
          </w:p>
        </w:tc>
      </w:tr>
      <w:tr w14:paraId="4289B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51" w:type="dxa"/>
            <w:tcBorders>
              <w:top w:val="single" w:color="000000" w:sz="4" w:space="0"/>
              <w:bottom w:val="single" w:color="000000" w:sz="4" w:space="0"/>
              <w:right w:val="single" w:color="000000" w:sz="4" w:space="0"/>
            </w:tcBorders>
            <w:shd w:val="clear" w:color="auto" w:fill="auto"/>
            <w:noWrap/>
            <w:vAlign w:val="center"/>
          </w:tcPr>
          <w:p w14:paraId="3F000906">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1</w:t>
            </w:r>
          </w:p>
        </w:tc>
        <w:tc>
          <w:tcPr>
            <w:tcW w:w="2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87881">
            <w:pPr>
              <w:keepNext w:val="0"/>
              <w:keepLines w:val="0"/>
              <w:widowControl/>
              <w:suppressLineNumbers w:val="0"/>
              <w:jc w:val="left"/>
              <w:textAlignment w:val="center"/>
              <w:rPr>
                <w:rFonts w:hint="default" w:ascii="宋体" w:hAnsi="宋体" w:eastAsia="宋体" w:cs="宋体"/>
                <w:i w:val="0"/>
                <w:iCs w:val="0"/>
                <w:color w:val="auto"/>
                <w:kern w:val="2"/>
                <w:sz w:val="21"/>
                <w:szCs w:val="21"/>
                <w:highlight w:val="none"/>
                <w:u w:val="none"/>
                <w:lang w:val="en-US" w:eastAsia="zh-CN" w:bidi="ar-SA"/>
              </w:rPr>
            </w:pPr>
            <w:r>
              <w:rPr>
                <w:rFonts w:hint="eastAsia" w:ascii="宋体" w:hAnsi="宋体" w:cs="宋体"/>
                <w:i w:val="0"/>
                <w:iCs w:val="0"/>
                <w:color w:val="auto"/>
                <w:kern w:val="0"/>
                <w:sz w:val="21"/>
                <w:szCs w:val="21"/>
                <w:highlight w:val="none"/>
                <w:u w:val="none"/>
                <w:lang w:val="en-US" w:eastAsia="zh-CN" w:bidi="ar"/>
              </w:rPr>
              <w:t>标包1.</w:t>
            </w:r>
            <w:r>
              <w:rPr>
                <w:rFonts w:hint="eastAsia" w:ascii="宋体" w:hAnsi="宋体" w:eastAsia="宋体" w:cs="宋体"/>
                <w:i w:val="0"/>
                <w:iCs w:val="0"/>
                <w:color w:val="auto"/>
                <w:kern w:val="0"/>
                <w:sz w:val="21"/>
                <w:szCs w:val="21"/>
                <w:highlight w:val="none"/>
                <w:u w:val="none"/>
                <w:lang w:val="en-US" w:eastAsia="zh-CN" w:bidi="ar"/>
              </w:rPr>
              <w:t>广州供电局2026-2027年输变电及小型基建工程检测技术服务</w:t>
            </w:r>
            <w:r>
              <w:rPr>
                <w:rFonts w:hint="eastAsia" w:ascii="宋体" w:hAnsi="宋体" w:cs="宋体"/>
                <w:i w:val="0"/>
                <w:iCs w:val="0"/>
                <w:color w:val="auto"/>
                <w:kern w:val="0"/>
                <w:sz w:val="21"/>
                <w:szCs w:val="21"/>
                <w:highlight w:val="none"/>
                <w:u w:val="none"/>
                <w:lang w:val="en-US" w:eastAsia="zh-CN" w:bidi="ar"/>
              </w:rPr>
              <w:t>项目</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B3F97">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仿宋" w:hAnsi="仿宋" w:eastAsia="仿宋" w:cs="仿宋"/>
                <w:b w:val="0"/>
                <w:bCs w:val="0"/>
                <w:i w:val="0"/>
                <w:color w:val="auto"/>
                <w:kern w:val="0"/>
                <w:sz w:val="21"/>
                <w:szCs w:val="21"/>
                <w:highlight w:val="none"/>
                <w:u w:val="none"/>
                <w:lang w:val="en-US" w:eastAsia="zh-CN" w:bidi="ar"/>
              </w:rPr>
              <w:t>9100000</w:t>
            </w:r>
          </w:p>
        </w:tc>
        <w:tc>
          <w:tcPr>
            <w:tcW w:w="1282" w:type="dxa"/>
            <w:vMerge w:val="restart"/>
            <w:tcBorders>
              <w:top w:val="single" w:color="000000" w:sz="4" w:space="0"/>
              <w:left w:val="single" w:color="000000" w:sz="4" w:space="0"/>
              <w:right w:val="single" w:color="000000" w:sz="4" w:space="0"/>
            </w:tcBorders>
            <w:shd w:val="clear" w:color="auto" w:fill="auto"/>
            <w:vAlign w:val="center"/>
          </w:tcPr>
          <w:p w14:paraId="108CC625">
            <w:pPr>
              <w:jc w:val="center"/>
              <w:rPr>
                <w:rFonts w:hint="eastAsia" w:ascii="宋体" w:hAnsi="宋体" w:cs="宋体"/>
                <w:i w:val="0"/>
                <w:iCs w:val="0"/>
                <w:color w:val="000000"/>
                <w:kern w:val="0"/>
                <w:sz w:val="21"/>
                <w:szCs w:val="21"/>
                <w:highlight w:val="none"/>
                <w:u w:val="single"/>
                <w:lang w:val="en-US" w:eastAsia="zh-CN" w:bidi="ar"/>
              </w:rPr>
            </w:pPr>
            <w:r>
              <w:rPr>
                <w:rFonts w:hint="eastAsia" w:ascii="宋体" w:hAnsi="宋体" w:cs="宋体"/>
                <w:i w:val="0"/>
                <w:iCs w:val="0"/>
                <w:color w:val="000000"/>
                <w:kern w:val="0"/>
                <w:sz w:val="21"/>
                <w:szCs w:val="21"/>
                <w:highlight w:val="none"/>
                <w:u w:val="single"/>
                <w:lang w:val="en-US" w:eastAsia="zh-CN" w:bidi="ar"/>
              </w:rPr>
              <w:t xml:space="preserve">   </w:t>
            </w:r>
            <w:r>
              <w:rPr>
                <w:rFonts w:hint="eastAsia" w:ascii="宋体" w:hAnsi="宋体" w:eastAsia="宋体" w:cs="宋体"/>
                <w:i w:val="0"/>
                <w:iCs w:val="0"/>
                <w:color w:val="000000"/>
                <w:kern w:val="0"/>
                <w:sz w:val="21"/>
                <w:szCs w:val="21"/>
                <w:highlight w:val="none"/>
                <w:u w:val="none"/>
                <w:lang w:val="en-US" w:eastAsia="zh-CN" w:bidi="ar"/>
              </w:rPr>
              <w:t>%</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FE721">
            <w:pPr>
              <w:jc w:val="center"/>
              <w:rPr>
                <w:rFonts w:hint="eastAsia" w:ascii="宋体" w:hAnsi="宋体" w:eastAsia="宋体" w:cs="宋体"/>
                <w:i w:val="0"/>
                <w:iCs w:val="0"/>
                <w:color w:val="000000"/>
                <w:sz w:val="21"/>
                <w:szCs w:val="21"/>
                <w:highlight w:val="none"/>
                <w:u w:val="none"/>
              </w:rPr>
            </w:pPr>
          </w:p>
        </w:tc>
        <w:tc>
          <w:tcPr>
            <w:tcW w:w="1907" w:type="dxa"/>
            <w:tcBorders>
              <w:top w:val="single" w:color="000000" w:sz="4" w:space="0"/>
              <w:left w:val="single" w:color="000000" w:sz="4" w:space="0"/>
              <w:bottom w:val="single" w:color="000000" w:sz="4" w:space="0"/>
            </w:tcBorders>
            <w:shd w:val="clear" w:color="auto" w:fill="auto"/>
            <w:noWrap/>
            <w:vAlign w:val="center"/>
          </w:tcPr>
          <w:p w14:paraId="1CBE5941">
            <w:pPr>
              <w:jc w:val="center"/>
              <w:rPr>
                <w:rFonts w:hint="eastAsia"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按费用标准文件报下浮率。</w:t>
            </w:r>
          </w:p>
        </w:tc>
      </w:tr>
      <w:tr w14:paraId="484CDE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51" w:type="dxa"/>
            <w:tcBorders>
              <w:top w:val="single" w:color="000000" w:sz="4" w:space="0"/>
              <w:bottom w:val="single" w:color="000000" w:sz="4" w:space="0"/>
              <w:right w:val="single" w:color="000000" w:sz="4" w:space="0"/>
            </w:tcBorders>
            <w:shd w:val="clear" w:color="auto" w:fill="auto"/>
            <w:noWrap/>
            <w:vAlign w:val="center"/>
          </w:tcPr>
          <w:p w14:paraId="37B72B1D">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2</w:t>
            </w:r>
          </w:p>
        </w:tc>
        <w:tc>
          <w:tcPr>
            <w:tcW w:w="2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CD2D9">
            <w:pPr>
              <w:keepNext w:val="0"/>
              <w:keepLines w:val="0"/>
              <w:widowControl/>
              <w:suppressLineNumbers w:val="0"/>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cs="宋体"/>
                <w:i w:val="0"/>
                <w:iCs w:val="0"/>
                <w:color w:val="auto"/>
                <w:kern w:val="0"/>
                <w:sz w:val="21"/>
                <w:szCs w:val="21"/>
                <w:highlight w:val="none"/>
                <w:u w:val="none"/>
                <w:lang w:val="en-US" w:eastAsia="zh-CN" w:bidi="ar"/>
              </w:rPr>
              <w:t>标包2.</w:t>
            </w:r>
            <w:r>
              <w:rPr>
                <w:rFonts w:hint="eastAsia" w:ascii="宋体" w:hAnsi="宋体" w:eastAsia="宋体" w:cs="宋体"/>
                <w:i w:val="0"/>
                <w:iCs w:val="0"/>
                <w:color w:val="auto"/>
                <w:kern w:val="0"/>
                <w:sz w:val="21"/>
                <w:szCs w:val="21"/>
                <w:highlight w:val="none"/>
                <w:u w:val="none"/>
                <w:lang w:val="en-US" w:eastAsia="zh-CN" w:bidi="ar"/>
              </w:rPr>
              <w:t>广州供电局2026-2027年输变电及小型基建工程检测技术服务</w:t>
            </w:r>
            <w:r>
              <w:rPr>
                <w:rFonts w:hint="eastAsia" w:ascii="宋体" w:hAnsi="宋体" w:cs="宋体"/>
                <w:i w:val="0"/>
                <w:iCs w:val="0"/>
                <w:color w:val="auto"/>
                <w:kern w:val="0"/>
                <w:sz w:val="21"/>
                <w:szCs w:val="21"/>
                <w:highlight w:val="none"/>
                <w:u w:val="none"/>
                <w:lang w:val="en-US" w:eastAsia="zh-CN" w:bidi="ar"/>
              </w:rPr>
              <w:t>项目</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03C64">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仿宋" w:hAnsi="仿宋" w:eastAsia="仿宋" w:cs="仿宋"/>
                <w:b w:val="0"/>
                <w:bCs w:val="0"/>
                <w:i w:val="0"/>
                <w:color w:val="auto"/>
                <w:kern w:val="0"/>
                <w:sz w:val="21"/>
                <w:szCs w:val="21"/>
                <w:highlight w:val="none"/>
                <w:u w:val="none"/>
                <w:lang w:val="en-US" w:eastAsia="zh-CN" w:bidi="ar"/>
              </w:rPr>
              <w:t>7800000</w:t>
            </w:r>
          </w:p>
        </w:tc>
        <w:tc>
          <w:tcPr>
            <w:tcW w:w="1282" w:type="dxa"/>
            <w:vMerge w:val="continue"/>
            <w:tcBorders>
              <w:left w:val="single" w:color="000000" w:sz="4" w:space="0"/>
              <w:right w:val="single" w:color="000000" w:sz="4" w:space="0"/>
            </w:tcBorders>
            <w:shd w:val="clear" w:color="auto" w:fill="auto"/>
            <w:vAlign w:val="center"/>
          </w:tcPr>
          <w:p w14:paraId="5B938271">
            <w:pPr>
              <w:jc w:val="center"/>
              <w:rPr>
                <w:rFonts w:hint="eastAsia" w:ascii="宋体" w:hAnsi="宋体" w:cs="宋体"/>
                <w:i w:val="0"/>
                <w:iCs w:val="0"/>
                <w:color w:val="000000"/>
                <w:kern w:val="0"/>
                <w:sz w:val="21"/>
                <w:szCs w:val="21"/>
                <w:highlight w:val="none"/>
                <w:u w:val="single"/>
                <w:lang w:val="en-US" w:eastAsia="zh-CN" w:bidi="ar"/>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C6334">
            <w:pPr>
              <w:jc w:val="center"/>
              <w:rPr>
                <w:rFonts w:hint="eastAsia" w:ascii="宋体" w:hAnsi="宋体" w:eastAsia="宋体" w:cs="宋体"/>
                <w:i w:val="0"/>
                <w:iCs w:val="0"/>
                <w:color w:val="000000"/>
                <w:sz w:val="21"/>
                <w:szCs w:val="21"/>
                <w:highlight w:val="none"/>
                <w:u w:val="none"/>
              </w:rPr>
            </w:pPr>
          </w:p>
        </w:tc>
        <w:tc>
          <w:tcPr>
            <w:tcW w:w="1907" w:type="dxa"/>
            <w:tcBorders>
              <w:top w:val="single" w:color="000000" w:sz="4" w:space="0"/>
              <w:left w:val="single" w:color="000000" w:sz="4" w:space="0"/>
              <w:bottom w:val="single" w:color="000000" w:sz="4" w:space="0"/>
            </w:tcBorders>
            <w:shd w:val="clear" w:color="auto" w:fill="auto"/>
            <w:noWrap/>
            <w:vAlign w:val="center"/>
          </w:tcPr>
          <w:p w14:paraId="157EAF21">
            <w:pPr>
              <w:jc w:val="center"/>
              <w:rPr>
                <w:rFonts w:hint="eastAsia"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按费用标准文件报下浮率。</w:t>
            </w:r>
          </w:p>
        </w:tc>
      </w:tr>
      <w:tr w14:paraId="6097C5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51" w:type="dxa"/>
            <w:tcBorders>
              <w:top w:val="single" w:color="000000" w:sz="4" w:space="0"/>
              <w:bottom w:val="single" w:color="000000" w:sz="4" w:space="0"/>
              <w:right w:val="single" w:color="000000" w:sz="4" w:space="0"/>
            </w:tcBorders>
            <w:shd w:val="clear" w:color="auto" w:fill="auto"/>
            <w:noWrap/>
            <w:vAlign w:val="center"/>
          </w:tcPr>
          <w:p w14:paraId="054C96BF">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3</w:t>
            </w:r>
          </w:p>
        </w:tc>
        <w:tc>
          <w:tcPr>
            <w:tcW w:w="2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1970B">
            <w:pPr>
              <w:keepNext w:val="0"/>
              <w:keepLines w:val="0"/>
              <w:widowControl/>
              <w:suppressLineNumbers w:val="0"/>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cs="宋体"/>
                <w:i w:val="0"/>
                <w:iCs w:val="0"/>
                <w:color w:val="auto"/>
                <w:kern w:val="0"/>
                <w:sz w:val="21"/>
                <w:szCs w:val="21"/>
                <w:highlight w:val="none"/>
                <w:u w:val="none"/>
                <w:lang w:val="en-US" w:eastAsia="zh-CN" w:bidi="ar"/>
              </w:rPr>
              <w:t>标包3.</w:t>
            </w:r>
            <w:r>
              <w:rPr>
                <w:rFonts w:hint="eastAsia" w:ascii="宋体" w:hAnsi="宋体" w:eastAsia="宋体" w:cs="宋体"/>
                <w:i w:val="0"/>
                <w:iCs w:val="0"/>
                <w:color w:val="auto"/>
                <w:kern w:val="0"/>
                <w:sz w:val="21"/>
                <w:szCs w:val="21"/>
                <w:highlight w:val="none"/>
                <w:u w:val="none"/>
                <w:lang w:val="en-US" w:eastAsia="zh-CN" w:bidi="ar"/>
              </w:rPr>
              <w:t>广州供电局2026-2027年输变电及小型基建工程检测技术服务</w:t>
            </w:r>
            <w:r>
              <w:rPr>
                <w:rFonts w:hint="eastAsia" w:ascii="宋体" w:hAnsi="宋体" w:cs="宋体"/>
                <w:i w:val="0"/>
                <w:iCs w:val="0"/>
                <w:color w:val="auto"/>
                <w:kern w:val="0"/>
                <w:sz w:val="21"/>
                <w:szCs w:val="21"/>
                <w:highlight w:val="none"/>
                <w:u w:val="none"/>
                <w:lang w:val="en-US" w:eastAsia="zh-CN" w:bidi="ar"/>
              </w:rPr>
              <w:t>项目</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C032D">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仿宋" w:hAnsi="仿宋" w:eastAsia="仿宋" w:cs="仿宋"/>
                <w:b w:val="0"/>
                <w:bCs w:val="0"/>
                <w:i w:val="0"/>
                <w:color w:val="auto"/>
                <w:kern w:val="0"/>
                <w:sz w:val="21"/>
                <w:szCs w:val="21"/>
                <w:highlight w:val="none"/>
                <w:u w:val="none"/>
                <w:lang w:val="en-US" w:eastAsia="zh-CN" w:bidi="ar"/>
              </w:rPr>
              <w:t>5200000</w:t>
            </w:r>
          </w:p>
        </w:tc>
        <w:tc>
          <w:tcPr>
            <w:tcW w:w="1282" w:type="dxa"/>
            <w:vMerge w:val="continue"/>
            <w:tcBorders>
              <w:left w:val="single" w:color="000000" w:sz="4" w:space="0"/>
              <w:right w:val="single" w:color="000000" w:sz="4" w:space="0"/>
            </w:tcBorders>
            <w:shd w:val="clear" w:color="auto" w:fill="auto"/>
            <w:vAlign w:val="center"/>
          </w:tcPr>
          <w:p w14:paraId="58638BC7">
            <w:pPr>
              <w:jc w:val="center"/>
              <w:rPr>
                <w:rFonts w:hint="eastAsia" w:ascii="宋体" w:hAnsi="宋体" w:cs="宋体"/>
                <w:i w:val="0"/>
                <w:iCs w:val="0"/>
                <w:color w:val="000000"/>
                <w:kern w:val="0"/>
                <w:sz w:val="21"/>
                <w:szCs w:val="21"/>
                <w:highlight w:val="none"/>
                <w:u w:val="single"/>
                <w:lang w:val="en-US" w:eastAsia="zh-CN" w:bidi="ar"/>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DF3E">
            <w:pPr>
              <w:jc w:val="center"/>
              <w:rPr>
                <w:rFonts w:hint="eastAsia" w:ascii="宋体" w:hAnsi="宋体" w:eastAsia="宋体" w:cs="宋体"/>
                <w:i w:val="0"/>
                <w:iCs w:val="0"/>
                <w:color w:val="000000"/>
                <w:sz w:val="21"/>
                <w:szCs w:val="21"/>
                <w:highlight w:val="none"/>
                <w:u w:val="none"/>
              </w:rPr>
            </w:pPr>
          </w:p>
        </w:tc>
        <w:tc>
          <w:tcPr>
            <w:tcW w:w="1907" w:type="dxa"/>
            <w:tcBorders>
              <w:top w:val="single" w:color="000000" w:sz="4" w:space="0"/>
              <w:left w:val="single" w:color="000000" w:sz="4" w:space="0"/>
              <w:bottom w:val="single" w:color="000000" w:sz="4" w:space="0"/>
            </w:tcBorders>
            <w:shd w:val="clear" w:color="auto" w:fill="auto"/>
            <w:noWrap/>
            <w:vAlign w:val="center"/>
          </w:tcPr>
          <w:p w14:paraId="7819C28D">
            <w:pPr>
              <w:jc w:val="center"/>
              <w:rPr>
                <w:rFonts w:hint="eastAsia"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按费用标准文件报下浮率。</w:t>
            </w:r>
          </w:p>
        </w:tc>
      </w:tr>
      <w:tr w14:paraId="449B25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651" w:type="dxa"/>
            <w:tcBorders>
              <w:top w:val="single" w:color="000000" w:sz="4" w:space="0"/>
              <w:right w:val="single" w:color="000000" w:sz="4" w:space="0"/>
            </w:tcBorders>
            <w:shd w:val="clear" w:color="auto" w:fill="auto"/>
            <w:noWrap/>
            <w:vAlign w:val="center"/>
          </w:tcPr>
          <w:p w14:paraId="7799E5ED">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4</w:t>
            </w:r>
          </w:p>
        </w:tc>
        <w:tc>
          <w:tcPr>
            <w:tcW w:w="2785" w:type="dxa"/>
            <w:tcBorders>
              <w:top w:val="single" w:color="000000" w:sz="4" w:space="0"/>
              <w:left w:val="single" w:color="000000" w:sz="4" w:space="0"/>
              <w:right w:val="single" w:color="000000" w:sz="4" w:space="0"/>
            </w:tcBorders>
            <w:shd w:val="clear" w:color="auto" w:fill="auto"/>
            <w:noWrap/>
            <w:vAlign w:val="center"/>
          </w:tcPr>
          <w:p w14:paraId="348BDB96">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标包4.</w:t>
            </w:r>
            <w:r>
              <w:rPr>
                <w:rFonts w:hint="eastAsia" w:ascii="宋体" w:hAnsi="宋体" w:eastAsia="宋体" w:cs="宋体"/>
                <w:i w:val="0"/>
                <w:iCs w:val="0"/>
                <w:color w:val="auto"/>
                <w:kern w:val="0"/>
                <w:sz w:val="21"/>
                <w:szCs w:val="21"/>
                <w:highlight w:val="none"/>
                <w:u w:val="none"/>
                <w:lang w:val="en-US" w:eastAsia="zh-CN" w:bidi="ar"/>
              </w:rPr>
              <w:t>广州供电局2026-2027年输变电及小型基建工程检测技术服务</w:t>
            </w:r>
            <w:r>
              <w:rPr>
                <w:rFonts w:hint="eastAsia" w:ascii="宋体" w:hAnsi="宋体" w:cs="宋体"/>
                <w:i w:val="0"/>
                <w:iCs w:val="0"/>
                <w:color w:val="auto"/>
                <w:kern w:val="0"/>
                <w:sz w:val="21"/>
                <w:szCs w:val="21"/>
                <w:highlight w:val="none"/>
                <w:u w:val="none"/>
                <w:lang w:val="en-US" w:eastAsia="zh-CN" w:bidi="ar"/>
              </w:rPr>
              <w:t>项目</w:t>
            </w:r>
          </w:p>
        </w:tc>
        <w:tc>
          <w:tcPr>
            <w:tcW w:w="1540" w:type="dxa"/>
            <w:tcBorders>
              <w:top w:val="single" w:color="000000" w:sz="4" w:space="0"/>
              <w:left w:val="single" w:color="000000" w:sz="4" w:space="0"/>
              <w:right w:val="single" w:color="000000" w:sz="4" w:space="0"/>
            </w:tcBorders>
            <w:shd w:val="clear" w:color="auto" w:fill="auto"/>
            <w:noWrap/>
            <w:vAlign w:val="center"/>
          </w:tcPr>
          <w:p w14:paraId="6A87DCAF">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仿宋" w:hAnsi="仿宋" w:eastAsia="仿宋" w:cs="仿宋"/>
                <w:b w:val="0"/>
                <w:bCs w:val="0"/>
                <w:i w:val="0"/>
                <w:color w:val="auto"/>
                <w:kern w:val="0"/>
                <w:sz w:val="21"/>
                <w:szCs w:val="21"/>
                <w:highlight w:val="none"/>
                <w:u w:val="none"/>
                <w:lang w:val="en-US" w:eastAsia="zh-CN" w:bidi="ar"/>
              </w:rPr>
              <w:t>3900000</w:t>
            </w:r>
          </w:p>
        </w:tc>
        <w:tc>
          <w:tcPr>
            <w:tcW w:w="1282" w:type="dxa"/>
            <w:vMerge w:val="continue"/>
            <w:tcBorders>
              <w:left w:val="single" w:color="000000" w:sz="4" w:space="0"/>
              <w:right w:val="single" w:color="000000" w:sz="4" w:space="0"/>
            </w:tcBorders>
            <w:shd w:val="clear" w:color="auto" w:fill="auto"/>
            <w:vAlign w:val="center"/>
          </w:tcPr>
          <w:p w14:paraId="22ADD7A1">
            <w:pPr>
              <w:jc w:val="center"/>
              <w:rPr>
                <w:rFonts w:hint="eastAsia" w:ascii="宋体" w:hAnsi="宋体" w:cs="宋体"/>
                <w:i w:val="0"/>
                <w:iCs w:val="0"/>
                <w:color w:val="000000"/>
                <w:kern w:val="0"/>
                <w:sz w:val="21"/>
                <w:szCs w:val="21"/>
                <w:highlight w:val="none"/>
                <w:u w:val="single"/>
                <w:lang w:val="en-US" w:eastAsia="zh-CN" w:bidi="ar"/>
              </w:rPr>
            </w:pPr>
          </w:p>
        </w:tc>
        <w:tc>
          <w:tcPr>
            <w:tcW w:w="1146" w:type="dxa"/>
            <w:tcBorders>
              <w:top w:val="single" w:color="000000" w:sz="4" w:space="0"/>
              <w:left w:val="single" w:color="000000" w:sz="4" w:space="0"/>
              <w:right w:val="single" w:color="000000" w:sz="4" w:space="0"/>
            </w:tcBorders>
            <w:shd w:val="clear" w:color="auto" w:fill="auto"/>
            <w:noWrap/>
            <w:vAlign w:val="center"/>
          </w:tcPr>
          <w:p w14:paraId="6140AFA0">
            <w:pPr>
              <w:jc w:val="center"/>
              <w:rPr>
                <w:rFonts w:hint="eastAsia" w:ascii="宋体" w:hAnsi="宋体" w:eastAsia="宋体" w:cs="宋体"/>
                <w:i w:val="0"/>
                <w:iCs w:val="0"/>
                <w:color w:val="000000"/>
                <w:sz w:val="21"/>
                <w:szCs w:val="21"/>
                <w:highlight w:val="none"/>
                <w:u w:val="none"/>
              </w:rPr>
            </w:pPr>
          </w:p>
        </w:tc>
        <w:tc>
          <w:tcPr>
            <w:tcW w:w="1907" w:type="dxa"/>
            <w:tcBorders>
              <w:top w:val="single" w:color="000000" w:sz="4" w:space="0"/>
              <w:left w:val="single" w:color="000000" w:sz="4" w:space="0"/>
            </w:tcBorders>
            <w:shd w:val="clear" w:color="auto" w:fill="auto"/>
            <w:noWrap/>
            <w:vAlign w:val="center"/>
          </w:tcPr>
          <w:p w14:paraId="53AD1164">
            <w:pPr>
              <w:jc w:val="center"/>
              <w:rPr>
                <w:rFonts w:hint="eastAsia"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按费用标准文件报下浮率。</w:t>
            </w:r>
          </w:p>
        </w:tc>
      </w:tr>
    </w:tbl>
    <w:p w14:paraId="6D8D30FE">
      <w:pPr>
        <w:pStyle w:val="7"/>
        <w:ind w:firstLine="240" w:firstLineChars="100"/>
        <w:rPr>
          <w:rFonts w:hint="eastAsia" w:ascii="宋体" w:hAnsi="宋体" w:eastAsia="宋体" w:cs="宋体"/>
          <w:color w:val="auto"/>
          <w:kern w:val="2"/>
          <w:sz w:val="24"/>
          <w:szCs w:val="24"/>
          <w:highlight w:val="none"/>
          <w:u w:val="none"/>
          <w:lang w:val="en-US" w:eastAsia="zh-CN" w:bidi="ar-SA"/>
        </w:rPr>
      </w:pPr>
    </w:p>
    <w:p w14:paraId="5B18938E">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6354C523">
      <w:pPr>
        <w:pStyle w:val="8"/>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按下浮率报价（保留两位小数，如8.88%），同时填报投标报价（投标报价=预计发包价×（1-投标下浮率），四舍五入保留两位小数）。当投标报价与投标下浮率计算结果不一致时，以投标下浮率为准，按上述公式修订投标报价。</w:t>
      </w:r>
    </w:p>
    <w:p w14:paraId="7B4C3E20">
      <w:pPr>
        <w:pStyle w:val="8"/>
        <w:numPr>
          <w:ilvl w:val="0"/>
          <w:numId w:val="0"/>
        </w:numPr>
        <w:shd w:val="clear" w:color="auto" w:fill="auto"/>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2.投标</w:t>
      </w:r>
      <w:r>
        <w:rPr>
          <w:rFonts w:ascii="宋体" w:hAnsi="宋体" w:eastAsia="宋体" w:cs="宋体"/>
          <w:b w:val="0"/>
          <w:bCs w:val="0"/>
          <w:color w:val="auto"/>
          <w:sz w:val="24"/>
          <w:szCs w:val="24"/>
          <w:highlight w:val="none"/>
          <w:u w:val="single"/>
        </w:rPr>
        <w:t>下浮率不低于0%为有效报价；当投标下浮率＞</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15%</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时应附成本分析报告，充分说明单价和费用的组成、降低成本的合理措施及在其他工程中应用过的经验等，经评审通过后方可视为有效报价。</w:t>
      </w:r>
    </w:p>
    <w:p w14:paraId="7FA182D9">
      <w:pPr>
        <w:pStyle w:val="4"/>
        <w:keepNext w:val="0"/>
        <w:keepLines w:val="0"/>
        <w:pageBreakBefore w:val="0"/>
        <w:widowControl w:val="0"/>
        <w:numPr>
          <w:ilvl w:val="0"/>
          <w:numId w:val="0"/>
        </w:numPr>
        <w:kinsoku/>
        <w:wordWrap/>
        <w:overflowPunct/>
        <w:topLinePunct w:val="0"/>
        <w:bidi w:val="0"/>
        <w:snapToGrid/>
        <w:spacing w:beforeLines="0" w:afterLines="0" w:line="480" w:lineRule="auto"/>
        <w:ind w:left="0" w:leftChars="0" w:firstLine="482" w:firstLineChars="20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4D600AAC">
      <w:pPr>
        <w:keepNext w:val="0"/>
        <w:keepLines w:val="0"/>
        <w:pageBreakBefore w:val="0"/>
        <w:widowControl w:val="0"/>
        <w:kinsoku/>
        <w:wordWrap/>
        <w:overflowPunct/>
        <w:topLinePunct w:val="0"/>
        <w:bidi w:val="0"/>
        <w:snapToGrid/>
        <w:spacing w:line="480" w:lineRule="auto"/>
        <w:ind w:left="0" w:firstLine="482" w:firstLineChars="200"/>
        <w:textAlignment w:val="auto"/>
        <w:rPr>
          <w:rFonts w:hint="eastAsia" w:ascii="宋体" w:hAnsi="宋体" w:eastAsia="宋体" w:cs="宋体"/>
          <w:b/>
          <w:bCs/>
          <w:i w:val="0"/>
          <w:iCs/>
          <w:color w:val="auto"/>
          <w:kern w:val="2"/>
          <w:sz w:val="24"/>
          <w:szCs w:val="24"/>
          <w:highlight w:val="none"/>
          <w:u w:val="single"/>
          <w:lang w:val="en-US" w:eastAsia="zh-CN" w:bidi="ar-SA"/>
        </w:rPr>
      </w:pPr>
      <w:r>
        <w:rPr>
          <w:rFonts w:hint="eastAsia" w:ascii="宋体" w:hAnsi="宋体" w:eastAsia="宋体" w:cs="宋体"/>
          <w:b/>
          <w:bCs/>
          <w:i w:val="0"/>
          <w:iCs/>
          <w:color w:val="auto"/>
          <w:kern w:val="2"/>
          <w:sz w:val="24"/>
          <w:szCs w:val="24"/>
          <w:highlight w:val="none"/>
          <w:u w:val="single"/>
          <w:lang w:val="en-US" w:eastAsia="zh-CN" w:bidi="ar-SA"/>
        </w:rPr>
        <w:t xml:space="preserve"> 按实结算，结算费用=∑委托项目×费用标准×（1-中标下浮率）。</w:t>
      </w:r>
    </w:p>
    <w:p w14:paraId="47D1CF09">
      <w:pPr>
        <w:keepNext w:val="0"/>
        <w:keepLines w:val="0"/>
        <w:pageBreakBefore w:val="0"/>
        <w:widowControl w:val="0"/>
        <w:kinsoku/>
        <w:wordWrap/>
        <w:overflowPunct/>
        <w:topLinePunct w:val="0"/>
        <w:bidi w:val="0"/>
        <w:snapToGrid/>
        <w:spacing w:line="480" w:lineRule="auto"/>
        <w:ind w:left="0" w:firstLine="482" w:firstLineChars="200"/>
        <w:textAlignment w:val="auto"/>
        <w:rPr>
          <w:rFonts w:hint="eastAsia" w:ascii="宋体" w:hAnsi="宋体" w:eastAsia="宋体" w:cs="宋体"/>
          <w:b/>
          <w:bCs/>
          <w:i w:val="0"/>
          <w:iCs/>
          <w:color w:val="auto"/>
          <w:kern w:val="2"/>
          <w:sz w:val="24"/>
          <w:szCs w:val="24"/>
          <w:highlight w:val="none"/>
          <w:u w:val="single"/>
          <w:lang w:val="en-US" w:eastAsia="zh-CN" w:bidi="ar-SA"/>
        </w:rPr>
      </w:pPr>
      <w:r>
        <w:rPr>
          <w:rFonts w:hint="eastAsia" w:ascii="宋体" w:hAnsi="宋体" w:eastAsia="宋体" w:cs="宋体"/>
          <w:b/>
          <w:bCs/>
          <w:i w:val="0"/>
          <w:iCs/>
          <w:color w:val="auto"/>
          <w:kern w:val="2"/>
          <w:sz w:val="24"/>
          <w:szCs w:val="24"/>
          <w:highlight w:val="none"/>
          <w:u w:val="single"/>
          <w:lang w:val="en-US" w:eastAsia="zh-CN" w:bidi="ar-SA"/>
        </w:rPr>
        <w:t>费用标准具体如下：</w:t>
      </w:r>
    </w:p>
    <w:p w14:paraId="44F7639D">
      <w:pPr>
        <w:keepNext w:val="0"/>
        <w:keepLines w:val="0"/>
        <w:pageBreakBefore w:val="0"/>
        <w:widowControl w:val="0"/>
        <w:kinsoku/>
        <w:wordWrap/>
        <w:overflowPunct/>
        <w:topLinePunct w:val="0"/>
        <w:bidi w:val="0"/>
        <w:snapToGrid/>
        <w:spacing w:line="480" w:lineRule="auto"/>
        <w:ind w:left="0" w:firstLine="482" w:firstLineChars="200"/>
        <w:textAlignment w:val="auto"/>
        <w:rPr>
          <w:rFonts w:hint="eastAsia" w:ascii="宋体" w:hAnsi="宋体" w:eastAsia="宋体" w:cs="宋体"/>
          <w:b/>
          <w:bCs/>
          <w:i w:val="0"/>
          <w:iCs/>
          <w:color w:val="auto"/>
          <w:kern w:val="2"/>
          <w:sz w:val="24"/>
          <w:szCs w:val="24"/>
          <w:highlight w:val="none"/>
          <w:u w:val="single"/>
          <w:lang w:val="en-US" w:eastAsia="zh-CN" w:bidi="ar-SA"/>
        </w:rPr>
      </w:pPr>
      <w:r>
        <w:rPr>
          <w:rFonts w:hint="eastAsia" w:ascii="宋体" w:hAnsi="宋体" w:eastAsia="宋体" w:cs="宋体"/>
          <w:b/>
          <w:bCs/>
          <w:i w:val="0"/>
          <w:iCs/>
          <w:color w:val="auto"/>
          <w:kern w:val="2"/>
          <w:sz w:val="24"/>
          <w:szCs w:val="24"/>
          <w:highlight w:val="none"/>
          <w:u w:val="single"/>
          <w:lang w:val="en-US" w:eastAsia="zh-CN" w:bidi="ar-SA"/>
        </w:rPr>
        <w:t>1.桩基础检测：</w:t>
      </w:r>
    </w:p>
    <w:p w14:paraId="7DB752C0">
      <w:pPr>
        <w:keepNext w:val="0"/>
        <w:keepLines w:val="0"/>
        <w:pageBreakBefore w:val="0"/>
        <w:widowControl w:val="0"/>
        <w:kinsoku/>
        <w:wordWrap/>
        <w:overflowPunct/>
        <w:topLinePunct w:val="0"/>
        <w:bidi w:val="0"/>
        <w:snapToGrid/>
        <w:spacing w:line="480" w:lineRule="auto"/>
        <w:ind w:left="0" w:firstLine="482" w:firstLineChars="200"/>
        <w:textAlignment w:val="auto"/>
        <w:rPr>
          <w:rFonts w:hint="eastAsia" w:ascii="宋体" w:hAnsi="宋体" w:eastAsia="宋体" w:cs="宋体"/>
          <w:b/>
          <w:bCs/>
          <w:i w:val="0"/>
          <w:iCs/>
          <w:color w:val="auto"/>
          <w:kern w:val="2"/>
          <w:sz w:val="24"/>
          <w:szCs w:val="24"/>
          <w:highlight w:val="none"/>
          <w:u w:val="single"/>
          <w:lang w:val="en-US" w:eastAsia="zh-CN" w:bidi="ar-SA"/>
        </w:rPr>
      </w:pPr>
      <w:r>
        <w:rPr>
          <w:rFonts w:hint="eastAsia" w:ascii="宋体" w:hAnsi="宋体" w:eastAsia="宋体" w:cs="宋体"/>
          <w:b/>
          <w:bCs/>
          <w:i w:val="0"/>
          <w:iCs/>
          <w:color w:val="auto"/>
          <w:kern w:val="2"/>
          <w:sz w:val="24"/>
          <w:szCs w:val="24"/>
          <w:highlight w:val="none"/>
          <w:u w:val="single"/>
          <w:lang w:val="en-US" w:eastAsia="zh-CN" w:bidi="ar-SA"/>
        </w:rPr>
        <w:t>桩基础检测费用：按《关于发布广东电网有限责任公司输变电工程地基基础质量检测管理业务指南的通知》（广电办建〔2021〕7号）依据计算的费用的85%</w:t>
      </w:r>
      <w:r>
        <w:rPr>
          <w:rFonts w:hint="eastAsia" w:ascii="宋体" w:hAnsi="宋体" w:cs="宋体"/>
          <w:b/>
          <w:bCs/>
          <w:i w:val="0"/>
          <w:iCs/>
          <w:color w:val="auto"/>
          <w:kern w:val="2"/>
          <w:sz w:val="24"/>
          <w:szCs w:val="24"/>
          <w:highlight w:val="none"/>
          <w:u w:val="single"/>
          <w:lang w:val="en-US" w:eastAsia="zh-CN" w:bidi="ar-SA"/>
        </w:rPr>
        <w:t>。</w:t>
      </w:r>
      <w:r>
        <w:rPr>
          <w:rFonts w:hint="eastAsia" w:ascii="宋体" w:hAnsi="宋体" w:eastAsia="宋体" w:cs="宋体"/>
          <w:b/>
          <w:bCs/>
          <w:i w:val="0"/>
          <w:iCs/>
          <w:color w:val="auto"/>
          <w:kern w:val="2"/>
          <w:sz w:val="24"/>
          <w:szCs w:val="24"/>
          <w:highlight w:val="none"/>
          <w:u w:val="single"/>
          <w:lang w:val="en-US" w:eastAsia="zh-CN" w:bidi="ar-SA"/>
        </w:rPr>
        <w:t>即结算费用=附件计费标准×85%×（1-投标报价下浮率</w:t>
      </w:r>
      <w:r>
        <w:rPr>
          <w:rFonts w:hint="eastAsia" w:ascii="宋体" w:hAnsi="宋体" w:cs="宋体"/>
          <w:b/>
          <w:bCs/>
          <w:i w:val="0"/>
          <w:iCs/>
          <w:color w:val="auto"/>
          <w:kern w:val="2"/>
          <w:sz w:val="24"/>
          <w:szCs w:val="24"/>
          <w:highlight w:val="none"/>
          <w:u w:val="single"/>
          <w:lang w:val="en-US" w:eastAsia="zh-CN" w:bidi="ar-SA"/>
        </w:rPr>
        <w:t>）</w:t>
      </w:r>
      <w:r>
        <w:rPr>
          <w:rFonts w:hint="eastAsia" w:ascii="宋体" w:hAnsi="宋体" w:eastAsia="宋体" w:cs="宋体"/>
          <w:b/>
          <w:bCs/>
          <w:i w:val="0"/>
          <w:iCs/>
          <w:color w:val="auto"/>
          <w:kern w:val="2"/>
          <w:sz w:val="24"/>
          <w:szCs w:val="24"/>
          <w:highlight w:val="none"/>
          <w:u w:val="single"/>
          <w:lang w:val="en-US" w:eastAsia="zh-CN" w:bidi="ar-SA"/>
        </w:rPr>
        <w:t>；</w:t>
      </w:r>
    </w:p>
    <w:p w14:paraId="5EAE17C7">
      <w:pPr>
        <w:keepNext w:val="0"/>
        <w:keepLines w:val="0"/>
        <w:pageBreakBefore w:val="0"/>
        <w:widowControl w:val="0"/>
        <w:kinsoku/>
        <w:wordWrap/>
        <w:overflowPunct/>
        <w:topLinePunct w:val="0"/>
        <w:bidi w:val="0"/>
        <w:snapToGrid/>
        <w:spacing w:line="480" w:lineRule="auto"/>
        <w:ind w:left="0" w:firstLine="482" w:firstLineChars="200"/>
        <w:textAlignment w:val="auto"/>
        <w:rPr>
          <w:rFonts w:hint="eastAsia" w:ascii="宋体" w:hAnsi="宋体" w:eastAsia="宋体" w:cs="宋体"/>
          <w:b/>
          <w:bCs/>
          <w:i w:val="0"/>
          <w:iCs/>
          <w:color w:val="auto"/>
          <w:kern w:val="2"/>
          <w:sz w:val="24"/>
          <w:szCs w:val="24"/>
          <w:highlight w:val="none"/>
          <w:u w:val="single"/>
          <w:lang w:val="en-US" w:eastAsia="zh-CN" w:bidi="ar-SA"/>
        </w:rPr>
      </w:pPr>
      <w:r>
        <w:rPr>
          <w:rFonts w:hint="eastAsia" w:ascii="宋体" w:hAnsi="宋体" w:cs="宋体"/>
          <w:b/>
          <w:bCs/>
          <w:i w:val="0"/>
          <w:iCs/>
          <w:color w:val="auto"/>
          <w:kern w:val="2"/>
          <w:sz w:val="24"/>
          <w:szCs w:val="24"/>
          <w:highlight w:val="none"/>
          <w:u w:val="single"/>
          <w:lang w:val="en-US" w:eastAsia="zh-CN" w:bidi="ar-SA"/>
        </w:rPr>
        <w:t>2</w:t>
      </w:r>
      <w:r>
        <w:rPr>
          <w:rFonts w:hint="eastAsia" w:ascii="宋体" w:hAnsi="宋体" w:eastAsia="宋体" w:cs="宋体"/>
          <w:b/>
          <w:bCs/>
          <w:i w:val="0"/>
          <w:iCs/>
          <w:color w:val="auto"/>
          <w:kern w:val="2"/>
          <w:sz w:val="24"/>
          <w:szCs w:val="24"/>
          <w:highlight w:val="none"/>
          <w:u w:val="single"/>
          <w:lang w:val="en-US" w:eastAsia="zh-CN" w:bidi="ar-SA"/>
        </w:rPr>
        <w:t>. 工程材料、构配件检测：</w:t>
      </w:r>
    </w:p>
    <w:p w14:paraId="48F71F19">
      <w:pPr>
        <w:keepNext w:val="0"/>
        <w:keepLines w:val="0"/>
        <w:pageBreakBefore w:val="0"/>
        <w:widowControl w:val="0"/>
        <w:kinsoku/>
        <w:wordWrap/>
        <w:overflowPunct/>
        <w:topLinePunct w:val="0"/>
        <w:bidi w:val="0"/>
        <w:snapToGrid/>
        <w:spacing w:line="480" w:lineRule="auto"/>
        <w:ind w:left="0" w:firstLine="482" w:firstLineChars="200"/>
        <w:textAlignment w:val="auto"/>
        <w:rPr>
          <w:rFonts w:hint="eastAsia" w:ascii="宋体" w:hAnsi="宋体" w:cs="宋体"/>
          <w:b/>
          <w:bCs/>
          <w:i w:val="0"/>
          <w:iCs/>
          <w:color w:val="auto"/>
          <w:kern w:val="2"/>
          <w:sz w:val="24"/>
          <w:szCs w:val="24"/>
          <w:highlight w:val="none"/>
          <w:u w:val="single"/>
          <w:lang w:val="en-US" w:eastAsia="zh-CN" w:bidi="ar-SA"/>
        </w:rPr>
      </w:pPr>
      <w:r>
        <w:rPr>
          <w:rFonts w:hint="eastAsia" w:ascii="宋体" w:hAnsi="宋体" w:eastAsia="宋体" w:cs="宋体"/>
          <w:b/>
          <w:bCs/>
          <w:i w:val="0"/>
          <w:iCs/>
          <w:color w:val="auto"/>
          <w:kern w:val="2"/>
          <w:sz w:val="24"/>
          <w:szCs w:val="24"/>
          <w:highlight w:val="none"/>
          <w:u w:val="single"/>
          <w:lang w:val="en-US" w:eastAsia="zh-CN" w:bidi="ar-SA"/>
        </w:rPr>
        <w:t>按广东省建设工程质量检测和鉴定协会《关于印发《广东省房屋建筑和市政工程工程质量安全检测收费指导价（第一批）》和《广东省既有房屋建筑安全性鉴定收费指导价》的通知》等国家及地方的检测收费依据计算的费用的85%。即结算费用=附件计费标准×85%×（1-投标报价下浮率）</w:t>
      </w:r>
      <w:r>
        <w:rPr>
          <w:rFonts w:hint="eastAsia" w:ascii="宋体" w:hAnsi="宋体" w:cs="宋体"/>
          <w:b/>
          <w:bCs/>
          <w:i w:val="0"/>
          <w:iCs/>
          <w:color w:val="auto"/>
          <w:kern w:val="2"/>
          <w:sz w:val="24"/>
          <w:szCs w:val="24"/>
          <w:highlight w:val="none"/>
          <w:u w:val="single"/>
          <w:lang w:val="en-US" w:eastAsia="zh-CN" w:bidi="ar-SA"/>
        </w:rPr>
        <w:t>。</w:t>
      </w:r>
    </w:p>
    <w:p w14:paraId="4F362D1F">
      <w:pPr>
        <w:keepNext w:val="0"/>
        <w:keepLines w:val="0"/>
        <w:pageBreakBefore w:val="0"/>
        <w:widowControl w:val="0"/>
        <w:shd w:val="clear" w:color="auto" w:fill="auto"/>
        <w:kinsoku/>
        <w:wordWrap/>
        <w:overflowPunct/>
        <w:topLinePunct w:val="0"/>
        <w:bidi w:val="0"/>
        <w:snapToGrid/>
        <w:spacing w:line="480" w:lineRule="auto"/>
        <w:ind w:left="0" w:firstLine="482" w:firstLineChars="200"/>
        <w:textAlignment w:val="auto"/>
        <w:rPr>
          <w:rFonts w:hint="eastAsia" w:ascii="宋体" w:hAnsi="宋体" w:eastAsia="宋体" w:cs="宋体"/>
          <w:b/>
          <w:bCs/>
          <w:i w:val="0"/>
          <w:iCs/>
          <w:color w:val="auto"/>
          <w:kern w:val="2"/>
          <w:sz w:val="24"/>
          <w:szCs w:val="24"/>
          <w:highlight w:val="none"/>
          <w:u w:val="single"/>
          <w:lang w:val="en-US" w:eastAsia="zh-CN" w:bidi="ar-SA"/>
        </w:rPr>
      </w:pPr>
      <w:r>
        <w:rPr>
          <w:rFonts w:hint="eastAsia" w:ascii="宋体" w:hAnsi="宋体" w:cs="宋体"/>
          <w:b/>
          <w:bCs/>
          <w:i w:val="0"/>
          <w:iCs/>
          <w:color w:val="auto"/>
          <w:kern w:val="2"/>
          <w:sz w:val="24"/>
          <w:szCs w:val="24"/>
          <w:highlight w:val="none"/>
          <w:u w:val="single"/>
          <w:lang w:val="en-US" w:eastAsia="zh-CN" w:bidi="ar-SA"/>
        </w:rPr>
        <w:t>3.</w:t>
      </w:r>
      <w:r>
        <w:rPr>
          <w:rFonts w:hint="eastAsia" w:ascii="宋体" w:hAnsi="宋体" w:eastAsia="宋体" w:cs="宋体"/>
          <w:b/>
          <w:bCs/>
          <w:i w:val="0"/>
          <w:iCs/>
          <w:color w:val="auto"/>
          <w:kern w:val="2"/>
          <w:sz w:val="24"/>
          <w:szCs w:val="24"/>
          <w:highlight w:val="none"/>
          <w:u w:val="single"/>
          <w:lang w:val="en-US" w:eastAsia="zh-CN" w:bidi="ar-SA"/>
        </w:rPr>
        <w:t>锚杆检测、密实度检测、结构实体检测：</w:t>
      </w:r>
    </w:p>
    <w:p w14:paraId="5B1396BA">
      <w:pPr>
        <w:keepNext w:val="0"/>
        <w:keepLines w:val="0"/>
        <w:pageBreakBefore w:val="0"/>
        <w:widowControl w:val="0"/>
        <w:shd w:val="clear" w:color="auto" w:fill="auto"/>
        <w:kinsoku/>
        <w:wordWrap/>
        <w:overflowPunct/>
        <w:topLinePunct w:val="0"/>
        <w:bidi w:val="0"/>
        <w:snapToGrid/>
        <w:spacing w:line="480" w:lineRule="auto"/>
        <w:ind w:left="0" w:firstLine="482" w:firstLineChars="200"/>
        <w:textAlignment w:val="auto"/>
        <w:rPr>
          <w:rFonts w:hint="default" w:ascii="宋体" w:hAnsi="宋体" w:eastAsia="宋体" w:cs="宋体"/>
          <w:b/>
          <w:bCs/>
          <w:i w:val="0"/>
          <w:iCs/>
          <w:color w:val="auto"/>
          <w:kern w:val="2"/>
          <w:sz w:val="24"/>
          <w:szCs w:val="24"/>
          <w:highlight w:val="none"/>
          <w:u w:val="single"/>
          <w:lang w:val="en-US" w:eastAsia="zh-CN" w:bidi="ar-SA"/>
        </w:rPr>
      </w:pPr>
      <w:r>
        <w:rPr>
          <w:rFonts w:hint="eastAsia" w:ascii="宋体" w:hAnsi="宋体" w:eastAsia="宋体" w:cs="宋体"/>
          <w:b/>
          <w:bCs/>
          <w:i w:val="0"/>
          <w:iCs/>
          <w:color w:val="auto"/>
          <w:kern w:val="2"/>
          <w:sz w:val="24"/>
          <w:szCs w:val="24"/>
          <w:highlight w:val="none"/>
          <w:u w:val="single"/>
          <w:lang w:val="en-US" w:eastAsia="zh-CN" w:bidi="ar-SA"/>
        </w:rPr>
        <w:t>《广东省房屋建筑和市政工程工程质量安全检测收费指导价（第一批）》、《广东省既有房屋建筑安全性鉴定收费指导价》、《关于发布广东电网有限责任公司输变电工程地基基础质量检测管理业务指南的通知》（广电办建〔2021〕7号）等文件计算的费用的85%。即结算费用=附件计费标准×85%×（1-投标报价下浮率）</w:t>
      </w:r>
      <w:r>
        <w:rPr>
          <w:rFonts w:hint="eastAsia" w:ascii="宋体" w:hAnsi="宋体" w:cs="宋体"/>
          <w:b/>
          <w:bCs/>
          <w:i w:val="0"/>
          <w:iCs/>
          <w:color w:val="auto"/>
          <w:kern w:val="2"/>
          <w:sz w:val="24"/>
          <w:szCs w:val="24"/>
          <w:highlight w:val="none"/>
          <w:u w:val="single"/>
          <w:lang w:val="en-US" w:eastAsia="zh-CN" w:bidi="ar-SA"/>
        </w:rPr>
        <w:t>。</w:t>
      </w:r>
    </w:p>
    <w:p w14:paraId="58C0B44C">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616C54DA">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644D3F19">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51F34EE0">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2C9B7425">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5E0D21C5">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1D3FD371">
      <w:pPr>
        <w:pStyle w:val="2"/>
        <w:rPr>
          <w:rFonts w:hint="eastAsia" w:asciiTheme="minorEastAsia" w:hAnsiTheme="minorEastAsia" w:eastAsiaTheme="minorEastAsia" w:cstheme="minorEastAsia"/>
          <w:i w:val="0"/>
          <w:iCs/>
          <w:color w:val="auto"/>
          <w:sz w:val="24"/>
          <w:szCs w:val="24"/>
          <w:highlight w:val="none"/>
        </w:rPr>
      </w:pPr>
    </w:p>
    <w:p w14:paraId="662C0D63">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4FC84928">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5A7A6FF9">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746EB38B">
      <w:pPr>
        <w:rPr>
          <w:rFonts w:hint="eastAsia" w:ascii="宋体" w:hAnsi="宋体" w:eastAsia="宋体" w:cs="宋体"/>
          <w:color w:val="auto"/>
          <w:sz w:val="24"/>
          <w:szCs w:val="24"/>
          <w:highlight w:val="none"/>
          <w:u w:val="single"/>
          <w:vertAlign w:val="baseline"/>
          <w:lang w:val="en-US" w:eastAsia="zh-CN"/>
        </w:rPr>
      </w:pPr>
      <w:bookmarkStart w:id="1" w:name="_GoBack"/>
      <w:bookmarkEnd w:id="1"/>
    </w:p>
    <w:p w14:paraId="08882ADA">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p w14:paraId="0CF7B49C">
      <w:pPr>
        <w:rPr>
          <w:highlight w:val="none"/>
        </w:rPr>
      </w:pPr>
    </w:p>
    <w:p w14:paraId="3C417ACB">
      <w:pPr>
        <w:rPr>
          <w:highlight w:val="non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YzViOTg3MzA5ZmNlNTA4ZDdkNmFjYWRlNWJjNjYifQ=="/>
  </w:docVars>
  <w:rsids>
    <w:rsidRoot w:val="24F737D8"/>
    <w:rsid w:val="001270A5"/>
    <w:rsid w:val="007A4AD7"/>
    <w:rsid w:val="04314932"/>
    <w:rsid w:val="04A24F71"/>
    <w:rsid w:val="076F3B3B"/>
    <w:rsid w:val="07CA37DF"/>
    <w:rsid w:val="0A1E01F9"/>
    <w:rsid w:val="0B3F1FBB"/>
    <w:rsid w:val="0BC07002"/>
    <w:rsid w:val="0E2F4C02"/>
    <w:rsid w:val="0E3616E0"/>
    <w:rsid w:val="0E394169"/>
    <w:rsid w:val="0F81532F"/>
    <w:rsid w:val="107144D2"/>
    <w:rsid w:val="116419AD"/>
    <w:rsid w:val="11DF6CFE"/>
    <w:rsid w:val="13383335"/>
    <w:rsid w:val="14440D4B"/>
    <w:rsid w:val="14781EB9"/>
    <w:rsid w:val="14B666F3"/>
    <w:rsid w:val="15056A61"/>
    <w:rsid w:val="16F645C8"/>
    <w:rsid w:val="17722603"/>
    <w:rsid w:val="186254B6"/>
    <w:rsid w:val="18E57496"/>
    <w:rsid w:val="1992433F"/>
    <w:rsid w:val="1A386933"/>
    <w:rsid w:val="1A4F176B"/>
    <w:rsid w:val="1A993B83"/>
    <w:rsid w:val="1B663F82"/>
    <w:rsid w:val="1C0F7B2F"/>
    <w:rsid w:val="1C2D4629"/>
    <w:rsid w:val="1C43636C"/>
    <w:rsid w:val="1C8618B6"/>
    <w:rsid w:val="1D67166B"/>
    <w:rsid w:val="1D904223"/>
    <w:rsid w:val="1F653C49"/>
    <w:rsid w:val="1FBB53E2"/>
    <w:rsid w:val="1FE6242C"/>
    <w:rsid w:val="1FF914D4"/>
    <w:rsid w:val="20735046"/>
    <w:rsid w:val="216F4D5B"/>
    <w:rsid w:val="21C11DC8"/>
    <w:rsid w:val="23B738BA"/>
    <w:rsid w:val="249663F5"/>
    <w:rsid w:val="24E67795"/>
    <w:rsid w:val="24F737D8"/>
    <w:rsid w:val="2525523D"/>
    <w:rsid w:val="265065FC"/>
    <w:rsid w:val="26EB3B6A"/>
    <w:rsid w:val="274D6DE4"/>
    <w:rsid w:val="291D5E51"/>
    <w:rsid w:val="2A0237C2"/>
    <w:rsid w:val="2A495A74"/>
    <w:rsid w:val="2BE07E0A"/>
    <w:rsid w:val="2CA17C08"/>
    <w:rsid w:val="2CE327BC"/>
    <w:rsid w:val="2DDF66E3"/>
    <w:rsid w:val="2FF65FF8"/>
    <w:rsid w:val="300D195C"/>
    <w:rsid w:val="30637DBE"/>
    <w:rsid w:val="30BF37B5"/>
    <w:rsid w:val="313B0851"/>
    <w:rsid w:val="31C955A9"/>
    <w:rsid w:val="33B200AF"/>
    <w:rsid w:val="33C75702"/>
    <w:rsid w:val="33DA0EE7"/>
    <w:rsid w:val="33E61BE2"/>
    <w:rsid w:val="361736AD"/>
    <w:rsid w:val="36D200CF"/>
    <w:rsid w:val="379951F8"/>
    <w:rsid w:val="38382DC3"/>
    <w:rsid w:val="38DE045C"/>
    <w:rsid w:val="3987396D"/>
    <w:rsid w:val="3B595AEE"/>
    <w:rsid w:val="3BB54B82"/>
    <w:rsid w:val="3BF24D81"/>
    <w:rsid w:val="3BFE7BEA"/>
    <w:rsid w:val="3C4750A3"/>
    <w:rsid w:val="3C4A35F1"/>
    <w:rsid w:val="40AF77D1"/>
    <w:rsid w:val="420455E6"/>
    <w:rsid w:val="42D33748"/>
    <w:rsid w:val="42E73C50"/>
    <w:rsid w:val="43004569"/>
    <w:rsid w:val="44982260"/>
    <w:rsid w:val="44D414C9"/>
    <w:rsid w:val="451737C4"/>
    <w:rsid w:val="46420CFB"/>
    <w:rsid w:val="46472D5E"/>
    <w:rsid w:val="47B3246E"/>
    <w:rsid w:val="495F1F9C"/>
    <w:rsid w:val="496A657E"/>
    <w:rsid w:val="49843C09"/>
    <w:rsid w:val="4A65737A"/>
    <w:rsid w:val="4A7964E5"/>
    <w:rsid w:val="4B3A1BDA"/>
    <w:rsid w:val="4BF83760"/>
    <w:rsid w:val="4C5B4768"/>
    <w:rsid w:val="4C8349B8"/>
    <w:rsid w:val="4DFE1C79"/>
    <w:rsid w:val="504766FD"/>
    <w:rsid w:val="513C2B96"/>
    <w:rsid w:val="546D3F92"/>
    <w:rsid w:val="552A0C96"/>
    <w:rsid w:val="55BB16B6"/>
    <w:rsid w:val="55C3156A"/>
    <w:rsid w:val="560A4CB8"/>
    <w:rsid w:val="56DA2F6E"/>
    <w:rsid w:val="5782183A"/>
    <w:rsid w:val="57BD355E"/>
    <w:rsid w:val="58D21C48"/>
    <w:rsid w:val="59DB70DF"/>
    <w:rsid w:val="5AD5108E"/>
    <w:rsid w:val="5B0320E2"/>
    <w:rsid w:val="5B8B11A7"/>
    <w:rsid w:val="5B9E2EC4"/>
    <w:rsid w:val="5CD10D7E"/>
    <w:rsid w:val="5DC7771A"/>
    <w:rsid w:val="5E71475D"/>
    <w:rsid w:val="60002310"/>
    <w:rsid w:val="608606DE"/>
    <w:rsid w:val="610E324A"/>
    <w:rsid w:val="61F31EFD"/>
    <w:rsid w:val="62C855CD"/>
    <w:rsid w:val="62F12707"/>
    <w:rsid w:val="63066BC7"/>
    <w:rsid w:val="63D0487B"/>
    <w:rsid w:val="642D788F"/>
    <w:rsid w:val="64672037"/>
    <w:rsid w:val="64911DA0"/>
    <w:rsid w:val="65945D8D"/>
    <w:rsid w:val="662D3D0A"/>
    <w:rsid w:val="66C35559"/>
    <w:rsid w:val="67D57489"/>
    <w:rsid w:val="68570F93"/>
    <w:rsid w:val="6A287B5E"/>
    <w:rsid w:val="6B303A1A"/>
    <w:rsid w:val="6C704794"/>
    <w:rsid w:val="6DAA2FDF"/>
    <w:rsid w:val="6DF95579"/>
    <w:rsid w:val="6E121228"/>
    <w:rsid w:val="70D1495F"/>
    <w:rsid w:val="70ED510D"/>
    <w:rsid w:val="712F63C0"/>
    <w:rsid w:val="72717CD1"/>
    <w:rsid w:val="72B7456A"/>
    <w:rsid w:val="73736E85"/>
    <w:rsid w:val="743E1546"/>
    <w:rsid w:val="74614F7E"/>
    <w:rsid w:val="74695E39"/>
    <w:rsid w:val="754C6F3B"/>
    <w:rsid w:val="75B11AFF"/>
    <w:rsid w:val="75D32619"/>
    <w:rsid w:val="768D126A"/>
    <w:rsid w:val="780B6A75"/>
    <w:rsid w:val="79F83E18"/>
    <w:rsid w:val="7A3C3205"/>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710</Words>
  <Characters>814</Characters>
  <Lines>0</Lines>
  <Paragraphs>0</Paragraphs>
  <TotalTime>17</TotalTime>
  <ScaleCrop>false</ScaleCrop>
  <LinksUpToDate>false</LinksUpToDate>
  <CharactersWithSpaces>819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2025-09-03T08:37:23Z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4585BC55D23D4F0CBD374BE10EE477A0</vt:lpwstr>
  </property>
  <property fmtid="{D5CDD505-2E9C-101B-9397-08002B2CF9AE}" pid="4" name="KSOTemplateDocerSaveRecord">
    <vt:lpwstr>eyJoZGlkIjoiYWE4MTMxNTc2YzQzNTBiY2YzYTRmOTUxNjdjYjcxNGYiLCJ1c2VySWQiOiI3MDM5OTYzMzMifQ==</vt:lpwstr>
  </property>
</Properties>
</file>