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</w:pPr>
      <w:r>
        <w:rPr>
          <w:rFonts w:hint="eastAsia"/>
          <w:b/>
          <w:sz w:val="48"/>
          <w:szCs w:val="48"/>
        </w:rPr>
        <w:t>梧州网区2025年第二批职创项目加工服务</w:t>
      </w:r>
      <w:r>
        <w:rPr>
          <w:rFonts w:hint="eastAsia"/>
          <w:b/>
          <w:sz w:val="48"/>
          <w:szCs w:val="48"/>
          <w:lang w:eastAsia="zh-CN"/>
        </w:rPr>
        <w:t>（</w:t>
      </w:r>
      <w:r>
        <w:rPr>
          <w:rFonts w:hint="eastAsia"/>
          <w:b/>
          <w:sz w:val="48"/>
          <w:szCs w:val="48"/>
        </w:rPr>
        <w:t>一种新型测量硬母线及圆形导电杆搭接线夹回路电阻</w:t>
      </w:r>
      <w:r>
        <w:rPr>
          <w:rFonts w:hint="eastAsia"/>
          <w:b/>
          <w:sz w:val="48"/>
          <w:szCs w:val="48"/>
          <w:lang w:eastAsia="zh-CN"/>
        </w:rPr>
        <w:t>的</w:t>
      </w:r>
      <w:r>
        <w:rPr>
          <w:rFonts w:hint="eastAsia"/>
          <w:b/>
          <w:sz w:val="48"/>
          <w:szCs w:val="48"/>
        </w:rPr>
        <w:t>装置</w:t>
      </w:r>
      <w:r>
        <w:rPr>
          <w:rFonts w:hint="eastAsia"/>
          <w:b/>
          <w:sz w:val="48"/>
          <w:szCs w:val="48"/>
          <w:lang w:eastAsia="zh-CN"/>
        </w:rPr>
        <w:t>）</w:t>
      </w:r>
      <w:r>
        <w:rPr>
          <w:rFonts w:hint="eastAsia"/>
          <w:b/>
          <w:sz w:val="48"/>
          <w:szCs w:val="48"/>
        </w:rPr>
        <w:t>技术规范书</w:t>
      </w:r>
    </w:p>
    <w:p/>
    <w:p>
      <w:pPr>
        <w:pStyle w:val="2"/>
      </w:pPr>
    </w:p>
    <w:p>
      <w:pPr>
        <w:pStyle w:val="3"/>
      </w:pPr>
    </w:p>
    <w:p/>
    <w:p>
      <w:pPr>
        <w:pStyle w:val="2"/>
      </w:pPr>
    </w:p>
    <w:p>
      <w:pPr>
        <w:pStyle w:val="3"/>
      </w:pPr>
    </w:p>
    <w:p/>
    <w:p>
      <w:pPr>
        <w:pStyle w:val="2"/>
      </w:pPr>
    </w:p>
    <w:p>
      <w:pPr>
        <w:pStyle w:val="3"/>
      </w:pPr>
    </w:p>
    <w:p/>
    <w:p>
      <w:pPr>
        <w:pStyle w:val="2"/>
      </w:pPr>
    </w:p>
    <w:p>
      <w:pPr>
        <w:pStyle w:val="3"/>
      </w:pPr>
    </w:p>
    <w:p/>
    <w:p>
      <w:pPr>
        <w:spacing w:line="360" w:lineRule="auto"/>
        <w:jc w:val="center"/>
        <w:rPr>
          <w:rFonts w:ascii="宋体" w:hAnsi="Times New Roman" w:eastAsia="宋体" w:cs="Times New Roman"/>
          <w:b/>
          <w:sz w:val="32"/>
          <w:szCs w:val="32"/>
        </w:rPr>
      </w:pPr>
      <w:r>
        <w:rPr>
          <w:rFonts w:hint="eastAsia" w:ascii="宋体" w:hAnsi="Times New Roman" w:eastAsia="宋体" w:cs="Times New Roman"/>
          <w:b/>
          <w:sz w:val="32"/>
          <w:szCs w:val="32"/>
          <w:lang w:val="en-US" w:eastAsia="zh-CN"/>
        </w:rPr>
        <w:t>广西电网有限责任公司梧州供电局</w:t>
      </w:r>
    </w:p>
    <w:p>
      <w:pPr>
        <w:spacing w:line="360" w:lineRule="auto"/>
        <w:jc w:val="center"/>
        <w:rPr>
          <w:rFonts w:ascii="宋体" w:hAnsi="Times New Roman" w:eastAsia="宋体" w:cs="Times New Roman"/>
          <w:b/>
          <w:sz w:val="32"/>
          <w:szCs w:val="32"/>
        </w:rPr>
      </w:pPr>
      <w:r>
        <w:rPr>
          <w:rFonts w:hint="eastAsia" w:ascii="宋体" w:hAnsi="Times New Roman" w:eastAsia="宋体" w:cs="Times New Roman"/>
          <w:b/>
          <w:sz w:val="32"/>
          <w:szCs w:val="32"/>
        </w:rPr>
        <w:t>202</w:t>
      </w:r>
      <w:r>
        <w:rPr>
          <w:rFonts w:ascii="宋体" w:hAnsi="Times New Roman" w:eastAsia="宋体" w:cs="Times New Roman"/>
          <w:b/>
          <w:sz w:val="32"/>
          <w:szCs w:val="32"/>
        </w:rPr>
        <w:t>5</w:t>
      </w:r>
      <w:r>
        <w:rPr>
          <w:rFonts w:hint="eastAsia" w:ascii="宋体" w:hAnsi="Times New Roman" w:eastAsia="宋体" w:cs="Times New Roman"/>
          <w:b/>
          <w:sz w:val="32"/>
          <w:szCs w:val="32"/>
        </w:rPr>
        <w:t>年</w:t>
      </w:r>
      <w:r>
        <w:rPr>
          <w:rFonts w:hint="eastAsia" w:ascii="宋体" w:hAnsi="Times New Roman" w:eastAsia="宋体" w:cs="Times New Roman"/>
          <w:b/>
          <w:sz w:val="32"/>
          <w:szCs w:val="32"/>
          <w:lang w:val="en-US" w:eastAsia="zh-CN"/>
        </w:rPr>
        <w:t>10</w:t>
      </w:r>
      <w:r>
        <w:rPr>
          <w:rFonts w:hint="eastAsia" w:ascii="宋体" w:hAnsi="Times New Roman" w:eastAsia="宋体" w:cs="Times New Roman"/>
          <w:b/>
          <w:sz w:val="32"/>
          <w:szCs w:val="32"/>
        </w:rPr>
        <w:t>月</w:t>
      </w:r>
      <w:r>
        <w:rPr>
          <w:rFonts w:hint="eastAsia" w:ascii="宋体" w:hAnsi="Times New Roman" w:eastAsia="宋体" w:cs="Times New Roman"/>
          <w:b/>
          <w:sz w:val="32"/>
          <w:szCs w:val="32"/>
          <w:lang w:val="en-US" w:eastAsia="zh-CN"/>
        </w:rPr>
        <w:t>17</w:t>
      </w:r>
      <w:r>
        <w:rPr>
          <w:rFonts w:hint="eastAsia" w:ascii="宋体" w:hAnsi="Times New Roman" w:eastAsia="宋体" w:cs="Times New Roman"/>
          <w:b/>
          <w:sz w:val="32"/>
          <w:szCs w:val="32"/>
        </w:rPr>
        <w:t>日</w:t>
      </w:r>
    </w:p>
    <w:p>
      <w:r>
        <w:rPr>
          <w:rFonts w:hint="eastAsia"/>
        </w:rPr>
        <w:br w:type="page"/>
      </w:r>
    </w:p>
    <w:p>
      <w:pPr>
        <w:pStyle w:val="2"/>
      </w:pPr>
    </w:p>
    <w:p>
      <w:pPr>
        <w:spacing w:line="360" w:lineRule="auto"/>
      </w:pPr>
    </w:p>
    <w:sdt>
      <w:sdtPr>
        <w:rPr>
          <w:lang w:val="zh-CN"/>
        </w:rPr>
        <w:id w:val="-441228423"/>
        <w:docPartObj>
          <w:docPartGallery w:val="Table of Contents"/>
          <w:docPartUnique/>
        </w:docPartObj>
      </w:sdtPr>
      <w:sdtEndPr>
        <w:rPr>
          <w:sz w:val="24"/>
          <w:lang w:val="zh-CN"/>
        </w:rPr>
      </w:sdtEndPr>
      <w:sdtContent>
        <w:p>
          <w:pPr>
            <w:spacing w:line="360" w:lineRule="auto"/>
            <w:jc w:val="center"/>
          </w:pPr>
          <w:r>
            <w:rPr>
              <w:rFonts w:ascii="宋体" w:hAnsi="宋体" w:eastAsia="宋体"/>
            </w:rPr>
            <w:t>目录</w:t>
          </w:r>
        </w:p>
        <w:p>
          <w:pPr>
            <w:pStyle w:val="9"/>
            <w:tabs>
              <w:tab w:val="right" w:leader="dot" w:pos="8306"/>
            </w:tabs>
            <w:spacing w:line="360" w:lineRule="auto"/>
          </w:pPr>
          <w:r>
            <w:rPr>
              <w:sz w:val="24"/>
            </w:rPr>
            <w:fldChar w:fldCharType="begin"/>
          </w:r>
          <w:r>
            <w:rPr>
              <w:sz w:val="24"/>
            </w:rPr>
            <w:instrText xml:space="preserve"> TOC \o "1-3" \h \z \u </w:instrText>
          </w:r>
          <w:r>
            <w:rPr>
              <w:sz w:val="24"/>
            </w:rPr>
            <w:fldChar w:fldCharType="separate"/>
          </w:r>
          <w:r>
            <w:fldChar w:fldCharType="begin"/>
          </w:r>
          <w:r>
            <w:instrText xml:space="preserve"> HYPERLINK \l "_Toc2053" </w:instrText>
          </w:r>
          <w:r>
            <w:fldChar w:fldCharType="separate"/>
          </w:r>
          <w:r>
            <w:rPr>
              <w:rFonts w:hint="eastAsia" w:ascii="Calibri" w:hAnsi="Calibri" w:eastAsia="宋体" w:cs="Times New Roman"/>
            </w:rPr>
            <w:t>1总则</w:t>
          </w:r>
          <w:r>
            <w:tab/>
          </w:r>
          <w:r>
            <w:fldChar w:fldCharType="begin"/>
          </w:r>
          <w:r>
            <w:instrText xml:space="preserve"> PAGEREF _Toc2053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fldChar w:fldCharType="end"/>
          </w:r>
        </w:p>
        <w:p>
          <w:pPr>
            <w:pStyle w:val="9"/>
            <w:tabs>
              <w:tab w:val="right" w:leader="dot" w:pos="8306"/>
            </w:tabs>
            <w:spacing w:line="360" w:lineRule="auto"/>
          </w:pPr>
          <w:r>
            <w:fldChar w:fldCharType="begin"/>
          </w:r>
          <w:r>
            <w:instrText xml:space="preserve"> HYPERLINK \l "_Toc9878" </w:instrText>
          </w:r>
          <w:r>
            <w:fldChar w:fldCharType="separate"/>
          </w:r>
          <w:r>
            <w:rPr>
              <w:rFonts w:hint="eastAsia" w:ascii="Calibri" w:hAnsi="Calibri" w:eastAsia="宋体" w:cs="Times New Roman"/>
            </w:rPr>
            <w:t>2标准和规程</w:t>
          </w:r>
          <w:r>
            <w:tab/>
          </w:r>
          <w:r>
            <w:fldChar w:fldCharType="begin"/>
          </w:r>
          <w:r>
            <w:instrText xml:space="preserve"> PAGEREF _Toc9878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fldChar w:fldCharType="end"/>
          </w:r>
        </w:p>
        <w:p>
          <w:pPr>
            <w:pStyle w:val="9"/>
            <w:tabs>
              <w:tab w:val="right" w:leader="dot" w:pos="8306"/>
            </w:tabs>
            <w:spacing w:line="360" w:lineRule="auto"/>
          </w:pPr>
          <w:r>
            <w:fldChar w:fldCharType="begin"/>
          </w:r>
          <w:r>
            <w:instrText xml:space="preserve"> HYPERLINK \l "_Toc436" </w:instrText>
          </w:r>
          <w:r>
            <w:fldChar w:fldCharType="separate"/>
          </w:r>
          <w:r>
            <w:rPr>
              <w:rFonts w:hint="eastAsia" w:ascii="Calibri" w:hAnsi="Calibri" w:eastAsia="宋体" w:cs="Times New Roman"/>
            </w:rPr>
            <w:t>3 项目概述</w:t>
          </w:r>
          <w:r>
            <w:tab/>
          </w:r>
          <w:r>
            <w:fldChar w:fldCharType="begin"/>
          </w:r>
          <w:r>
            <w:instrText xml:space="preserve"> PAGEREF _Toc436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fldChar w:fldCharType="end"/>
          </w:r>
        </w:p>
        <w:p>
          <w:pPr>
            <w:pStyle w:val="9"/>
            <w:tabs>
              <w:tab w:val="right" w:leader="dot" w:pos="8306"/>
            </w:tabs>
            <w:spacing w:line="360" w:lineRule="auto"/>
          </w:pPr>
          <w:r>
            <w:fldChar w:fldCharType="begin"/>
          </w:r>
          <w:r>
            <w:instrText xml:space="preserve"> HYPERLINK \l "_Toc27800" </w:instrText>
          </w:r>
          <w:r>
            <w:fldChar w:fldCharType="separate"/>
          </w:r>
          <w:r>
            <w:rPr>
              <w:rFonts w:hint="eastAsia" w:ascii="Calibri" w:hAnsi="Calibri" w:eastAsia="宋体" w:cs="Times New Roman"/>
            </w:rPr>
            <w:t>4加工技术要求</w:t>
          </w:r>
          <w:r>
            <w:tab/>
          </w:r>
          <w:r>
            <w:fldChar w:fldCharType="begin"/>
          </w:r>
          <w:r>
            <w:instrText xml:space="preserve"> PAGEREF _Toc27800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fldChar w:fldCharType="end"/>
          </w:r>
        </w:p>
        <w:p>
          <w:pPr>
            <w:pStyle w:val="9"/>
            <w:tabs>
              <w:tab w:val="right" w:leader="dot" w:pos="8306"/>
            </w:tabs>
            <w:spacing w:line="360" w:lineRule="auto"/>
          </w:pPr>
          <w:r>
            <w:fldChar w:fldCharType="begin"/>
          </w:r>
          <w:r>
            <w:instrText xml:space="preserve"> HYPERLINK \l "_Toc5407" </w:instrText>
          </w:r>
          <w:r>
            <w:fldChar w:fldCharType="separate"/>
          </w:r>
          <w:r>
            <w:rPr>
              <w:rFonts w:hint="eastAsia" w:ascii="Calibri" w:hAnsi="Calibri" w:eastAsia="宋体" w:cs="Times New Roman"/>
            </w:rPr>
            <w:t>5功能要求</w:t>
          </w:r>
          <w:r>
            <w:tab/>
          </w:r>
          <w:r>
            <w:fldChar w:fldCharType="begin"/>
          </w:r>
          <w:r>
            <w:instrText xml:space="preserve"> PAGEREF _Toc5407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fldChar w:fldCharType="end"/>
          </w:r>
        </w:p>
        <w:p>
          <w:pPr>
            <w:pStyle w:val="10"/>
            <w:tabs>
              <w:tab w:val="right" w:leader="dot" w:pos="8306"/>
            </w:tabs>
            <w:spacing w:line="360" w:lineRule="auto"/>
            <w:ind w:left="0" w:leftChars="0"/>
          </w:pPr>
          <w:r>
            <w:fldChar w:fldCharType="begin"/>
          </w:r>
          <w:r>
            <w:instrText xml:space="preserve"> HYPERLINK \l "_Toc1567" </w:instrText>
          </w:r>
          <w:r>
            <w:fldChar w:fldCharType="separate"/>
          </w:r>
          <w:r>
            <w:rPr>
              <w:rFonts w:hint="eastAsia"/>
            </w:rPr>
            <w:t>6服务范围</w:t>
          </w:r>
          <w:r>
            <w:tab/>
          </w:r>
          <w:r>
            <w:fldChar w:fldCharType="begin"/>
          </w:r>
          <w:r>
            <w:instrText xml:space="preserve"> PAGEREF _Toc1567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fldChar w:fldCharType="end"/>
          </w:r>
        </w:p>
        <w:p>
          <w:pPr>
            <w:pStyle w:val="10"/>
            <w:tabs>
              <w:tab w:val="right" w:leader="dot" w:pos="8306"/>
            </w:tabs>
            <w:spacing w:line="360" w:lineRule="auto"/>
            <w:ind w:left="0" w:leftChars="0"/>
          </w:pPr>
          <w:r>
            <w:fldChar w:fldCharType="begin"/>
          </w:r>
          <w:r>
            <w:instrText xml:space="preserve"> HYPERLINK \l "_Toc16594" </w:instrText>
          </w:r>
          <w:r>
            <w:fldChar w:fldCharType="separate"/>
          </w:r>
          <w:r>
            <w:rPr>
              <w:rFonts w:hint="eastAsia" w:ascii="Calibri" w:hAnsi="宋体" w:eastAsia="宋体" w:cs="Times New Roman"/>
              <w:bCs/>
              <w:kern w:val="44"/>
              <w:szCs w:val="28"/>
            </w:rPr>
            <w:t>7包装、运输及质量保证</w:t>
          </w:r>
          <w:r>
            <w:tab/>
          </w:r>
          <w:r>
            <w:fldChar w:fldCharType="begin"/>
          </w:r>
          <w:r>
            <w:instrText xml:space="preserve"> PAGEREF _Toc16594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fldChar w:fldCharType="end"/>
          </w:r>
        </w:p>
        <w:p>
          <w:pPr>
            <w:pStyle w:val="9"/>
            <w:tabs>
              <w:tab w:val="right" w:leader="dot" w:pos="8306"/>
            </w:tabs>
            <w:spacing w:line="360" w:lineRule="auto"/>
          </w:pPr>
          <w:r>
            <w:fldChar w:fldCharType="begin"/>
          </w:r>
          <w:r>
            <w:instrText xml:space="preserve"> HYPERLINK \l "_Toc28920" </w:instrText>
          </w:r>
          <w:r>
            <w:fldChar w:fldCharType="separate"/>
          </w:r>
          <w:r>
            <w:rPr>
              <w:rFonts w:hint="eastAsia" w:ascii="Calibri" w:hAnsi="Calibri" w:eastAsia="宋体" w:cs="Times New Roman"/>
            </w:rPr>
            <w:t>附件</w:t>
          </w:r>
          <w:r>
            <w:tab/>
          </w:r>
          <w:r>
            <w:fldChar w:fldCharType="begin"/>
          </w:r>
          <w:r>
            <w:instrText xml:space="preserve"> PAGEREF _Toc28920 \h </w:instrText>
          </w:r>
          <w:r>
            <w:fldChar w:fldCharType="separate"/>
          </w:r>
          <w:r>
            <w:t>7</w:t>
          </w:r>
          <w:r>
            <w:fldChar w:fldCharType="end"/>
          </w:r>
          <w:r>
            <w:fldChar w:fldCharType="end"/>
          </w:r>
        </w:p>
        <w:p>
          <w:pPr>
            <w:spacing w:line="360" w:lineRule="auto"/>
            <w:rPr>
              <w:sz w:val="24"/>
            </w:rPr>
          </w:pPr>
          <w:r>
            <w:rPr>
              <w:bCs/>
              <w:lang w:val="zh-CN"/>
            </w:rPr>
            <w:fldChar w:fldCharType="end"/>
          </w:r>
        </w:p>
      </w:sdtContent>
    </w:sdt>
    <w:p>
      <w:pPr>
        <w:widowControl/>
        <w:jc w:val="left"/>
      </w:pPr>
      <w:r>
        <w:br w:type="page"/>
      </w:r>
    </w:p>
    <w:p>
      <w:pPr>
        <w:pStyle w:val="4"/>
        <w:spacing w:before="0" w:after="0" w:line="360" w:lineRule="auto"/>
        <w:rPr>
          <w:rFonts w:ascii="Calibri" w:hAnsi="Calibri" w:eastAsia="宋体" w:cs="Times New Roman"/>
          <w:sz w:val="28"/>
        </w:rPr>
      </w:pPr>
      <w:bookmarkStart w:id="0" w:name="_Toc2053"/>
      <w:r>
        <w:rPr>
          <w:rFonts w:hint="eastAsia" w:ascii="Calibri" w:hAnsi="Calibri" w:eastAsia="宋体" w:cs="Times New Roman"/>
          <w:sz w:val="28"/>
        </w:rPr>
        <w:t>1总则</w:t>
      </w:r>
      <w:bookmarkEnd w:id="0"/>
    </w:p>
    <w:p>
      <w:pPr>
        <w:spacing w:line="360" w:lineRule="auto"/>
        <w:ind w:firstLine="280" w:firstLineChars="1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1.1本技术规范书适用于“一种新型测量硬母线及圆形导电杆搭接线夹回路电阻的装置</w:t>
      </w:r>
      <w:r>
        <w:rPr>
          <w:rFonts w:ascii="宋体" w:hAnsi="宋体" w:eastAsia="宋体" w:cs="Times New Roman"/>
          <w:sz w:val="28"/>
          <w:szCs w:val="28"/>
        </w:rPr>
        <w:t>”</w:t>
      </w:r>
      <w:r>
        <w:rPr>
          <w:rFonts w:hint="eastAsia" w:ascii="宋体" w:hAnsi="宋体" w:eastAsia="宋体" w:cs="Times New Roman"/>
          <w:sz w:val="28"/>
          <w:szCs w:val="28"/>
        </w:rPr>
        <w:t>加工服务采购，提出了加工该装置的技术和功能方面的要求，投标方必须认真阅读本技术条款内容，以免造成投标失败。</w:t>
      </w:r>
    </w:p>
    <w:p>
      <w:pPr>
        <w:spacing w:line="360" w:lineRule="auto"/>
        <w:ind w:firstLine="280" w:firstLineChars="1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1.2本规范书指标要求中，凡标有下划线或加“★”的地方均被视为重要的技术指标要求或性能要求。投标方要特别加以注意，必须完全满足这些要求。</w:t>
      </w:r>
    </w:p>
    <w:p>
      <w:pPr>
        <w:spacing w:line="360" w:lineRule="auto"/>
        <w:ind w:firstLine="280" w:firstLineChars="1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1.3本技术规范书提出的是最低限度的技术要求，并未对一切技术细节做出规定，也未充分引述有关标准和规范的条文，投标方应保证提供满足本技术规范书要求、满足有关国家质量标准要求、满足国家有关安全、环保等强制性标准和规范要求的完整服务和工作产品。</w:t>
      </w:r>
    </w:p>
    <w:p>
      <w:pPr>
        <w:spacing w:line="360" w:lineRule="auto"/>
        <w:ind w:firstLine="280" w:firstLineChars="1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1.4如投标方对本技术规范书有异议时，应以书面形式在报价截止日之前1天提出，如没有以书面形式对本规范书的条款提出异议，则意味着投标方已清楚并理解本规范书的要求。</w:t>
      </w:r>
    </w:p>
    <w:p>
      <w:pPr>
        <w:spacing w:line="360" w:lineRule="auto"/>
        <w:ind w:firstLine="280" w:firstLineChars="1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1.5 投标方应对本次招标方采购涉及所有文件保密，不得向其他单位公布或泄漏招标项目的有关信息。</w:t>
      </w:r>
    </w:p>
    <w:p>
      <w:pPr>
        <w:spacing w:line="360" w:lineRule="auto"/>
        <w:ind w:firstLine="280" w:firstLineChars="1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1.6本技术规范书作为招标方的采购文件，投标方应在报价文件中按要求作出应答，如有差异，还需以本技术规范书附件“差异表”的形式另外列出。</w:t>
      </w:r>
    </w:p>
    <w:p>
      <w:pPr>
        <w:spacing w:line="360" w:lineRule="auto"/>
        <w:ind w:firstLine="280" w:firstLineChars="1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1.7双方确认成交后，本技术规范书与合同具有同等的法律约束效力，本技术规范书未尽事宜，由招标方和中标方双方协商确定。</w:t>
      </w:r>
    </w:p>
    <w:p>
      <w:pPr>
        <w:pStyle w:val="4"/>
        <w:spacing w:before="0" w:after="0" w:line="360" w:lineRule="auto"/>
        <w:rPr>
          <w:rFonts w:ascii="Calibri" w:hAnsi="Calibri" w:eastAsia="宋体" w:cs="Times New Roman"/>
          <w:sz w:val="28"/>
        </w:rPr>
      </w:pPr>
      <w:bookmarkStart w:id="1" w:name="_Toc9878"/>
      <w:r>
        <w:rPr>
          <w:rFonts w:hint="eastAsia" w:ascii="Calibri" w:hAnsi="Calibri" w:eastAsia="宋体" w:cs="Times New Roman"/>
          <w:sz w:val="28"/>
        </w:rPr>
        <w:t>2标准和规程</w:t>
      </w:r>
      <w:bookmarkEnd w:id="1"/>
    </w:p>
    <w:p>
      <w:pPr>
        <w:spacing w:line="360" w:lineRule="auto"/>
        <w:ind w:firstLine="560" w:firstLineChars="2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本规范书中涉及的所有规范、标准或材料规格均应为最新版本，即以招标方发出本定单之日作为采用最新版本的截止日期。若发现本规范书与所列标准之间有不一致之处，投标方应向招标方指明，并由招标方确定采用哪一个规范。</w:t>
      </w:r>
    </w:p>
    <w:p>
      <w:pPr>
        <w:spacing w:line="360" w:lineRule="auto"/>
        <w:ind w:firstLine="560" w:firstLineChars="2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投标方如果采用自己的标准或规范，必须向招标方提供中文复印件并经招标方同意后方可采用，但不能低于国家标准GB、行业标准JB有关规定。</w:t>
      </w:r>
    </w:p>
    <w:p>
      <w:pPr>
        <w:spacing w:line="360" w:lineRule="auto"/>
        <w:ind w:firstLine="560" w:firstLineChars="2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下列标准所包括的条文，通过在本规定中引用而构成本规定的条文。本标准出版时所示版本均为有效。所有标准都会被修订，使用本标准的各方应探讨使用下列标准最新版本的可能性。</w:t>
      </w:r>
    </w:p>
    <w:p>
      <w:pPr>
        <w:spacing w:line="360" w:lineRule="auto"/>
        <w:ind w:firstLine="560" w:firstLineChars="2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2.1《中华人民共和国产品质量法》</w:t>
      </w:r>
    </w:p>
    <w:p>
      <w:pPr>
        <w:spacing w:line="360" w:lineRule="auto"/>
        <w:ind w:firstLine="560" w:firstLineChars="2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2.2《中国南方电网有限责任公司电力安全工作规程》</w:t>
      </w:r>
    </w:p>
    <w:p>
      <w:pPr>
        <w:pStyle w:val="4"/>
        <w:spacing w:before="0" w:after="0" w:line="360" w:lineRule="auto"/>
        <w:rPr>
          <w:rFonts w:ascii="Calibri" w:hAnsi="Calibri" w:eastAsia="宋体" w:cs="Times New Roman"/>
          <w:sz w:val="28"/>
        </w:rPr>
      </w:pPr>
      <w:bookmarkStart w:id="2" w:name="_Toc22903_WPSOffice_Level1"/>
      <w:bookmarkStart w:id="3" w:name="_Toc436"/>
      <w:r>
        <w:rPr>
          <w:rFonts w:hint="eastAsia" w:ascii="Calibri" w:hAnsi="Calibri" w:eastAsia="宋体" w:cs="Times New Roman"/>
          <w:sz w:val="28"/>
        </w:rPr>
        <w:t xml:space="preserve">3 </w:t>
      </w:r>
      <w:bookmarkEnd w:id="2"/>
      <w:bookmarkEnd w:id="3"/>
      <w:r>
        <w:rPr>
          <w:rFonts w:hint="eastAsia" w:ascii="Calibri" w:hAnsi="Calibri" w:eastAsia="宋体" w:cs="Times New Roman"/>
          <w:sz w:val="28"/>
        </w:rPr>
        <w:t>加工总体要求</w:t>
      </w:r>
    </w:p>
    <w:p>
      <w:pPr>
        <w:spacing w:line="360" w:lineRule="auto"/>
        <w:ind w:firstLine="560" w:firstLineChars="2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本次加工所需材料清单、要求及设计图由甲方提供给乙方，乙方在收到上述资料后，根据本规范书的技术、功能要求与甲方协商落实最后完整的加工方案后，购买材料并进行加工</w:t>
      </w:r>
      <w:bookmarkStart w:id="14" w:name="_GoBack"/>
      <w:bookmarkEnd w:id="14"/>
      <w:r>
        <w:rPr>
          <w:rFonts w:hint="eastAsia" w:ascii="宋体" w:hAnsi="宋体" w:eastAsia="宋体" w:cs="Times New Roman"/>
          <w:sz w:val="28"/>
          <w:szCs w:val="28"/>
        </w:rPr>
        <w:t>。</w:t>
      </w:r>
    </w:p>
    <w:p>
      <w:pPr>
        <w:pStyle w:val="4"/>
        <w:spacing w:before="0" w:after="0" w:line="360" w:lineRule="auto"/>
        <w:rPr>
          <w:rFonts w:ascii="Calibri" w:hAnsi="Calibri" w:eastAsia="宋体" w:cs="Times New Roman"/>
          <w:sz w:val="28"/>
        </w:rPr>
      </w:pPr>
      <w:bookmarkStart w:id="4" w:name="_Toc27800"/>
      <w:r>
        <w:rPr>
          <w:rFonts w:hint="eastAsia" w:ascii="Calibri" w:hAnsi="Calibri" w:eastAsia="宋体" w:cs="Times New Roman"/>
          <w:sz w:val="28"/>
        </w:rPr>
        <w:t>4技术要求</w:t>
      </w:r>
      <w:bookmarkEnd w:id="4"/>
    </w:p>
    <w:p>
      <w:pPr>
        <w:spacing w:line="360" w:lineRule="auto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4.1技术指标要求</w:t>
      </w:r>
    </w:p>
    <w:p>
      <w:pPr>
        <w:spacing w:line="360" w:lineRule="auto"/>
        <w:ind w:firstLine="280" w:firstLineChars="1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4.1.1运行环境条件</w:t>
      </w:r>
    </w:p>
    <w:p>
      <w:pPr>
        <w:spacing w:line="360" w:lineRule="auto"/>
        <w:rPr>
          <w:rFonts w:hint="eastAsia"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海拔高度：4000m及以下任何海拔高度均可正常使用；</w:t>
      </w:r>
    </w:p>
    <w:p>
      <w:pPr>
        <w:spacing w:line="360" w:lineRule="auto"/>
        <w:rPr>
          <w:rFonts w:hint="eastAsia"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最高环境温度：+55ºC；</w:t>
      </w:r>
    </w:p>
    <w:p>
      <w:pPr>
        <w:spacing w:line="360" w:lineRule="auto"/>
        <w:rPr>
          <w:rFonts w:hint="eastAsia"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最低环境温度：-20ºC；</w:t>
      </w:r>
    </w:p>
    <w:p>
      <w:pPr>
        <w:spacing w:line="360" w:lineRule="auto"/>
        <w:rPr>
          <w:rFonts w:hint="eastAsia"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年平均气温：20ºC；</w:t>
      </w:r>
    </w:p>
    <w:p>
      <w:pPr>
        <w:spacing w:line="360" w:lineRule="auto"/>
        <w:rPr>
          <w:rFonts w:hint="eastAsia"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环境相对湿度：80%。</w:t>
      </w:r>
    </w:p>
    <w:p>
      <w:pPr>
        <w:spacing w:line="360" w:lineRule="auto"/>
        <w:ind w:firstLine="280" w:firstLineChars="1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4.1.2适用范围</w:t>
      </w:r>
    </w:p>
    <w:p>
      <w:pPr>
        <w:spacing w:line="360" w:lineRule="auto"/>
        <w:rPr>
          <w:rFonts w:hint="eastAsia" w:ascii="宋体" w:hAnsi="宋体" w:eastAsia="宋体" w:cs="Times New Roman"/>
          <w:sz w:val="28"/>
          <w:szCs w:val="28"/>
          <w:lang w:eastAsia="zh-CN"/>
        </w:rPr>
      </w:pPr>
      <w:r>
        <w:rPr>
          <w:rFonts w:hint="eastAsia" w:ascii="宋体" w:hAnsi="宋体" w:eastAsia="宋体" w:cs="Times New Roman"/>
          <w:sz w:val="28"/>
          <w:szCs w:val="28"/>
        </w:rPr>
        <w:t>圆</w:t>
      </w:r>
      <w:r>
        <w:rPr>
          <w:rFonts w:hint="eastAsia" w:ascii="宋体" w:hAnsi="宋体" w:eastAsia="宋体" w:cs="Times New Roman"/>
          <w:sz w:val="28"/>
          <w:szCs w:val="28"/>
          <w:lang w:eastAsia="zh-CN"/>
        </w:rPr>
        <w:t>柱</w:t>
      </w:r>
      <w:r>
        <w:rPr>
          <w:rFonts w:hint="eastAsia" w:ascii="宋体" w:hAnsi="宋体" w:eastAsia="宋体" w:cs="Times New Roman"/>
          <w:sz w:val="28"/>
          <w:szCs w:val="28"/>
        </w:rPr>
        <w:t>形导电杆</w:t>
      </w:r>
      <w:r>
        <w:rPr>
          <w:rFonts w:hint="eastAsia" w:ascii="宋体" w:hAnsi="宋体" w:eastAsia="宋体" w:cs="Times New Roman"/>
          <w:sz w:val="28"/>
          <w:szCs w:val="28"/>
          <w:lang w:eastAsia="zh-CN"/>
        </w:rPr>
        <w:t>。</w:t>
      </w:r>
    </w:p>
    <w:p>
      <w:pPr>
        <w:spacing w:line="360" w:lineRule="auto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★4.2技术参数</w:t>
      </w:r>
    </w:p>
    <w:p>
      <w:pPr>
        <w:spacing w:line="360" w:lineRule="auto"/>
        <w:rPr>
          <w:rFonts w:hint="eastAsia" w:ascii="宋体" w:hAnsi="宋体" w:eastAsia="宋体" w:cs="Times New Roman"/>
          <w:sz w:val="28"/>
          <w:szCs w:val="28"/>
          <w:lang w:eastAsia="zh-CN"/>
        </w:rPr>
      </w:pPr>
      <w:r>
        <w:rPr>
          <w:rFonts w:hint="eastAsia" w:ascii="宋体" w:hAnsi="宋体" w:eastAsia="宋体" w:cs="Times New Roman"/>
          <w:sz w:val="28"/>
          <w:szCs w:val="28"/>
          <w:lang w:eastAsia="zh-CN"/>
        </w:rPr>
        <w:t xml:space="preserve">夹持规格 适配管母直径：200mm（适配范围195mm-205mm）；钳口弧形半径：100mm±2mm </w:t>
      </w:r>
    </w:p>
    <w:p>
      <w:pPr>
        <w:spacing w:line="360" w:lineRule="auto"/>
        <w:rPr>
          <w:rFonts w:hint="eastAsia" w:ascii="宋体" w:hAnsi="宋体" w:eastAsia="宋体" w:cs="Times New Roman"/>
          <w:sz w:val="28"/>
          <w:szCs w:val="28"/>
          <w:lang w:eastAsia="zh-CN"/>
        </w:rPr>
      </w:pPr>
      <w:r>
        <w:rPr>
          <w:rFonts w:hint="eastAsia" w:ascii="宋体" w:hAnsi="宋体" w:eastAsia="宋体" w:cs="Times New Roman"/>
          <w:sz w:val="28"/>
          <w:szCs w:val="28"/>
          <w:lang w:eastAsia="zh-CN"/>
        </w:rPr>
        <w:t xml:space="preserve">导电参数 接触电阻：≤5μΩ；载流能力：短时（5min）耐受电流≥200A（匹配回路电阻测试仪常用输出电流） </w:t>
      </w:r>
    </w:p>
    <w:p>
      <w:pPr>
        <w:spacing w:line="360" w:lineRule="auto"/>
        <w:rPr>
          <w:rFonts w:hint="eastAsia" w:ascii="宋体" w:hAnsi="宋体" w:eastAsia="宋体" w:cs="Times New Roman"/>
          <w:sz w:val="28"/>
          <w:szCs w:val="28"/>
          <w:lang w:eastAsia="zh-CN"/>
        </w:rPr>
      </w:pPr>
      <w:r>
        <w:rPr>
          <w:rFonts w:hint="eastAsia" w:ascii="宋体" w:hAnsi="宋体" w:eastAsia="宋体" w:cs="Times New Roman"/>
          <w:sz w:val="28"/>
          <w:szCs w:val="28"/>
          <w:lang w:eastAsia="zh-CN"/>
        </w:rPr>
        <w:t xml:space="preserve">绝缘性能 绝缘材质：环氧树脂（主体）+硅橡胶（握持部）；耐压等级：1000V AC/1min，泄漏电流≤1mA </w:t>
      </w:r>
    </w:p>
    <w:p>
      <w:pPr>
        <w:spacing w:line="360" w:lineRule="auto"/>
        <w:rPr>
          <w:rFonts w:hint="eastAsia" w:ascii="宋体" w:hAnsi="宋体" w:eastAsia="宋体" w:cs="Times New Roman"/>
          <w:sz w:val="28"/>
          <w:szCs w:val="28"/>
          <w:lang w:eastAsia="zh-CN"/>
        </w:rPr>
      </w:pPr>
      <w:r>
        <w:rPr>
          <w:rFonts w:hint="eastAsia" w:ascii="宋体" w:hAnsi="宋体" w:eastAsia="宋体" w:cs="Times New Roman"/>
          <w:sz w:val="28"/>
          <w:szCs w:val="28"/>
          <w:lang w:eastAsia="zh-CN"/>
        </w:rPr>
        <w:t xml:space="preserve">结构参数 钳口开口度：最大≥220mm；夹紧方式：杠杆式（或液压辅助）；保持力：≥500N；整体重量：≤5kg（便于单人携带操作） </w:t>
      </w:r>
    </w:p>
    <w:p>
      <w:pPr>
        <w:spacing w:line="360" w:lineRule="auto"/>
        <w:rPr>
          <w:rFonts w:hint="eastAsia" w:ascii="宋体" w:hAnsi="宋体" w:eastAsia="宋体" w:cs="Times New Roman"/>
          <w:sz w:val="28"/>
          <w:szCs w:val="28"/>
          <w:lang w:eastAsia="zh-CN"/>
        </w:rPr>
      </w:pPr>
      <w:r>
        <w:rPr>
          <w:rFonts w:hint="eastAsia" w:ascii="宋体" w:hAnsi="宋体" w:eastAsia="宋体" w:cs="Times New Roman"/>
          <w:sz w:val="28"/>
          <w:szCs w:val="28"/>
          <w:lang w:eastAsia="zh-CN"/>
        </w:rPr>
        <w:t>材质要求 导电钳口材质：紫铜（表面镀锡/镀银，增强导电性与耐腐蚀性）；</w:t>
      </w:r>
    </w:p>
    <w:p>
      <w:pPr>
        <w:spacing w:line="360" w:lineRule="auto"/>
        <w:rPr>
          <w:rFonts w:hint="eastAsia" w:ascii="宋体" w:hAnsi="宋体" w:eastAsia="宋体" w:cs="Times New Roman"/>
          <w:sz w:val="28"/>
          <w:szCs w:val="28"/>
          <w:lang w:eastAsia="zh-CN"/>
        </w:rPr>
      </w:pPr>
      <w:r>
        <w:rPr>
          <w:rFonts w:hint="eastAsia" w:ascii="宋体" w:hAnsi="宋体" w:eastAsia="宋体" w:cs="Times New Roman"/>
          <w:sz w:val="28"/>
          <w:szCs w:val="28"/>
          <w:lang w:eastAsia="zh-CN"/>
        </w:rPr>
        <w:t xml:space="preserve">绝缘部分材质：环氧树脂（耐温≥120℃，抗冲击强度≥15kJ/m²） </w:t>
      </w:r>
    </w:p>
    <w:p>
      <w:pPr>
        <w:pStyle w:val="4"/>
        <w:spacing w:before="0" w:after="0" w:line="360" w:lineRule="auto"/>
        <w:rPr>
          <w:rFonts w:ascii="Calibri" w:hAnsi="Calibri" w:eastAsia="宋体" w:cs="Times New Roman"/>
          <w:sz w:val="28"/>
        </w:rPr>
      </w:pPr>
      <w:bookmarkStart w:id="5" w:name="_Toc5407"/>
      <w:r>
        <w:rPr>
          <w:rFonts w:hint="eastAsia" w:ascii="Calibri" w:hAnsi="Calibri" w:eastAsia="宋体" w:cs="Times New Roman"/>
          <w:sz w:val="28"/>
        </w:rPr>
        <w:t>5功能要求</w:t>
      </w:r>
      <w:bookmarkEnd w:id="5"/>
    </w:p>
    <w:p>
      <w:pPr>
        <w:spacing w:line="360" w:lineRule="auto"/>
        <w:ind w:firstLine="280" w:firstLineChars="100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1.夹持适配性：钳口需为弧形定制设计，完全贴合直径200mm（允许误差±5mm）的圆柱形管母，确保夹紧后无滑动、无位移，且不损伤管母表面镀层或绝缘层。</w:t>
      </w:r>
    </w:p>
    <w:p>
      <w:pPr>
        <w:spacing w:line="360" w:lineRule="auto"/>
        <w:ind w:firstLine="280" w:firstLineChars="100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2.导电性能：具备低接触电阻特性，测试时夹钳自身接触电阻≤5μΩ，避免因夹钳电阻过大影响回路电阻测试结果准确性。</w:t>
      </w:r>
    </w:p>
    <w:p>
      <w:pPr>
        <w:spacing w:line="360" w:lineRule="auto"/>
        <w:ind w:firstLine="280" w:firstLineChars="100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3.绝缘安全性：钳体绝缘部分需隔绝管母高压，在110kV系统停电状态下，能承受1000V AC耐压测试1分钟，无击穿、闪络现象，保障操作人员安全。</w:t>
      </w:r>
    </w:p>
    <w:p>
      <w:pPr>
        <w:spacing w:line="360" w:lineRule="auto"/>
        <w:ind w:firstLine="280" w:firstLineChars="100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4.操作便捷性：采用杠杆式或液压式夹紧结构，单人可完成开合操作，钳口最大开口度≥220mm（适配管母直径+安装间隙），夹紧后保持力≥500N，防止测试中松脱。</w:t>
      </w:r>
    </w:p>
    <w:p>
      <w:pPr>
        <w:spacing w:line="360" w:lineRule="auto"/>
        <w:ind w:firstLine="280" w:firstLineChars="1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5.环境适应性：能在-20℃-55℃温度、≤80%相对湿度环境下稳定工作，且具备抗轻微粉尘、油污能力，适配变电站户外或室内测试场景。</w:t>
      </w:r>
    </w:p>
    <w:p>
      <w:pPr>
        <w:pStyle w:val="5"/>
      </w:pPr>
      <w:bookmarkStart w:id="6" w:name="_Toc1567"/>
      <w:r>
        <w:rPr>
          <w:rFonts w:hint="eastAsia"/>
        </w:rPr>
        <w:t>6服务范围</w:t>
      </w:r>
      <w:bookmarkEnd w:id="6"/>
    </w:p>
    <w:p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服务范围一览表</w:t>
      </w:r>
    </w:p>
    <w:tbl>
      <w:tblPr>
        <w:tblStyle w:val="12"/>
        <w:tblW w:w="876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9"/>
        <w:gridCol w:w="2531"/>
        <w:gridCol w:w="750"/>
        <w:gridCol w:w="1420"/>
        <w:gridCol w:w="1666"/>
        <w:gridCol w:w="14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序号</w:t>
            </w:r>
          </w:p>
        </w:tc>
        <w:tc>
          <w:tcPr>
            <w:tcW w:w="253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名称</w:t>
            </w:r>
          </w:p>
        </w:tc>
        <w:tc>
          <w:tcPr>
            <w:tcW w:w="750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单位</w:t>
            </w:r>
          </w:p>
        </w:tc>
        <w:tc>
          <w:tcPr>
            <w:tcW w:w="1420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形式、规格</w:t>
            </w:r>
          </w:p>
        </w:tc>
        <w:tc>
          <w:tcPr>
            <w:tcW w:w="1666" w:type="dxa"/>
            <w:vAlign w:val="center"/>
          </w:tcPr>
          <w:p>
            <w:pPr>
              <w:jc w:val="center"/>
            </w:pPr>
            <w:r>
              <w:rPr>
                <w:rFonts w:hint="eastAsia"/>
                <w:sz w:val="28"/>
                <w:szCs w:val="28"/>
              </w:rPr>
              <w:t>服务期限</w:t>
            </w:r>
          </w:p>
        </w:tc>
        <w:tc>
          <w:tcPr>
            <w:tcW w:w="1420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253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“一种新型测量硬母线及圆形导电杆搭接线夹回路电阻</w:t>
            </w:r>
            <w:r>
              <w:rPr>
                <w:rFonts w:hint="eastAsia"/>
                <w:sz w:val="28"/>
                <w:szCs w:val="28"/>
                <w:lang w:eastAsia="zh-CN"/>
              </w:rPr>
              <w:t>的</w:t>
            </w:r>
            <w:r>
              <w:rPr>
                <w:rFonts w:hint="eastAsia"/>
                <w:sz w:val="28"/>
                <w:szCs w:val="28"/>
              </w:rPr>
              <w:t>装置”加工服务</w:t>
            </w:r>
          </w:p>
        </w:tc>
        <w:tc>
          <w:tcPr>
            <w:tcW w:w="750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项</w:t>
            </w:r>
          </w:p>
        </w:tc>
        <w:tc>
          <w:tcPr>
            <w:tcW w:w="1420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满足本技术规范书要求</w:t>
            </w:r>
          </w:p>
        </w:tc>
        <w:tc>
          <w:tcPr>
            <w:tcW w:w="1666" w:type="dxa"/>
            <w:vMerge w:val="restart"/>
            <w:vAlign w:val="center"/>
          </w:tcPr>
          <w:p>
            <w:pPr>
              <w:jc w:val="center"/>
            </w:pPr>
            <w:r>
              <w:rPr>
                <w:rFonts w:hint="eastAsia" w:cs="宋体"/>
                <w:sz w:val="28"/>
                <w:szCs w:val="28"/>
              </w:rPr>
              <w:t>自合同约定之日起90</w:t>
            </w:r>
            <w:r>
              <w:rPr>
                <w:rFonts w:hint="eastAsia" w:cs="宋体"/>
                <w:sz w:val="28"/>
                <w:szCs w:val="28"/>
                <w:lang w:eastAsia="zh-CN"/>
              </w:rPr>
              <w:t>日</w:t>
            </w:r>
            <w:r>
              <w:rPr>
                <w:rFonts w:hint="eastAsia" w:cs="宋体"/>
                <w:sz w:val="28"/>
                <w:szCs w:val="28"/>
              </w:rPr>
              <w:t>内</w:t>
            </w:r>
          </w:p>
        </w:tc>
        <w:tc>
          <w:tcPr>
            <w:tcW w:w="1420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2531" w:type="dxa"/>
            <w:vAlign w:val="center"/>
          </w:tcPr>
          <w:p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  <w:lang w:val="en-US" w:eastAsia="zh-CN"/>
              </w:rPr>
              <w:t>第三方检测报告（CMA、CNAS）</w:t>
            </w:r>
          </w:p>
        </w:tc>
        <w:tc>
          <w:tcPr>
            <w:tcW w:w="750" w:type="dxa"/>
            <w:vAlign w:val="center"/>
          </w:tcPr>
          <w:p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  <w:lang w:eastAsia="zh-CN"/>
              </w:rPr>
              <w:t>份</w:t>
            </w:r>
          </w:p>
        </w:tc>
        <w:tc>
          <w:tcPr>
            <w:tcW w:w="1420" w:type="dxa"/>
            <w:vAlign w:val="center"/>
          </w:tcPr>
          <w:p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  <w:lang w:val="en-US" w:eastAsia="zh-CN"/>
              </w:rPr>
              <w:t>型式试验，对于暂无型式试验标准的，应进行含关键检测项的委托试验</w:t>
            </w:r>
          </w:p>
        </w:tc>
        <w:tc>
          <w:tcPr>
            <w:tcW w:w="1666" w:type="dxa"/>
            <w:vMerge w:val="continue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20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</w:tr>
    </w:tbl>
    <w:p/>
    <w:p>
      <w:pPr>
        <w:pStyle w:val="5"/>
        <w:rPr>
          <w:rFonts w:ascii="Calibri" w:hAnsi="宋体" w:eastAsia="宋体" w:cs="Times New Roman"/>
          <w:kern w:val="44"/>
          <w:sz w:val="28"/>
          <w:szCs w:val="28"/>
        </w:rPr>
      </w:pPr>
      <w:bookmarkStart w:id="7" w:name="_Toc16594"/>
      <w:r>
        <w:rPr>
          <w:rFonts w:hint="eastAsia" w:ascii="Calibri" w:hAnsi="宋体" w:eastAsia="宋体" w:cs="Times New Roman"/>
          <w:kern w:val="44"/>
          <w:sz w:val="28"/>
          <w:szCs w:val="28"/>
        </w:rPr>
        <w:t>7包装、运输及质量保证</w:t>
      </w:r>
      <w:bookmarkEnd w:id="7"/>
    </w:p>
    <w:p>
      <w:pPr>
        <w:spacing w:line="360" w:lineRule="auto"/>
        <w:ind w:firstLine="280" w:firstLineChars="1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7.1产品在运输应有防护措施，以免散失损坏或丢失、变形、受潮和腐蚀，中标方应按电压等级分类供货。</w:t>
      </w:r>
    </w:p>
    <w:p>
      <w:pPr>
        <w:spacing w:line="360" w:lineRule="auto"/>
        <w:ind w:firstLine="280" w:firstLineChars="1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7.2储存、运输中应该注意通风、防潮,同时不得与有腐蚀性的物品堆放在一起。还应注意避开有腐蚀性气体环境。运输工程中应避免野蛮装卸。</w:t>
      </w:r>
    </w:p>
    <w:p>
      <w:pPr>
        <w:spacing w:line="360" w:lineRule="auto"/>
        <w:ind w:firstLine="280" w:firstLineChars="1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★7.3中标方应对所加工的产品通过招标方验收评审通过之日计起，提供一年“三包”质量保证，质保期后如发生损坏，中标方应及时提供维修、更换服务，并按最近的投标价提供。</w:t>
      </w:r>
    </w:p>
    <w:p>
      <w:pPr>
        <w:spacing w:line="360" w:lineRule="auto"/>
        <w:ind w:firstLine="280" w:firstLineChars="1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7.4中标方应遵守本招标技术文件中各条款和工作项目的ISO9000、GB/T19000质量保证体系, 该质量保证体系已经过国家认证和正常运转。</w:t>
      </w:r>
    </w:p>
    <w:p>
      <w:pPr>
        <w:rPr>
          <w:rFonts w:ascii="Calibri" w:hAnsi="Calibri" w:eastAsia="宋体" w:cs="Times New Roman"/>
          <w:sz w:val="28"/>
        </w:rPr>
      </w:pPr>
      <w:bookmarkStart w:id="8" w:name="_Toc28920"/>
      <w:r>
        <w:rPr>
          <w:rFonts w:hint="eastAsia" w:ascii="Calibri" w:hAnsi="Calibri" w:eastAsia="宋体" w:cs="Times New Roman"/>
          <w:sz w:val="28"/>
        </w:rPr>
        <w:br w:type="page"/>
      </w:r>
    </w:p>
    <w:p>
      <w:pPr>
        <w:pStyle w:val="4"/>
        <w:spacing w:before="0" w:after="0" w:line="360" w:lineRule="auto"/>
        <w:rPr>
          <w:rFonts w:ascii="Calibri" w:hAnsi="Calibri" w:eastAsia="宋体" w:cs="Times New Roman"/>
          <w:sz w:val="28"/>
        </w:rPr>
      </w:pPr>
      <w:r>
        <w:rPr>
          <w:rFonts w:hint="eastAsia" w:ascii="Calibri" w:hAnsi="Calibri" w:eastAsia="宋体" w:cs="Times New Roman"/>
          <w:sz w:val="28"/>
        </w:rPr>
        <w:t>附件</w:t>
      </w:r>
      <w:bookmarkEnd w:id="8"/>
    </w:p>
    <w:p>
      <w:pPr>
        <w:spacing w:line="360" w:lineRule="auto"/>
        <w:ind w:firstLine="280" w:firstLineChars="1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1.差异表</w:t>
      </w:r>
    </w:p>
    <w:p>
      <w:pPr>
        <w:spacing w:line="360" w:lineRule="auto"/>
        <w:ind w:firstLine="280" w:firstLineChars="1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序号招标文件投标文件条目</w:t>
      </w:r>
    </w:p>
    <w:tbl>
      <w:tblPr>
        <w:tblStyle w:val="11"/>
        <w:tblW w:w="8504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0"/>
        <w:gridCol w:w="1368"/>
        <w:gridCol w:w="2412"/>
        <w:gridCol w:w="1644"/>
        <w:gridCol w:w="22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85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  <w:bookmarkStart w:id="9" w:name="_Toc148970013"/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序号</w:t>
            </w:r>
            <w:bookmarkEnd w:id="9"/>
          </w:p>
        </w:tc>
        <w:tc>
          <w:tcPr>
            <w:tcW w:w="37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  <w:bookmarkStart w:id="10" w:name="_Toc148970014"/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招标文件</w:t>
            </w:r>
            <w:bookmarkEnd w:id="10"/>
          </w:p>
        </w:tc>
        <w:tc>
          <w:tcPr>
            <w:tcW w:w="387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  <w:bookmarkStart w:id="11" w:name="_Toc148970015"/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投标文件</w:t>
            </w:r>
            <w:bookmarkEnd w:id="11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8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  <w:bookmarkStart w:id="12" w:name="_Toc148970016"/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条目</w:t>
            </w:r>
            <w:bookmarkEnd w:id="12"/>
          </w:p>
        </w:tc>
        <w:tc>
          <w:tcPr>
            <w:tcW w:w="2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  <w:bookmarkStart w:id="13" w:name="_Toc148970017"/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简要内容</w:t>
            </w:r>
            <w:bookmarkEnd w:id="13"/>
          </w:p>
        </w:tc>
        <w:tc>
          <w:tcPr>
            <w:tcW w:w="1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满足程度</w:t>
            </w:r>
          </w:p>
        </w:tc>
        <w:tc>
          <w:tcPr>
            <w:tcW w:w="2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  <w:jc w:val="center"/>
        </w:trPr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1</w:t>
            </w:r>
          </w:p>
        </w:tc>
        <w:tc>
          <w:tcPr>
            <w:tcW w:w="1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……</w:t>
            </w:r>
          </w:p>
        </w:tc>
        <w:tc>
          <w:tcPr>
            <w:tcW w:w="2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……</w:t>
            </w:r>
          </w:p>
        </w:tc>
        <w:tc>
          <w:tcPr>
            <w:tcW w:w="1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优于/部分满足/不满足</w:t>
            </w:r>
          </w:p>
        </w:tc>
        <w:tc>
          <w:tcPr>
            <w:tcW w:w="2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2</w:t>
            </w:r>
          </w:p>
        </w:tc>
        <w:tc>
          <w:tcPr>
            <w:tcW w:w="1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……</w:t>
            </w:r>
          </w:p>
        </w:tc>
        <w:tc>
          <w:tcPr>
            <w:tcW w:w="2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……</w:t>
            </w:r>
          </w:p>
        </w:tc>
        <w:tc>
          <w:tcPr>
            <w:tcW w:w="1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优于/部分满足/不满足</w:t>
            </w:r>
          </w:p>
        </w:tc>
        <w:tc>
          <w:tcPr>
            <w:tcW w:w="2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……</w:t>
            </w:r>
          </w:p>
        </w:tc>
      </w:tr>
    </w:tbl>
    <w:p>
      <w:pPr>
        <w:spacing w:line="360" w:lineRule="auto"/>
        <w:ind w:firstLine="280" w:firstLineChars="100"/>
        <w:rPr>
          <w:rFonts w:ascii="宋体" w:hAnsi="宋体" w:eastAsia="宋体" w:cs="Times New Roman"/>
          <w:sz w:val="28"/>
          <w:szCs w:val="28"/>
        </w:rPr>
      </w:pPr>
    </w:p>
    <w:p>
      <w:pPr>
        <w:spacing w:line="360" w:lineRule="auto"/>
        <w:ind w:firstLine="280" w:firstLineChars="1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2、投标方需要说明的其它问题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7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2BA"/>
    <w:rsid w:val="0000347D"/>
    <w:rsid w:val="000A3B26"/>
    <w:rsid w:val="000C6D20"/>
    <w:rsid w:val="000E5E5B"/>
    <w:rsid w:val="00132F0B"/>
    <w:rsid w:val="00191DE0"/>
    <w:rsid w:val="00192F60"/>
    <w:rsid w:val="001A29E4"/>
    <w:rsid w:val="001B5C1B"/>
    <w:rsid w:val="00237B17"/>
    <w:rsid w:val="002F34D6"/>
    <w:rsid w:val="003B32BA"/>
    <w:rsid w:val="00555852"/>
    <w:rsid w:val="005649F5"/>
    <w:rsid w:val="00596F79"/>
    <w:rsid w:val="005A6480"/>
    <w:rsid w:val="005E4095"/>
    <w:rsid w:val="00660D42"/>
    <w:rsid w:val="00671434"/>
    <w:rsid w:val="006737E9"/>
    <w:rsid w:val="00674768"/>
    <w:rsid w:val="006E0B10"/>
    <w:rsid w:val="00730762"/>
    <w:rsid w:val="0085126E"/>
    <w:rsid w:val="008A1E49"/>
    <w:rsid w:val="00977501"/>
    <w:rsid w:val="009A5C63"/>
    <w:rsid w:val="00B618A5"/>
    <w:rsid w:val="00B917D5"/>
    <w:rsid w:val="00C12DD9"/>
    <w:rsid w:val="00C70FD7"/>
    <w:rsid w:val="00CD7AC5"/>
    <w:rsid w:val="00E05DC7"/>
    <w:rsid w:val="00E23D91"/>
    <w:rsid w:val="00ED7349"/>
    <w:rsid w:val="00EF68A3"/>
    <w:rsid w:val="00F524B0"/>
    <w:rsid w:val="00F82C64"/>
    <w:rsid w:val="00FD5232"/>
    <w:rsid w:val="00FF2E87"/>
    <w:rsid w:val="095F4F6E"/>
    <w:rsid w:val="09B07C3E"/>
    <w:rsid w:val="09D9505B"/>
    <w:rsid w:val="0C345261"/>
    <w:rsid w:val="0C8711CC"/>
    <w:rsid w:val="111F05AF"/>
    <w:rsid w:val="15AD5F8B"/>
    <w:rsid w:val="1B4251E5"/>
    <w:rsid w:val="239327F0"/>
    <w:rsid w:val="267D55BB"/>
    <w:rsid w:val="324367F0"/>
    <w:rsid w:val="33964460"/>
    <w:rsid w:val="3B645C09"/>
    <w:rsid w:val="3B9F4427"/>
    <w:rsid w:val="3E8308D2"/>
    <w:rsid w:val="4A6E1422"/>
    <w:rsid w:val="4CD25091"/>
    <w:rsid w:val="54392C92"/>
    <w:rsid w:val="54CA51F7"/>
    <w:rsid w:val="572A4459"/>
    <w:rsid w:val="63FB0FE4"/>
    <w:rsid w:val="749234CF"/>
    <w:rsid w:val="75EC3368"/>
    <w:rsid w:val="7D420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name="toc 1"/>
    <w:lsdException w:qFormat="1"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link w:val="18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link w:val="17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6">
    <w:name w:val="Balloon Text"/>
    <w:basedOn w:val="1"/>
    <w:link w:val="20"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toc 1"/>
    <w:basedOn w:val="1"/>
    <w:next w:val="1"/>
    <w:semiHidden/>
    <w:unhideWhenUsed/>
    <w:qFormat/>
    <w:uiPriority w:val="39"/>
  </w:style>
  <w:style w:type="paragraph" w:styleId="10">
    <w:name w:val="toc 2"/>
    <w:basedOn w:val="1"/>
    <w:next w:val="1"/>
    <w:unhideWhenUsed/>
    <w:qFormat/>
    <w:uiPriority w:val="39"/>
    <w:pPr>
      <w:ind w:left="420" w:leftChars="200"/>
    </w:pPr>
  </w:style>
  <w:style w:type="table" w:styleId="12">
    <w:name w:val="Table Grid"/>
    <w:basedOn w:val="11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styleId="14">
    <w:name w:val="Hyperlink"/>
    <w:basedOn w:val="13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5">
    <w:name w:val="页眉 Char"/>
    <w:basedOn w:val="13"/>
    <w:link w:val="8"/>
    <w:qFormat/>
    <w:uiPriority w:val="99"/>
    <w:rPr>
      <w:sz w:val="18"/>
      <w:szCs w:val="18"/>
    </w:rPr>
  </w:style>
  <w:style w:type="character" w:customStyle="1" w:styleId="16">
    <w:name w:val="页脚 Char"/>
    <w:basedOn w:val="13"/>
    <w:link w:val="7"/>
    <w:qFormat/>
    <w:uiPriority w:val="99"/>
    <w:rPr>
      <w:sz w:val="18"/>
      <w:szCs w:val="18"/>
    </w:rPr>
  </w:style>
  <w:style w:type="character" w:customStyle="1" w:styleId="17">
    <w:name w:val="标题 2 Char"/>
    <w:basedOn w:val="13"/>
    <w:link w:val="5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18">
    <w:name w:val="标题 1 Char"/>
    <w:basedOn w:val="13"/>
    <w:link w:val="4"/>
    <w:qFormat/>
    <w:uiPriority w:val="9"/>
    <w:rPr>
      <w:b/>
      <w:bCs/>
      <w:kern w:val="44"/>
      <w:sz w:val="44"/>
      <w:szCs w:val="44"/>
    </w:rPr>
  </w:style>
  <w:style w:type="paragraph" w:customStyle="1" w:styleId="19">
    <w:name w:val="TOC 标题1"/>
    <w:basedOn w:val="4"/>
    <w:next w:val="1"/>
    <w:semiHidden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20">
    <w:name w:val="批注框文本 Char"/>
    <w:basedOn w:val="13"/>
    <w:link w:val="6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504247A-B4FE-47AC-8CD1-DA47B1BE760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346</Words>
  <Characters>1974</Characters>
  <Lines>16</Lines>
  <Paragraphs>4</Paragraphs>
  <TotalTime>2</TotalTime>
  <ScaleCrop>false</ScaleCrop>
  <LinksUpToDate>false</LinksUpToDate>
  <CharactersWithSpaces>2316</CharactersWithSpaces>
  <Application>WPS Office_11.8.2.8696_F1E327BC-269C-435d-A152-05C5408002CA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2023-10-07T15:28:00Z</dcterms:created>
  <dc:creator>admin</dc:creator>
  <cp:lastModifiedBy>陈欣</cp:lastModifiedBy>
  <dcterms:modified xsi:type="dcterms:W3CDTF">2025-11-05T12:09:49Z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2052-11.8.2.8696</vt:lpwstr>
  </property>
  <property fmtid="{D5CDD505-2E9C-101B-9397-08002B2CF9AE}" pid="3" name="ICV">
    <vt:lpwstr>7E3579B4FA544A029E0A060C3DD09586</vt:lpwstr>
  </property>
</Properties>
</file>