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hint="eastAsia" w:ascii="宋体" w:hAnsi="宋体" w:eastAsia="宋体" w:cs="宋体"/>
          <w:sz w:val="48"/>
          <w:szCs w:val="48"/>
        </w:rPr>
      </w:pPr>
      <w:r>
        <w:rPr>
          <w:rFonts w:hint="eastAsia" w:ascii="宋体" w:hAnsi="宋体" w:eastAsia="宋体" w:cs="宋体"/>
          <w:sz w:val="52"/>
          <w:szCs w:val="24"/>
        </w:rPr>
        <w:drawing>
          <wp:anchor distT="0" distB="0" distL="114300" distR="114300" simplePos="0" relativeHeight="251659264" behindDoc="0" locked="0" layoutInCell="1" allowOverlap="1">
            <wp:simplePos x="0" y="0"/>
            <wp:positionH relativeFrom="column">
              <wp:posOffset>-1157605</wp:posOffset>
            </wp:positionH>
            <wp:positionV relativeFrom="paragraph">
              <wp:posOffset>-908050</wp:posOffset>
            </wp:positionV>
            <wp:extent cx="7569200" cy="2279015"/>
            <wp:effectExtent l="0" t="0" r="12700" b="6985"/>
            <wp:wrapNone/>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4" cstate="print"/>
                    <a:srcRect/>
                    <a:stretch>
                      <a:fillRect/>
                    </a:stretch>
                  </pic:blipFill>
                  <pic:spPr>
                    <a:xfrm>
                      <a:off x="0" y="0"/>
                      <a:ext cx="7569200" cy="2279015"/>
                    </a:xfrm>
                    <a:prstGeom prst="rect">
                      <a:avLst/>
                    </a:prstGeom>
                    <a:noFill/>
                  </pic:spPr>
                </pic:pic>
              </a:graphicData>
            </a:graphic>
          </wp:anchor>
        </w:drawing>
      </w:r>
    </w:p>
    <w:p>
      <w:pPr>
        <w:snapToGrid w:val="0"/>
        <w:jc w:val="center"/>
        <w:rPr>
          <w:rFonts w:hint="eastAsia" w:ascii="宋体" w:hAnsi="宋体" w:eastAsia="宋体" w:cs="宋体"/>
          <w:sz w:val="48"/>
          <w:szCs w:val="48"/>
        </w:rPr>
      </w:pPr>
    </w:p>
    <w:p>
      <w:pPr>
        <w:snapToGrid w:val="0"/>
        <w:jc w:val="center"/>
        <w:rPr>
          <w:rFonts w:hint="eastAsia" w:ascii="宋体" w:hAnsi="宋体" w:eastAsia="宋体" w:cs="宋体"/>
          <w:sz w:val="48"/>
          <w:szCs w:val="48"/>
        </w:rPr>
      </w:pPr>
    </w:p>
    <w:p>
      <w:pPr>
        <w:snapToGrid w:val="0"/>
        <w:jc w:val="center"/>
        <w:rPr>
          <w:rFonts w:hint="eastAsia" w:ascii="宋体" w:hAnsi="宋体" w:eastAsia="宋体" w:cs="宋体"/>
          <w:sz w:val="48"/>
          <w:szCs w:val="48"/>
        </w:rPr>
      </w:pPr>
    </w:p>
    <w:p>
      <w:pPr>
        <w:snapToGrid w:val="0"/>
        <w:jc w:val="center"/>
        <w:rPr>
          <w:rFonts w:hint="eastAsia" w:ascii="宋体" w:hAnsi="宋体" w:eastAsia="宋体" w:cs="宋体"/>
          <w:sz w:val="48"/>
          <w:szCs w:val="48"/>
        </w:rPr>
      </w:pPr>
    </w:p>
    <w:p>
      <w:pPr>
        <w:widowControl/>
        <w:spacing w:before="156" w:beforeLines="50" w:after="156" w:afterLines="50" w:line="560" w:lineRule="atLeast"/>
        <w:jc w:val="center"/>
        <w:rPr>
          <w:rFonts w:hint="eastAsia" w:ascii="宋体" w:hAnsi="宋体" w:eastAsia="宋体" w:cs="宋体"/>
          <w:b/>
          <w:color w:val="000000"/>
          <w:position w:val="16"/>
          <w:sz w:val="52"/>
          <w:szCs w:val="72"/>
        </w:rPr>
      </w:pPr>
    </w:p>
    <w:p>
      <w:pPr>
        <w:widowControl/>
        <w:spacing w:before="156" w:beforeLines="50" w:after="156" w:afterLines="50" w:line="560" w:lineRule="atLeast"/>
        <w:jc w:val="center"/>
        <w:rPr>
          <w:rFonts w:hint="eastAsia" w:ascii="宋体" w:hAnsi="宋体" w:eastAsia="宋体" w:cs="宋体"/>
          <w:b/>
          <w:color w:val="000000"/>
          <w:position w:val="16"/>
          <w:sz w:val="52"/>
          <w:szCs w:val="72"/>
        </w:rPr>
      </w:pPr>
    </w:p>
    <w:p>
      <w:pPr>
        <w:widowControl/>
        <w:spacing w:before="156" w:beforeLines="50" w:after="156" w:afterLines="50" w:line="560" w:lineRule="atLeast"/>
        <w:jc w:val="center"/>
        <w:rPr>
          <w:rFonts w:hint="eastAsia" w:ascii="宋体" w:hAnsi="宋体" w:eastAsia="宋体" w:cs="宋体"/>
          <w:b/>
          <w:color w:val="000000"/>
          <w:position w:val="16"/>
          <w:sz w:val="48"/>
          <w:szCs w:val="56"/>
        </w:rPr>
      </w:pPr>
      <w:r>
        <w:rPr>
          <w:rFonts w:hint="eastAsia" w:ascii="宋体" w:hAnsi="宋体" w:eastAsia="宋体" w:cs="宋体"/>
          <w:b/>
          <w:color w:val="000000"/>
          <w:position w:val="16"/>
          <w:sz w:val="48"/>
          <w:szCs w:val="56"/>
        </w:rPr>
        <w:t>母线洞GCB合闸预警系统技术规范书</w:t>
      </w:r>
    </w:p>
    <w:p>
      <w:pPr>
        <w:jc w:val="center"/>
        <w:rPr>
          <w:rFonts w:hint="eastAsia" w:ascii="宋体" w:hAnsi="宋体" w:eastAsia="宋体" w:cs="宋体"/>
          <w:b/>
          <w:color w:val="FF0000"/>
          <w:position w:val="16"/>
          <w:sz w:val="44"/>
          <w:szCs w:val="44"/>
        </w:rPr>
      </w:pPr>
    </w:p>
    <w:p>
      <w:pPr>
        <w:snapToGrid w:val="0"/>
        <w:jc w:val="center"/>
        <w:rPr>
          <w:rFonts w:hint="eastAsia" w:ascii="宋体" w:hAnsi="宋体" w:eastAsia="宋体" w:cs="宋体"/>
          <w:b/>
          <w:color w:val="000000"/>
          <w:position w:val="16"/>
          <w:sz w:val="36"/>
          <w:szCs w:val="44"/>
        </w:rPr>
      </w:pPr>
    </w:p>
    <w:p>
      <w:pPr>
        <w:snapToGrid w:val="0"/>
        <w:jc w:val="center"/>
        <w:rPr>
          <w:rFonts w:hint="eastAsia" w:ascii="宋体" w:hAnsi="宋体" w:eastAsia="宋体" w:cs="宋体"/>
          <w:b/>
          <w:color w:val="000000"/>
          <w:position w:val="16"/>
          <w:sz w:val="36"/>
          <w:szCs w:val="44"/>
        </w:rPr>
      </w:pPr>
    </w:p>
    <w:p>
      <w:pPr>
        <w:snapToGrid w:val="0"/>
        <w:jc w:val="center"/>
        <w:rPr>
          <w:rFonts w:hint="eastAsia" w:ascii="宋体" w:hAnsi="宋体" w:eastAsia="宋体" w:cs="宋体"/>
          <w:sz w:val="48"/>
          <w:szCs w:val="48"/>
        </w:rPr>
      </w:pPr>
    </w:p>
    <w:p>
      <w:pPr>
        <w:snapToGrid w:val="0"/>
        <w:jc w:val="center"/>
        <w:rPr>
          <w:rFonts w:hint="eastAsia" w:ascii="宋体" w:hAnsi="宋体" w:eastAsia="宋体" w:cs="宋体"/>
          <w:sz w:val="48"/>
          <w:szCs w:val="48"/>
        </w:rPr>
      </w:pPr>
    </w:p>
    <w:p>
      <w:pPr>
        <w:snapToGrid w:val="0"/>
        <w:jc w:val="center"/>
        <w:rPr>
          <w:rFonts w:hint="eastAsia" w:ascii="宋体" w:hAnsi="宋体" w:eastAsia="宋体" w:cs="宋体"/>
          <w:sz w:val="48"/>
          <w:szCs w:val="48"/>
        </w:rPr>
      </w:pPr>
    </w:p>
    <w:p>
      <w:pPr>
        <w:snapToGrid w:val="0"/>
        <w:jc w:val="center"/>
        <w:rPr>
          <w:rFonts w:hint="eastAsia" w:ascii="宋体" w:hAnsi="宋体" w:eastAsia="宋体" w:cs="宋体"/>
          <w:sz w:val="48"/>
          <w:szCs w:val="48"/>
        </w:rPr>
      </w:pPr>
    </w:p>
    <w:p>
      <w:pPr>
        <w:widowControl/>
        <w:jc w:val="center"/>
        <w:rPr>
          <w:rFonts w:hint="eastAsia" w:ascii="宋体" w:hAnsi="宋体" w:eastAsia="宋体" w:cs="宋体"/>
          <w:b/>
          <w:bCs/>
          <w:sz w:val="36"/>
        </w:rPr>
      </w:pPr>
      <w:r>
        <w:rPr>
          <w:rFonts w:hint="eastAsia" w:ascii="宋体" w:hAnsi="宋体" w:eastAsia="宋体" w:cs="宋体"/>
          <w:b/>
          <w:color w:val="000000"/>
          <w:position w:val="16"/>
          <w:sz w:val="36"/>
        </w:rPr>
        <w:t>二〇</w:t>
      </w:r>
      <w:r>
        <w:rPr>
          <w:rFonts w:hint="eastAsia" w:ascii="宋体" w:hAnsi="宋体" w:eastAsia="宋体" w:cs="宋体"/>
          <w:b/>
          <w:color w:val="000000"/>
          <w:position w:val="16"/>
          <w:sz w:val="36"/>
          <w:lang w:eastAsia="zh-CN"/>
        </w:rPr>
        <w:t>二</w:t>
      </w:r>
      <w:r>
        <w:rPr>
          <w:rFonts w:hint="eastAsia" w:ascii="宋体" w:hAnsi="宋体" w:eastAsia="宋体" w:cs="宋体"/>
          <w:b/>
          <w:color w:val="000000"/>
          <w:position w:val="16"/>
          <w:sz w:val="36"/>
          <w:lang w:val="en-US" w:eastAsia="zh-CN"/>
        </w:rPr>
        <w:t>五</w:t>
      </w:r>
      <w:r>
        <w:rPr>
          <w:rFonts w:hint="eastAsia" w:ascii="宋体" w:hAnsi="宋体" w:eastAsia="宋体" w:cs="宋体"/>
          <w:b/>
          <w:color w:val="000000"/>
          <w:position w:val="16"/>
          <w:sz w:val="36"/>
        </w:rPr>
        <w:t>年</w:t>
      </w:r>
      <w:r>
        <w:rPr>
          <w:rFonts w:hint="eastAsia" w:ascii="宋体" w:hAnsi="宋体" w:eastAsia="宋体" w:cs="宋体"/>
          <w:b/>
          <w:color w:val="000000"/>
          <w:position w:val="16"/>
          <w:sz w:val="36"/>
          <w:lang w:val="en-US" w:eastAsia="zh-CN"/>
        </w:rPr>
        <w:t>十一</w:t>
      </w:r>
      <w:r>
        <w:rPr>
          <w:rFonts w:hint="eastAsia" w:ascii="宋体" w:hAnsi="宋体" w:eastAsia="宋体" w:cs="宋体"/>
          <w:b/>
          <w:color w:val="000000"/>
          <w:position w:val="16"/>
          <w:sz w:val="36"/>
        </w:rPr>
        <w:t>月</w:t>
      </w:r>
    </w:p>
    <w:p>
      <w:pPr>
        <w:spacing w:line="420" w:lineRule="exact"/>
        <w:jc w:val="center"/>
        <w:rPr>
          <w:rFonts w:hint="eastAsia" w:ascii="宋体" w:hAnsi="宋体" w:eastAsia="宋体" w:cs="宋体"/>
          <w:b/>
          <w:bCs/>
          <w:sz w:val="36"/>
        </w:rPr>
      </w:pPr>
    </w:p>
    <w:p>
      <w:pPr>
        <w:spacing w:line="420" w:lineRule="exact"/>
        <w:jc w:val="center"/>
        <w:rPr>
          <w:rFonts w:hint="eastAsia" w:ascii="宋体" w:hAnsi="宋体" w:eastAsia="宋体" w:cs="宋体"/>
          <w:b/>
          <w:bCs/>
          <w:sz w:val="36"/>
        </w:rPr>
      </w:pPr>
    </w:p>
    <w:p>
      <w:pPr>
        <w:pStyle w:val="2"/>
        <w:rPr>
          <w:rFonts w:hint="eastAsia" w:ascii="宋体" w:hAnsi="宋体" w:eastAsia="宋体" w:cs="宋体"/>
          <w:b/>
          <w:bCs/>
          <w:sz w:val="36"/>
        </w:rPr>
      </w:pPr>
    </w:p>
    <w:p>
      <w:pPr>
        <w:pStyle w:val="2"/>
        <w:rPr>
          <w:rFonts w:hint="eastAsia" w:ascii="宋体" w:hAnsi="宋体" w:eastAsia="宋体" w:cs="宋体"/>
          <w:b/>
          <w:bCs/>
          <w:sz w:val="36"/>
        </w:rPr>
      </w:pPr>
    </w:p>
    <w:p>
      <w:pPr>
        <w:spacing w:line="420" w:lineRule="exact"/>
        <w:jc w:val="center"/>
        <w:rPr>
          <w:rFonts w:hint="eastAsia" w:ascii="宋体" w:hAnsi="宋体" w:eastAsia="宋体" w:cs="宋体"/>
          <w:b/>
          <w:bCs/>
          <w:sz w:val="36"/>
        </w:rPr>
      </w:pPr>
    </w:p>
    <w:p>
      <w:pPr>
        <w:numPr>
          <w:ilvl w:val="0"/>
          <w:numId w:val="3"/>
        </w:numPr>
        <w:spacing w:line="360" w:lineRule="auto"/>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项目概况</w:t>
      </w:r>
    </w:p>
    <w:p>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发电机出口断路器合闸后，由于机组尚未完全达到稳定运行状态，母线洞内可能存在较强的残余电磁场、发电机出口断路器内部传动机构隐患导致爆炸等其他潜在风险，因此，在未确认母线洞内是否存在异常情况下，人员不应立即进入母线洞进行检查或维护工作，当前阳蓄电厂运行规程规定机组并网后至少20分钟内禁止任何人员进入母线洞，以确保安全裕度。阳蓄电厂目前主要通过在母线洞进出口处增加警示标语以实现提醒作用，尚未根据机组实际运行情况设置明显的声光告警装置，若相关人员在机组启动过程中正在母线洞内逗留或工作，无法得到及时的提醒，存在人身风险。</w:t>
      </w:r>
    </w:p>
    <w:p>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解决上述问题，降低人身风险，本项目旨在设计并制造一个母线洞GCB合闸预警系统，采用声光报警的方式，在机组启动时及时提醒在母线洞内的相关人员撤出，且在机组GCB合闸20分钟内提醒母线洞外人员禁止入内，切实保障人身安全，满足反措要求。</w:t>
      </w:r>
    </w:p>
    <w:p>
      <w:pPr>
        <w:numPr>
          <w:ilvl w:val="0"/>
          <w:numId w:val="3"/>
        </w:numPr>
        <w:spacing w:line="360" w:lineRule="auto"/>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项目实施时间</w:t>
      </w:r>
    </w:p>
    <w:p>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本项目工程工期为30日历天，开工日期以甲方发出的开工通知规定的开工日期为准。</w:t>
      </w:r>
    </w:p>
    <w:p>
      <w:pPr>
        <w:numPr>
          <w:ilvl w:val="0"/>
          <w:numId w:val="3"/>
        </w:numPr>
        <w:spacing w:line="360" w:lineRule="auto"/>
        <w:ind w:left="0" w:leftChars="0" w:firstLine="0" w:firstLineChars="0"/>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采购内容说明：</w:t>
      </w:r>
    </w:p>
    <w:p>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3.1、信号采集：依托高压油顶起直流泵控制柜实时采集机组启动信号，确保报警的准确性，避免误报。</w:t>
      </w:r>
    </w:p>
    <w:p>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3.2、声光报警：红色警示灯闪烁+间歇蜂鸣报警，提供直观的报警信号，确保母线洞内外人员均得到提醒。</w:t>
      </w:r>
    </w:p>
    <w:p>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3.3、高可靠性设计：系统采用抗电磁干扰技术，确保在复杂电力系统环境中稳定运行，保障信号采集和报警功能的准确性。</w:t>
      </w:r>
    </w:p>
    <w:p>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3.4、自动化控制：实现从信号采集、逻辑判断到报警输出的全流程自动化，减少人为干预，提升安全管理的效率和可靠性。</w:t>
      </w:r>
    </w:p>
    <w:p>
      <w:pPr>
        <w:numPr>
          <w:ilvl w:val="0"/>
          <w:numId w:val="3"/>
        </w:numPr>
        <w:spacing w:line="360" w:lineRule="auto"/>
        <w:ind w:left="0" w:leftChars="0" w:firstLine="0" w:firstLineChars="0"/>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技术要求：</w:t>
      </w:r>
    </w:p>
    <w:p>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母线洞GCB合闸预警系统，主要包括信号采集模块、逻辑控制模块和声光报警模块。信号采集模块负责实时监测GCB的合闸状态，逻辑控制模块根据合闸信号启动计时并控制报警状态，声光报警模块通过警示灯和蜂鸣器提供直观的报警信息。</w:t>
      </w:r>
    </w:p>
    <w:p>
      <w:pPr>
        <w:numPr>
          <w:ilvl w:val="0"/>
          <w:numId w:val="0"/>
        </w:num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4.1、信号采集模块</w:t>
      </w:r>
    </w:p>
    <w:p>
      <w:pPr>
        <w:pStyle w:val="21"/>
        <w:numPr>
          <w:ilvl w:val="0"/>
          <w:numId w:val="0"/>
        </w:numPr>
        <w:ind w:left="420" w:leftChars="200" w:firstLine="456" w:firstLineChars="190"/>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4.1.1、</w:t>
      </w:r>
      <w:r>
        <w:rPr>
          <w:rFonts w:hint="eastAsia" w:ascii="宋体" w:hAnsi="宋体" w:eastAsia="宋体" w:cs="宋体"/>
          <w:b w:val="0"/>
          <w:bCs w:val="0"/>
          <w:sz w:val="24"/>
          <w:szCs w:val="24"/>
        </w:rPr>
        <w:t>实时采集高压油顶起直流泵启动信号，采集响应时间≤100ms。</w:t>
      </w:r>
    </w:p>
    <w:p>
      <w:pPr>
        <w:pStyle w:val="21"/>
        <w:numPr>
          <w:ilvl w:val="0"/>
          <w:numId w:val="0"/>
        </w:numPr>
        <w:ind w:left="420" w:leftChars="200" w:firstLine="456" w:firstLineChars="190"/>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4.1.2、</w:t>
      </w:r>
      <w:r>
        <w:rPr>
          <w:rFonts w:hint="eastAsia" w:ascii="宋体" w:hAnsi="宋体" w:eastAsia="宋体" w:cs="宋体"/>
          <w:b w:val="0"/>
          <w:bCs w:val="0"/>
          <w:sz w:val="24"/>
          <w:szCs w:val="24"/>
        </w:rPr>
        <w:t>信号输入接口需具备过电压、过电流保护功能</w:t>
      </w:r>
      <w:r>
        <w:rPr>
          <w:rFonts w:hint="eastAsia" w:ascii="宋体" w:hAnsi="宋体" w:eastAsia="宋体" w:cs="宋体"/>
          <w:b w:val="0"/>
          <w:bCs w:val="0"/>
          <w:sz w:val="24"/>
          <w:szCs w:val="24"/>
          <w:lang w:eastAsia="zh-CN"/>
        </w:rPr>
        <w:t>。</w:t>
      </w:r>
    </w:p>
    <w:p>
      <w:pPr>
        <w:numPr>
          <w:ilvl w:val="0"/>
          <w:numId w:val="0"/>
        </w:num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4.2、逻辑控制模块</w:t>
      </w:r>
    </w:p>
    <w:p>
      <w:pPr>
        <w:pStyle w:val="21"/>
        <w:numPr>
          <w:ilvl w:val="0"/>
          <w:numId w:val="0"/>
        </w:numPr>
        <w:ind w:left="420" w:leftChars="200" w:firstLine="456" w:firstLineChars="19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4.2.1、收到高压油顶起直流泵启动信号后，启动20分钟倒计时，触发声光报警模块进入“禁入模式”；倒计时结束后自动解除报警。</w:t>
      </w:r>
    </w:p>
    <w:p>
      <w:pPr>
        <w:pStyle w:val="21"/>
        <w:numPr>
          <w:ilvl w:val="0"/>
          <w:numId w:val="0"/>
        </w:numPr>
        <w:ind w:left="420" w:leftChars="200" w:firstLine="456" w:firstLineChars="19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4.2.2、</w:t>
      </w:r>
      <w:r>
        <w:rPr>
          <w:rFonts w:hint="eastAsia" w:ascii="宋体" w:hAnsi="宋体" w:eastAsia="宋体" w:cs="宋体"/>
          <w:sz w:val="24"/>
          <w:szCs w:val="24"/>
        </w:rPr>
        <w:t>具备计时功能，</w:t>
      </w:r>
      <w:r>
        <w:rPr>
          <w:rFonts w:hint="eastAsia" w:ascii="宋体" w:hAnsi="宋体" w:eastAsia="宋体" w:cs="宋体"/>
          <w:sz w:val="24"/>
          <w:szCs w:val="24"/>
          <w:lang w:val="en-US" w:eastAsia="zh-CN"/>
        </w:rPr>
        <w:t>20</w:t>
      </w:r>
      <w:r>
        <w:rPr>
          <w:rFonts w:hint="eastAsia" w:ascii="宋体" w:hAnsi="宋体" w:eastAsia="宋体" w:cs="宋体"/>
          <w:sz w:val="24"/>
          <w:szCs w:val="24"/>
        </w:rPr>
        <w:t>分钟倒计时误差≤±10s</w:t>
      </w:r>
      <w:r>
        <w:rPr>
          <w:rFonts w:hint="eastAsia" w:ascii="宋体" w:hAnsi="宋体" w:eastAsia="宋体" w:cs="宋体"/>
          <w:sz w:val="24"/>
          <w:szCs w:val="24"/>
          <w:lang w:eastAsia="zh-CN"/>
        </w:rPr>
        <w:t>。</w:t>
      </w:r>
    </w:p>
    <w:p>
      <w:pPr>
        <w:numPr>
          <w:ilvl w:val="0"/>
          <w:numId w:val="0"/>
        </w:num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4.3、声光报警机制</w:t>
      </w:r>
    </w:p>
    <w:p>
      <w:pPr>
        <w:pStyle w:val="21"/>
        <w:numPr>
          <w:ilvl w:val="0"/>
          <w:numId w:val="0"/>
        </w:numPr>
        <w:ind w:left="420" w:leftChars="200" w:firstLine="456" w:firstLineChars="190"/>
        <w:rPr>
          <w:rFonts w:hint="eastAsia" w:ascii="宋体" w:hAnsi="宋体" w:eastAsia="宋体" w:cs="宋体"/>
          <w:sz w:val="24"/>
          <w:szCs w:val="24"/>
        </w:rPr>
      </w:pPr>
      <w:r>
        <w:rPr>
          <w:rFonts w:hint="eastAsia" w:ascii="宋体" w:hAnsi="宋体" w:eastAsia="宋体" w:cs="宋体"/>
          <w:sz w:val="24"/>
          <w:szCs w:val="24"/>
          <w:lang w:val="en-US" w:eastAsia="zh-CN"/>
        </w:rPr>
        <w:t>4.3.1、</w:t>
      </w:r>
      <w:r>
        <w:rPr>
          <w:rFonts w:hint="eastAsia" w:ascii="宋体" w:hAnsi="宋体" w:eastAsia="宋体" w:cs="宋体"/>
          <w:sz w:val="24"/>
          <w:szCs w:val="24"/>
        </w:rPr>
        <w:t>安装位置：母线洞隔离门内外各1台，确保运维人员在入口处清晰感知报警状态。</w:t>
      </w:r>
    </w:p>
    <w:p>
      <w:pPr>
        <w:ind w:left="420" w:leftChars="200"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4.3.2、</w:t>
      </w:r>
      <w:r>
        <w:rPr>
          <w:rFonts w:hint="eastAsia" w:ascii="宋体" w:hAnsi="宋体" w:eastAsia="宋体" w:cs="宋体"/>
          <w:kern w:val="0"/>
          <w:sz w:val="24"/>
          <w:szCs w:val="24"/>
        </w:rPr>
        <w:t>报警模式：</w:t>
      </w:r>
      <w:r>
        <w:rPr>
          <w:rFonts w:hint="eastAsia" w:ascii="宋体" w:hAnsi="宋体" w:eastAsia="宋体" w:cs="宋体"/>
          <w:kern w:val="0"/>
          <w:sz w:val="24"/>
          <w:szCs w:val="24"/>
          <w:lang w:eastAsia="zh-CN"/>
        </w:rPr>
        <w:t>红色警示灯</w:t>
      </w:r>
      <w:r>
        <w:rPr>
          <w:rFonts w:hint="eastAsia" w:ascii="宋体" w:hAnsi="宋体" w:eastAsia="宋体" w:cs="宋体"/>
          <w:kern w:val="0"/>
          <w:sz w:val="24"/>
          <w:szCs w:val="24"/>
          <w:lang w:val="en-US" w:eastAsia="zh-CN"/>
        </w:rPr>
        <w:t>闪烁+间歇</w:t>
      </w:r>
      <w:r>
        <w:rPr>
          <w:rFonts w:hint="eastAsia" w:ascii="宋体" w:hAnsi="宋体" w:eastAsia="宋体" w:cs="宋体"/>
          <w:kern w:val="0"/>
          <w:sz w:val="24"/>
          <w:szCs w:val="24"/>
          <w:lang w:eastAsia="zh-CN"/>
        </w:rPr>
        <w:t>蜂鸣</w:t>
      </w:r>
      <w:r>
        <w:rPr>
          <w:rFonts w:hint="eastAsia" w:ascii="宋体" w:hAnsi="宋体" w:eastAsia="宋体" w:cs="宋体"/>
          <w:kern w:val="0"/>
          <w:sz w:val="24"/>
          <w:szCs w:val="24"/>
          <w:lang w:val="en-US" w:eastAsia="zh-CN"/>
        </w:rPr>
        <w:t>报警</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提供直观的报警信号，确保母线洞内外人员均得到提醒</w:t>
      </w:r>
      <w:r>
        <w:rPr>
          <w:rFonts w:hint="eastAsia" w:ascii="宋体" w:hAnsi="宋体" w:eastAsia="宋体" w:cs="宋体"/>
          <w:kern w:val="0"/>
          <w:sz w:val="24"/>
          <w:szCs w:val="24"/>
          <w:lang w:eastAsia="zh-CN"/>
        </w:rPr>
        <w:t>。</w:t>
      </w:r>
    </w:p>
    <w:p>
      <w:pPr>
        <w:numPr>
          <w:ilvl w:val="0"/>
          <w:numId w:val="0"/>
        </w:num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4.4、测试验证</w:t>
      </w:r>
    </w:p>
    <w:p>
      <w:pPr>
        <w:numPr>
          <w:ilvl w:val="0"/>
          <w:numId w:val="0"/>
        </w:numPr>
        <w:spacing w:line="360" w:lineRule="auto"/>
        <w:ind w:firstLine="480" w:firstLineChars="200"/>
        <w:rPr>
          <w:rFonts w:hint="eastAsia" w:ascii="宋体" w:hAnsi="宋体" w:eastAsia="宋体" w:cs="宋体"/>
          <w:lang w:val="en-US" w:eastAsia="zh-CN"/>
        </w:rPr>
      </w:pPr>
      <w:r>
        <w:rPr>
          <w:rFonts w:hint="eastAsia" w:ascii="宋体" w:hAnsi="宋体" w:eastAsia="宋体" w:cs="宋体"/>
          <w:sz w:val="24"/>
          <w:szCs w:val="24"/>
          <w:lang w:val="en-US" w:eastAsia="zh-CN"/>
        </w:rPr>
        <w:t>在实验室和实际电站环境中对系统进行全面测试，验证信号采集的准确性、逻辑控制的可靠性以及声光报警的有效性，确保系统在高电磁干扰条件下的稳定运行。</w:t>
      </w:r>
    </w:p>
    <w:p>
      <w:pPr>
        <w:pStyle w:val="2"/>
        <w:numPr>
          <w:ilvl w:val="0"/>
          <w:numId w:val="0"/>
        </w:numPr>
        <w:ind w:leftChars="0"/>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五、安装方案：</w:t>
      </w:r>
    </w:p>
    <w:p>
      <w:pPr>
        <w:pStyle w:val="2"/>
        <w:numPr>
          <w:ilvl w:val="0"/>
          <w:numId w:val="0"/>
        </w:numPr>
        <w:ind w:left="0" w:leftChars="0" w:firstLine="422" w:firstLineChars="175"/>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5.1、从高压油顶起直流泵控制柜</w:t>
      </w:r>
      <w:bookmarkStart w:id="0" w:name="_GoBack"/>
      <w:bookmarkEnd w:id="0"/>
      <w:r>
        <w:rPr>
          <w:rFonts w:hint="eastAsia" w:ascii="宋体" w:hAnsi="宋体" w:eastAsia="宋体" w:cs="宋体"/>
          <w:sz w:val="24"/>
          <w:szCs w:val="24"/>
          <w:lang w:val="en-US" w:eastAsia="zh-CN"/>
        </w:rPr>
        <w:t>接入接触器的节点，走线到母线洞门口。</w:t>
      </w:r>
    </w:p>
    <w:p>
      <w:pPr>
        <w:pStyle w:val="2"/>
        <w:numPr>
          <w:ilvl w:val="0"/>
          <w:numId w:val="0"/>
        </w:numPr>
        <w:ind w:left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drawing>
          <wp:inline distT="0" distB="0" distL="114300" distR="114300">
            <wp:extent cx="3079115" cy="4107180"/>
            <wp:effectExtent l="0" t="0" r="6985" b="7620"/>
            <wp:docPr id="3" name="图片 3" descr="098c8b1443587f6501215cf64907e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98c8b1443587f6501215cf64907e672"/>
                    <pic:cNvPicPr>
                      <a:picLocks noChangeAspect="1"/>
                    </pic:cNvPicPr>
                  </pic:nvPicPr>
                  <pic:blipFill>
                    <a:blip r:embed="rId5"/>
                    <a:stretch>
                      <a:fillRect/>
                    </a:stretch>
                  </pic:blipFill>
                  <pic:spPr>
                    <a:xfrm>
                      <a:off x="0" y="0"/>
                      <a:ext cx="3079115" cy="4107180"/>
                    </a:xfrm>
                    <a:prstGeom prst="rect">
                      <a:avLst/>
                    </a:prstGeom>
                  </pic:spPr>
                </pic:pic>
              </a:graphicData>
            </a:graphic>
          </wp:inline>
        </w:drawing>
      </w:r>
    </w:p>
    <w:p>
      <w:pPr>
        <w:pStyle w:val="2"/>
        <w:numPr>
          <w:ilvl w:val="0"/>
          <w:numId w:val="0"/>
        </w:numPr>
        <w:ind w:left="0" w:leftChars="0" w:firstLine="422" w:firstLineChars="175"/>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5.2、通过线槽走线</w:t>
      </w:r>
    </w:p>
    <w:p>
      <w:pPr>
        <w:pStyle w:val="2"/>
        <w:numPr>
          <w:ilvl w:val="0"/>
          <w:numId w:val="0"/>
        </w:num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drawing>
          <wp:inline distT="0" distB="0" distL="114300" distR="114300">
            <wp:extent cx="3324225" cy="2492375"/>
            <wp:effectExtent l="0" t="0" r="0" b="3175"/>
            <wp:docPr id="4" name="图片 4" descr="d90d17791531e177c341de94c1e2ee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90d17791531e177c341de94c1e2ee82"/>
                    <pic:cNvPicPr>
                      <a:picLocks noChangeAspect="1"/>
                    </pic:cNvPicPr>
                  </pic:nvPicPr>
                  <pic:blipFill>
                    <a:blip r:embed="rId6"/>
                    <a:stretch>
                      <a:fillRect/>
                    </a:stretch>
                  </pic:blipFill>
                  <pic:spPr>
                    <a:xfrm>
                      <a:off x="0" y="0"/>
                      <a:ext cx="3324225" cy="2492375"/>
                    </a:xfrm>
                    <a:prstGeom prst="rect">
                      <a:avLst/>
                    </a:prstGeom>
                  </pic:spPr>
                </pic:pic>
              </a:graphicData>
            </a:graphic>
          </wp:inline>
        </w:drawing>
      </w:r>
    </w:p>
    <w:p>
      <w:pPr>
        <w:pStyle w:val="2"/>
        <w:numPr>
          <w:ilvl w:val="0"/>
          <w:numId w:val="0"/>
        </w:num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drawing>
          <wp:inline distT="0" distB="0" distL="114300" distR="114300">
            <wp:extent cx="3274060" cy="4366895"/>
            <wp:effectExtent l="0" t="0" r="2540" b="5080"/>
            <wp:docPr id="5" name="图片 5" descr="007c3602b152698c64a5ccbc8fd23d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07c3602b152698c64a5ccbc8fd23df7"/>
                    <pic:cNvPicPr>
                      <a:picLocks noChangeAspect="1"/>
                    </pic:cNvPicPr>
                  </pic:nvPicPr>
                  <pic:blipFill>
                    <a:blip r:embed="rId7"/>
                    <a:stretch>
                      <a:fillRect/>
                    </a:stretch>
                  </pic:blipFill>
                  <pic:spPr>
                    <a:xfrm>
                      <a:off x="0" y="0"/>
                      <a:ext cx="3274060" cy="4366895"/>
                    </a:xfrm>
                    <a:prstGeom prst="rect">
                      <a:avLst/>
                    </a:prstGeom>
                  </pic:spPr>
                </pic:pic>
              </a:graphicData>
            </a:graphic>
          </wp:inline>
        </w:drawing>
      </w:r>
    </w:p>
    <w:p>
      <w:pPr>
        <w:pStyle w:val="2"/>
        <w:numPr>
          <w:ilvl w:val="0"/>
          <w:numId w:val="0"/>
        </w:numPr>
        <w:jc w:val="left"/>
        <w:rPr>
          <w:rFonts w:hint="eastAsia" w:ascii="宋体" w:hAnsi="宋体" w:eastAsia="宋体" w:cs="宋体"/>
          <w:sz w:val="24"/>
          <w:szCs w:val="24"/>
          <w:lang w:val="en-US" w:eastAsia="zh-CN"/>
        </w:rPr>
      </w:pPr>
    </w:p>
    <w:p>
      <w:pPr>
        <w:pStyle w:val="2"/>
        <w:numPr>
          <w:ilvl w:val="0"/>
          <w:numId w:val="0"/>
        </w:numPr>
        <w:ind w:left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5.3、相邻区域走穿墙线槽</w:t>
      </w:r>
    </w:p>
    <w:p>
      <w:pPr>
        <w:pStyle w:val="2"/>
        <w:numPr>
          <w:ilvl w:val="0"/>
          <w:numId w:val="0"/>
        </w:numPr>
        <w:ind w:leftChars="0"/>
        <w:jc w:val="center"/>
        <w:rPr>
          <w:rFonts w:hint="eastAsia" w:ascii="宋体" w:hAnsi="宋体" w:eastAsia="宋体" w:cs="宋体"/>
          <w:lang w:val="en-US" w:eastAsia="zh-CN"/>
        </w:rPr>
      </w:pPr>
      <w:r>
        <w:rPr>
          <w:rFonts w:hint="eastAsia" w:ascii="宋体" w:hAnsi="宋体" w:eastAsia="宋体" w:cs="宋体"/>
          <w:lang w:val="en-US" w:eastAsia="zh-CN"/>
        </w:rPr>
        <w:drawing>
          <wp:inline distT="0" distB="0" distL="114300" distR="114300">
            <wp:extent cx="2534920" cy="3381375"/>
            <wp:effectExtent l="0" t="0" r="8255" b="0"/>
            <wp:docPr id="6" name="图片 6"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
                    <pic:cNvPicPr>
                      <a:picLocks noChangeAspect="1"/>
                    </pic:cNvPicPr>
                  </pic:nvPicPr>
                  <pic:blipFill>
                    <a:blip r:embed="rId8"/>
                    <a:stretch>
                      <a:fillRect/>
                    </a:stretch>
                  </pic:blipFill>
                  <pic:spPr>
                    <a:xfrm>
                      <a:off x="0" y="0"/>
                      <a:ext cx="2534920" cy="3381375"/>
                    </a:xfrm>
                    <a:prstGeom prst="rect">
                      <a:avLst/>
                    </a:prstGeom>
                  </pic:spPr>
                </pic:pic>
              </a:graphicData>
            </a:graphic>
          </wp:inline>
        </w:drawing>
      </w:r>
    </w:p>
    <w:p>
      <w:pPr>
        <w:pStyle w:val="2"/>
        <w:numPr>
          <w:ilvl w:val="0"/>
          <w:numId w:val="0"/>
        </w:numPr>
        <w:ind w:leftChars="0"/>
        <w:jc w:val="left"/>
        <w:rPr>
          <w:rFonts w:hint="eastAsia" w:ascii="宋体" w:hAnsi="宋体" w:eastAsia="宋体" w:cs="宋体"/>
          <w:lang w:val="en-US" w:eastAsia="zh-CN"/>
        </w:rPr>
      </w:pPr>
    </w:p>
    <w:p>
      <w:pPr>
        <w:pStyle w:val="2"/>
        <w:numPr>
          <w:ilvl w:val="0"/>
          <w:numId w:val="0"/>
        </w:numPr>
        <w:ind w:leftChars="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5.4、母线洞里需放一套声光报警装置</w:t>
      </w:r>
    </w:p>
    <w:p>
      <w:pPr>
        <w:pStyle w:val="2"/>
        <w:numPr>
          <w:ilvl w:val="0"/>
          <w:numId w:val="0"/>
        </w:numPr>
        <w:ind w:leftChars="0"/>
        <w:jc w:val="center"/>
        <w:rPr>
          <w:rFonts w:hint="eastAsia" w:ascii="宋体" w:hAnsi="宋体" w:eastAsia="宋体" w:cs="宋体"/>
          <w:lang w:val="en-US" w:eastAsia="zh-CN"/>
        </w:rPr>
      </w:pPr>
      <w:r>
        <w:rPr>
          <w:rFonts w:hint="eastAsia" w:ascii="宋体" w:hAnsi="宋体" w:eastAsia="宋体" w:cs="宋体"/>
          <w:lang w:val="en-US" w:eastAsia="zh-CN"/>
        </w:rPr>
        <w:drawing>
          <wp:inline distT="0" distB="0" distL="114300" distR="114300">
            <wp:extent cx="2512695" cy="3351530"/>
            <wp:effectExtent l="0" t="0" r="1905" b="1270"/>
            <wp:docPr id="7" name="图片 7" descr="cb3b818b2667fefd94b0063e47f8a9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b3b818b2667fefd94b0063e47f8a90c"/>
                    <pic:cNvPicPr>
                      <a:picLocks noChangeAspect="1"/>
                    </pic:cNvPicPr>
                  </pic:nvPicPr>
                  <pic:blipFill>
                    <a:blip r:embed="rId9"/>
                    <a:stretch>
                      <a:fillRect/>
                    </a:stretch>
                  </pic:blipFill>
                  <pic:spPr>
                    <a:xfrm>
                      <a:off x="0" y="0"/>
                      <a:ext cx="2512695" cy="3351530"/>
                    </a:xfrm>
                    <a:prstGeom prst="rect">
                      <a:avLst/>
                    </a:prstGeom>
                  </pic:spPr>
                </pic:pic>
              </a:graphicData>
            </a:graphic>
          </wp:inline>
        </w:drawing>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057DCF"/>
    <w:multiLevelType w:val="singleLevel"/>
    <w:tmpl w:val="1A057DCF"/>
    <w:lvl w:ilvl="0" w:tentative="0">
      <w:start w:val="1"/>
      <w:numFmt w:val="chineseCounting"/>
      <w:suff w:val="nothing"/>
      <w:lvlText w:val="%1、"/>
      <w:lvlJc w:val="left"/>
      <w:rPr>
        <w:rFonts w:hint="eastAsia"/>
      </w:rPr>
    </w:lvl>
  </w:abstractNum>
  <w:abstractNum w:abstractNumId="1">
    <w:nsid w:val="1CEF6C32"/>
    <w:multiLevelType w:val="multilevel"/>
    <w:tmpl w:val="1CEF6C32"/>
    <w:lvl w:ilvl="0" w:tentative="0">
      <w:start w:val="1"/>
      <w:numFmt w:val="decimal"/>
      <w:pStyle w:val="11"/>
      <w:isLgl/>
      <w:suff w:val="space"/>
      <w:lvlText w:val="%1"/>
      <w:lvlJc w:val="left"/>
      <w:pPr>
        <w:tabs>
          <w:tab w:val="left" w:pos="0"/>
        </w:tabs>
        <w:ind w:left="0" w:leftChars="0" w:firstLine="0" w:firstLineChars="0"/>
      </w:pPr>
      <w:rPr>
        <w:rFonts w:hint="default" w:ascii="宋体" w:hAnsi="宋体" w:eastAsia="宋体" w:cs="宋体"/>
        <w:snapToGrid w:val="0"/>
        <w:sz w:val="21"/>
      </w:rPr>
    </w:lvl>
    <w:lvl w:ilvl="1" w:tentative="0">
      <w:start w:val="1"/>
      <w:numFmt w:val="decimal"/>
      <w:pStyle w:val="12"/>
      <w:isLgl/>
      <w:suff w:val="space"/>
      <w:lvlText w:val="%1.%2"/>
      <w:lvlJc w:val="left"/>
      <w:pPr>
        <w:tabs>
          <w:tab w:val="left" w:pos="0"/>
        </w:tabs>
        <w:ind w:left="575" w:leftChars="0" w:hanging="575" w:firstLineChars="0"/>
      </w:pPr>
      <w:rPr>
        <w:rFonts w:hint="default" w:ascii="宋体" w:hAnsi="宋体" w:eastAsia="宋体" w:cs="宋体"/>
      </w:rPr>
    </w:lvl>
    <w:lvl w:ilvl="2" w:tentative="0">
      <w:start w:val="1"/>
      <w:numFmt w:val="decimal"/>
      <w:pStyle w:val="13"/>
      <w:isLgl/>
      <w:lvlText w:val="%1.%2.%3"/>
      <w:lvlJc w:val="left"/>
      <w:pPr>
        <w:ind w:left="720" w:leftChars="0" w:hanging="720" w:firstLineChars="0"/>
      </w:pPr>
      <w:rPr>
        <w:rFonts w:hint="default" w:ascii="宋体" w:hAnsi="宋体" w:eastAsia="宋体" w:cs="宋体"/>
      </w:rPr>
    </w:lvl>
    <w:lvl w:ilvl="3" w:tentative="0">
      <w:start w:val="1"/>
      <w:numFmt w:val="decimal"/>
      <w:lvlText w:val="%1.%2.%3.%4."/>
      <w:lvlJc w:val="left"/>
      <w:pPr>
        <w:ind w:left="864" w:leftChars="0" w:hanging="864" w:firstLineChars="0"/>
      </w:pPr>
      <w:rPr>
        <w:rFonts w:hint="default"/>
      </w:rPr>
    </w:lvl>
    <w:lvl w:ilvl="4" w:tentative="0">
      <w:start w:val="1"/>
      <w:numFmt w:val="decimal"/>
      <w:lvlText w:val="%1.%2.%3.%4.%5."/>
      <w:lvlJc w:val="left"/>
      <w:pPr>
        <w:ind w:left="1008" w:leftChars="0" w:hanging="1008" w:firstLineChars="0"/>
      </w:pPr>
      <w:rPr>
        <w:rFonts w:hint="default"/>
      </w:rPr>
    </w:lvl>
    <w:lvl w:ilvl="5" w:tentative="0">
      <w:start w:val="1"/>
      <w:numFmt w:val="decimal"/>
      <w:lvlText w:val="%1.%2.%3.%4.%5.%6."/>
      <w:lvlJc w:val="left"/>
      <w:pPr>
        <w:ind w:left="1151" w:leftChars="0" w:hanging="1151" w:firstLineChars="0"/>
      </w:pPr>
      <w:rPr>
        <w:rFonts w:hint="default"/>
      </w:rPr>
    </w:lvl>
    <w:lvl w:ilvl="6" w:tentative="0">
      <w:start w:val="1"/>
      <w:numFmt w:val="decimal"/>
      <w:lvlText w:val="%1.%2.%3.%4.%5.%6.%7."/>
      <w:lvlJc w:val="left"/>
      <w:pPr>
        <w:ind w:left="1296" w:leftChars="0" w:hanging="1296" w:firstLineChars="0"/>
      </w:pPr>
      <w:rPr>
        <w:rFonts w:hint="default"/>
      </w:rPr>
    </w:lvl>
    <w:lvl w:ilvl="7" w:tentative="0">
      <w:start w:val="1"/>
      <w:numFmt w:val="decimal"/>
      <w:lvlText w:val="%1.%2.%3.%4.%5.%6.%7.%8."/>
      <w:lvlJc w:val="left"/>
      <w:pPr>
        <w:ind w:left="1440" w:leftChars="0" w:hanging="1440" w:firstLineChars="0"/>
      </w:pPr>
      <w:rPr>
        <w:rFonts w:hint="default"/>
      </w:rPr>
    </w:lvl>
    <w:lvl w:ilvl="8" w:tentative="0">
      <w:start w:val="1"/>
      <w:numFmt w:val="decimal"/>
      <w:lvlText w:val="%1.%2.%3.%4.%5.%6.%7.%8.%9."/>
      <w:lvlJc w:val="left"/>
      <w:pPr>
        <w:ind w:left="1583" w:leftChars="0" w:hanging="1583" w:firstLineChars="0"/>
      </w:pPr>
      <w:rPr>
        <w:rFonts w:hint="default"/>
      </w:rPr>
    </w:lvl>
  </w:abstractNum>
  <w:abstractNum w:abstractNumId="2">
    <w:nsid w:val="28550DF5"/>
    <w:multiLevelType w:val="multilevel"/>
    <w:tmpl w:val="28550DF5"/>
    <w:lvl w:ilvl="0" w:tentative="0">
      <w:start w:val="1"/>
      <w:numFmt w:val="decimal"/>
      <w:suff w:val="space"/>
      <w:lvlText w:val="%1"/>
      <w:lvlJc w:val="left"/>
      <w:pPr>
        <w:ind w:left="432" w:hanging="432"/>
      </w:pPr>
      <w:rPr>
        <w:rFonts w:hint="default"/>
        <w:sz w:val="32"/>
        <w:szCs w:val="32"/>
      </w:rPr>
    </w:lvl>
    <w:lvl w:ilvl="1" w:tentative="0">
      <w:start w:val="1"/>
      <w:numFmt w:val="decimal"/>
      <w:pStyle w:val="20"/>
      <w:suff w:val="space"/>
      <w:lvlText w:val="%1.%2"/>
      <w:lvlJc w:val="left"/>
      <w:pPr>
        <w:ind w:left="2136" w:hanging="576"/>
      </w:pPr>
      <w:rPr>
        <w:rFonts w:hint="eastAsia"/>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1714" w:hanging="864"/>
      </w:pPr>
      <w:rPr>
        <w:rFonts w:hint="default" w:ascii="Times New Roman" w:hAnsi="Times New Roman" w:eastAsia="黑体" w:cs="Times New Roman"/>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433D0F06"/>
    <w:rsid w:val="00115C12"/>
    <w:rsid w:val="0097278E"/>
    <w:rsid w:val="01211AD4"/>
    <w:rsid w:val="02686C0F"/>
    <w:rsid w:val="02F54248"/>
    <w:rsid w:val="05A3050F"/>
    <w:rsid w:val="05F8167E"/>
    <w:rsid w:val="09415B51"/>
    <w:rsid w:val="09866978"/>
    <w:rsid w:val="09944C52"/>
    <w:rsid w:val="0A440094"/>
    <w:rsid w:val="0B91074D"/>
    <w:rsid w:val="0D957B9B"/>
    <w:rsid w:val="0E783FCD"/>
    <w:rsid w:val="0F100F30"/>
    <w:rsid w:val="0F6D4D62"/>
    <w:rsid w:val="0F8A2D9C"/>
    <w:rsid w:val="11634592"/>
    <w:rsid w:val="11AF66F3"/>
    <w:rsid w:val="14BF022E"/>
    <w:rsid w:val="15F40223"/>
    <w:rsid w:val="17E34DCC"/>
    <w:rsid w:val="18340258"/>
    <w:rsid w:val="18D711AC"/>
    <w:rsid w:val="1998195A"/>
    <w:rsid w:val="1A820E6B"/>
    <w:rsid w:val="1ADC4E67"/>
    <w:rsid w:val="1B196182"/>
    <w:rsid w:val="1DD01570"/>
    <w:rsid w:val="1F1E3D9B"/>
    <w:rsid w:val="1FA90839"/>
    <w:rsid w:val="1FD224BF"/>
    <w:rsid w:val="2058433B"/>
    <w:rsid w:val="207D0988"/>
    <w:rsid w:val="20AB6E87"/>
    <w:rsid w:val="20FC0BC2"/>
    <w:rsid w:val="21B445C8"/>
    <w:rsid w:val="21CD000A"/>
    <w:rsid w:val="22197450"/>
    <w:rsid w:val="229763B9"/>
    <w:rsid w:val="23F848FF"/>
    <w:rsid w:val="2441077F"/>
    <w:rsid w:val="26345C82"/>
    <w:rsid w:val="263E7CE9"/>
    <w:rsid w:val="28005747"/>
    <w:rsid w:val="2852346A"/>
    <w:rsid w:val="28846321"/>
    <w:rsid w:val="28D7787A"/>
    <w:rsid w:val="2A397EBE"/>
    <w:rsid w:val="2A691C72"/>
    <w:rsid w:val="2B7679D0"/>
    <w:rsid w:val="2CBB2380"/>
    <w:rsid w:val="2D3B4E80"/>
    <w:rsid w:val="2D54008D"/>
    <w:rsid w:val="2F9A3452"/>
    <w:rsid w:val="319F68C2"/>
    <w:rsid w:val="31BB49C1"/>
    <w:rsid w:val="322A44DE"/>
    <w:rsid w:val="32DD646E"/>
    <w:rsid w:val="33973961"/>
    <w:rsid w:val="35F17007"/>
    <w:rsid w:val="369C0558"/>
    <w:rsid w:val="36E00053"/>
    <w:rsid w:val="37E07B63"/>
    <w:rsid w:val="38555B96"/>
    <w:rsid w:val="38727D11"/>
    <w:rsid w:val="3936083F"/>
    <w:rsid w:val="39721145"/>
    <w:rsid w:val="3AF104F3"/>
    <w:rsid w:val="3B2007AC"/>
    <w:rsid w:val="3C2A7F49"/>
    <w:rsid w:val="3CC66988"/>
    <w:rsid w:val="3DA60829"/>
    <w:rsid w:val="3E0B078F"/>
    <w:rsid w:val="3EF06066"/>
    <w:rsid w:val="3FC1044C"/>
    <w:rsid w:val="41491008"/>
    <w:rsid w:val="41894C7C"/>
    <w:rsid w:val="433D0F06"/>
    <w:rsid w:val="44217851"/>
    <w:rsid w:val="451B085C"/>
    <w:rsid w:val="45626388"/>
    <w:rsid w:val="461275DA"/>
    <w:rsid w:val="470E13D0"/>
    <w:rsid w:val="4774202F"/>
    <w:rsid w:val="49215FEB"/>
    <w:rsid w:val="4A31270D"/>
    <w:rsid w:val="4C633563"/>
    <w:rsid w:val="4C961228"/>
    <w:rsid w:val="4E8F7E31"/>
    <w:rsid w:val="4E9F00D6"/>
    <w:rsid w:val="4ED43D8A"/>
    <w:rsid w:val="4F072A7F"/>
    <w:rsid w:val="50CF5DDD"/>
    <w:rsid w:val="516B614C"/>
    <w:rsid w:val="51AF3609"/>
    <w:rsid w:val="51E0053D"/>
    <w:rsid w:val="53FC1556"/>
    <w:rsid w:val="54396010"/>
    <w:rsid w:val="5476515C"/>
    <w:rsid w:val="547D5CFD"/>
    <w:rsid w:val="547E7F44"/>
    <w:rsid w:val="54C66879"/>
    <w:rsid w:val="566C7BCB"/>
    <w:rsid w:val="571B394A"/>
    <w:rsid w:val="575812DB"/>
    <w:rsid w:val="59E276E1"/>
    <w:rsid w:val="5B21454D"/>
    <w:rsid w:val="5D2D658E"/>
    <w:rsid w:val="5D38137F"/>
    <w:rsid w:val="5D6F2D03"/>
    <w:rsid w:val="5D8C6B03"/>
    <w:rsid w:val="5E0F25E1"/>
    <w:rsid w:val="5E7127B0"/>
    <w:rsid w:val="5F704B63"/>
    <w:rsid w:val="61476954"/>
    <w:rsid w:val="652E76CB"/>
    <w:rsid w:val="65764C4B"/>
    <w:rsid w:val="66704933"/>
    <w:rsid w:val="66ED4C77"/>
    <w:rsid w:val="68723267"/>
    <w:rsid w:val="698E432E"/>
    <w:rsid w:val="6BB21EE8"/>
    <w:rsid w:val="6CDF7167"/>
    <w:rsid w:val="6D521AB6"/>
    <w:rsid w:val="6DFA1156"/>
    <w:rsid w:val="6E41758E"/>
    <w:rsid w:val="6E6B2E90"/>
    <w:rsid w:val="6E8C2E06"/>
    <w:rsid w:val="6FF53596"/>
    <w:rsid w:val="713F3025"/>
    <w:rsid w:val="71417855"/>
    <w:rsid w:val="7256696C"/>
    <w:rsid w:val="768F24C5"/>
    <w:rsid w:val="76BB05A3"/>
    <w:rsid w:val="777A2396"/>
    <w:rsid w:val="78DA20B8"/>
    <w:rsid w:val="79A4194C"/>
    <w:rsid w:val="7A640171"/>
    <w:rsid w:val="7C9B5288"/>
    <w:rsid w:val="7DEC566F"/>
    <w:rsid w:val="7EE226EE"/>
    <w:rsid w:val="97F7AAD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9"/>
    <w:pPr>
      <w:keepNext/>
      <w:keepLines/>
      <w:spacing w:line="400" w:lineRule="exact"/>
      <w:jc w:val="center"/>
      <w:outlineLvl w:val="0"/>
    </w:pPr>
    <w:rPr>
      <w:rFonts w:ascii="Times New Roman" w:hAnsi="Times New Roman" w:eastAsia="黑体"/>
      <w:bCs/>
      <w:kern w:val="44"/>
      <w:sz w:val="32"/>
      <w:szCs w:val="44"/>
    </w:rPr>
  </w:style>
  <w:style w:type="paragraph" w:styleId="5">
    <w:name w:val="heading 2"/>
    <w:basedOn w:val="1"/>
    <w:next w:val="1"/>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7">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character" w:default="1" w:styleId="10">
    <w:name w:val="Default Paragraph Font"/>
    <w:semiHidden/>
    <w:qFormat/>
    <w:uiPriority w:val="0"/>
    <w:rPr>
      <w:rFonts w:eastAsia="宋体" w:cs="Times New Roman" w:asciiTheme="minorAscii" w:hAnsiTheme="minorAscii"/>
      <w:sz w:val="21"/>
      <w:szCs w:val="22"/>
    </w:rPr>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1">
    <w:name w:val="一级标题"/>
    <w:basedOn w:val="3"/>
    <w:qFormat/>
    <w:uiPriority w:val="0"/>
    <w:pPr>
      <w:widowControl w:val="0"/>
      <w:numPr>
        <w:ilvl w:val="0"/>
        <w:numId w:val="1"/>
      </w:numPr>
      <w:tabs>
        <w:tab w:val="clear" w:pos="0"/>
      </w:tabs>
      <w:kinsoku w:val="0"/>
      <w:overflowPunct w:val="0"/>
      <w:spacing w:line="360" w:lineRule="auto"/>
      <w:ind w:left="0" w:firstLine="0" w:firstLineChars="0"/>
      <w:jc w:val="left"/>
      <w:outlineLvl w:val="0"/>
    </w:pPr>
    <w:rPr>
      <w:rFonts w:ascii="Times New Roman" w:hAnsi="Times New Roman" w:eastAsia="黑体" w:cs="Times New Roman"/>
      <w:sz w:val="21"/>
      <w:szCs w:val="21"/>
    </w:rPr>
  </w:style>
  <w:style w:type="paragraph" w:customStyle="1" w:styleId="12">
    <w:name w:val="二级标题"/>
    <w:basedOn w:val="11"/>
    <w:qFormat/>
    <w:uiPriority w:val="0"/>
    <w:pPr>
      <w:numPr>
        <w:ilvl w:val="1"/>
      </w:numPr>
      <w:tabs>
        <w:tab w:val="left" w:pos="420"/>
      </w:tabs>
      <w:spacing w:before="120" w:line="360" w:lineRule="auto"/>
      <w:ind w:left="575" w:hanging="575"/>
    </w:pPr>
    <w:rPr>
      <w:rFonts w:eastAsia="宋体" w:cs="Times New Roman" w:asciiTheme="minorAscii" w:hAnsiTheme="minorAscii"/>
      <w:b w:val="0"/>
      <w:sz w:val="21"/>
      <w:szCs w:val="22"/>
    </w:rPr>
  </w:style>
  <w:style w:type="paragraph" w:customStyle="1" w:styleId="13">
    <w:name w:val="三级标题"/>
    <w:basedOn w:val="3"/>
    <w:qFormat/>
    <w:uiPriority w:val="0"/>
    <w:pPr>
      <w:numPr>
        <w:ilvl w:val="2"/>
        <w:numId w:val="1"/>
      </w:numPr>
      <w:tabs>
        <w:tab w:val="left" w:pos="0"/>
      </w:tabs>
      <w:spacing w:before="120" w:line="240" w:lineRule="auto"/>
      <w:jc w:val="left"/>
    </w:pPr>
    <w:rPr>
      <w:rFonts w:eastAsia="宋体" w:cs="Times New Roman" w:asciiTheme="minorAscii" w:hAnsiTheme="minorAscii"/>
      <w:b w:val="0"/>
      <w:sz w:val="21"/>
      <w:szCs w:val="22"/>
    </w:rPr>
  </w:style>
  <w:style w:type="paragraph" w:customStyle="1" w:styleId="14">
    <w:name w:val="_Style 4"/>
    <w:basedOn w:val="1"/>
    <w:qFormat/>
    <w:uiPriority w:val="34"/>
    <w:pPr>
      <w:ind w:firstLine="420" w:firstLineChars="200"/>
    </w:pPr>
    <w:rPr>
      <w:rFonts w:ascii="Times New Roman" w:hAnsi="Times New Roman" w:eastAsia="宋体" w:cs="Times New Roman"/>
      <w:szCs w:val="24"/>
    </w:rPr>
  </w:style>
  <w:style w:type="paragraph" w:customStyle="1" w:styleId="15">
    <w:name w:val="List Paragraph"/>
    <w:basedOn w:val="1"/>
    <w:qFormat/>
    <w:uiPriority w:val="34"/>
    <w:pPr>
      <w:jc w:val="left"/>
    </w:pPr>
    <w:rPr>
      <w:rFonts w:eastAsiaTheme="minorHAnsi"/>
      <w:kern w:val="0"/>
      <w:sz w:val="22"/>
      <w:lang w:eastAsia="en-US"/>
    </w:rPr>
  </w:style>
  <w:style w:type="paragraph" w:customStyle="1" w:styleId="16">
    <w:name w:val="方案正文"/>
    <w:basedOn w:val="1"/>
    <w:qFormat/>
    <w:uiPriority w:val="0"/>
    <w:pPr>
      <w:spacing w:line="360" w:lineRule="auto"/>
      <w:ind w:firstLine="480" w:firstLineChars="200"/>
    </w:pPr>
    <w:rPr>
      <w:rFonts w:ascii="仿宋_GB2312" w:hAnsi="Calibri" w:eastAsia="宋体" w:cs="Times New Roman"/>
      <w:sz w:val="24"/>
      <w:szCs w:val="24"/>
    </w:rPr>
  </w:style>
  <w:style w:type="character" w:customStyle="1" w:styleId="17">
    <w:name w:val="font41"/>
    <w:basedOn w:val="10"/>
    <w:qFormat/>
    <w:uiPriority w:val="0"/>
    <w:rPr>
      <w:rFonts w:hint="default" w:ascii="Arial" w:hAnsi="Arial" w:cs="Arial"/>
      <w:color w:val="000000"/>
      <w:sz w:val="22"/>
      <w:szCs w:val="22"/>
      <w:u w:val="none"/>
    </w:rPr>
  </w:style>
  <w:style w:type="character" w:customStyle="1" w:styleId="18">
    <w:name w:val="font11"/>
    <w:basedOn w:val="10"/>
    <w:qFormat/>
    <w:uiPriority w:val="0"/>
    <w:rPr>
      <w:rFonts w:hint="eastAsia" w:ascii="宋体" w:hAnsi="宋体" w:eastAsia="宋体" w:cs="宋体"/>
      <w:color w:val="000000"/>
      <w:sz w:val="22"/>
      <w:szCs w:val="22"/>
      <w:u w:val="none"/>
    </w:rPr>
  </w:style>
  <w:style w:type="character" w:customStyle="1" w:styleId="19">
    <w:name w:val="font31"/>
    <w:basedOn w:val="10"/>
    <w:qFormat/>
    <w:uiPriority w:val="0"/>
    <w:rPr>
      <w:rFonts w:hint="default" w:ascii="Times New Roman" w:hAnsi="Times New Roman" w:cs="Times New Roman"/>
      <w:color w:val="000000"/>
      <w:sz w:val="22"/>
      <w:szCs w:val="22"/>
      <w:u w:val="none"/>
    </w:rPr>
  </w:style>
  <w:style w:type="paragraph" w:customStyle="1" w:styleId="20">
    <w:name w:val="标题2"/>
    <w:basedOn w:val="5"/>
    <w:next w:val="5"/>
    <w:qFormat/>
    <w:uiPriority w:val="0"/>
    <w:pPr>
      <w:numPr>
        <w:ilvl w:val="1"/>
        <w:numId w:val="2"/>
      </w:numPr>
      <w:spacing w:before="120" w:after="120" w:line="360" w:lineRule="auto"/>
      <w:ind w:firstLine="0" w:firstLineChars="0"/>
      <w:jc w:val="left"/>
    </w:pPr>
    <w:rPr>
      <w:rFonts w:ascii="Times New Roman" w:hAnsi="Times New Roman" w:cs="Times New Roman"/>
      <w:bCs w:val="0"/>
    </w:rPr>
  </w:style>
  <w:style w:type="paragraph" w:customStyle="1" w:styleId="21">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1169</Words>
  <Characters>1250</Characters>
  <Lines>0</Lines>
  <Paragraphs>0</Paragraphs>
  <TotalTime>12</TotalTime>
  <ScaleCrop>false</ScaleCrop>
  <LinksUpToDate>false</LinksUpToDate>
  <CharactersWithSpaces>1265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2020-06-15T15:13:00Z</dcterms:created>
  <dc:creator>Administrator</dc:creator>
  <cp:lastModifiedBy>Gatlin</cp:lastModifiedBy>
  <dcterms:modified xsi:type="dcterms:W3CDTF">2025-11-06T05:59:40Z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672F6406E07F440BB01B291782544E33</vt:lpwstr>
  </property>
  <property fmtid="{D5CDD505-2E9C-101B-9397-08002B2CF9AE}" pid="4" name="KSOTemplateDocerSaveRecord">
    <vt:lpwstr>eyJoZGlkIjoiNDI1NGQ4MDY4NjMxYWVlMzc3ODM2NDE0MmU1ODUxYzYiLCJ1c2VySWQiOiI4NjY0OTM4MzIifQ==</vt:lpwstr>
  </property>
</Properties>
</file>