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20" w:line="360" w:lineRule="auto"/>
        <w:jc w:val="center"/>
        <w:rPr>
          <w:rFonts w:hint="eastAsia" w:cs="Times New Roman"/>
          <w:b/>
          <w:kern w:val="0"/>
          <w:sz w:val="24"/>
          <w:lang w:val="en-US" w:eastAsia="zh-CN"/>
        </w:rPr>
      </w:pPr>
      <w:bookmarkStart w:id="0" w:name="_GoBack"/>
      <w:r>
        <w:rPr>
          <w:rFonts w:hint="eastAsia" w:cs="Times New Roman"/>
          <w:b/>
          <w:kern w:val="0"/>
          <w:sz w:val="24"/>
          <w:lang w:eastAsia="zh-CN"/>
        </w:rPr>
        <w:t>报价</w:t>
      </w:r>
      <w:r>
        <w:rPr>
          <w:rFonts w:hint="eastAsia" w:eastAsia="宋体" w:cs="Times New Roman"/>
          <w:b/>
          <w:kern w:val="0"/>
          <w:sz w:val="24"/>
        </w:rPr>
        <w:t>表</w:t>
      </w:r>
    </w:p>
    <w:tbl>
      <w:tblPr>
        <w:tblStyle w:val="7"/>
        <w:tblpPr w:leftFromText="180" w:rightFromText="180" w:vertAnchor="text" w:horzAnchor="page" w:tblpXSpec="center" w:tblpY="146"/>
        <w:tblOverlap w:val="never"/>
        <w:tblW w:w="83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1453"/>
        <w:gridCol w:w="1843"/>
        <w:gridCol w:w="1359"/>
        <w:gridCol w:w="24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6" w:hRule="atLeast"/>
          <w:jc w:val="center"/>
        </w:trPr>
        <w:tc>
          <w:tcPr>
            <w:tcW w:w="12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  <w:t xml:space="preserve">  车型</w:t>
            </w:r>
          </w:p>
        </w:tc>
        <w:tc>
          <w:tcPr>
            <w:tcW w:w="14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汽车品牌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  <w:t>/型号</w:t>
            </w:r>
          </w:p>
        </w:tc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  <w:t>日常出行服务最高限价（元/公里）</w:t>
            </w:r>
          </w:p>
        </w:tc>
        <w:tc>
          <w:tcPr>
            <w:tcW w:w="1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  <w:t>下浮率%</w:t>
            </w:r>
          </w:p>
        </w:tc>
        <w:tc>
          <w:tcPr>
            <w:tcW w:w="24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  <w:jc w:val="center"/>
        </w:trPr>
        <w:tc>
          <w:tcPr>
            <w:tcW w:w="1219" w:type="dxa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7座商务车</w:t>
            </w:r>
          </w:p>
        </w:tc>
        <w:tc>
          <w:tcPr>
            <w:tcW w:w="1453" w:type="dxa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别克或同级别</w:t>
            </w:r>
          </w:p>
        </w:tc>
        <w:tc>
          <w:tcPr>
            <w:tcW w:w="1843" w:type="dxa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8.1</w:t>
            </w:r>
          </w:p>
        </w:tc>
        <w:tc>
          <w:tcPr>
            <w:tcW w:w="1359" w:type="dxa"/>
            <w:vMerge w:val="restart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</w:p>
        </w:tc>
        <w:tc>
          <w:tcPr>
            <w:tcW w:w="2463" w:type="dxa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  <w:jc w:val="center"/>
        </w:trPr>
        <w:tc>
          <w:tcPr>
            <w:tcW w:w="1219" w:type="dxa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23座中巴</w:t>
            </w:r>
          </w:p>
        </w:tc>
        <w:tc>
          <w:tcPr>
            <w:tcW w:w="1453" w:type="dxa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宇通/金龙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或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同级别</w:t>
            </w:r>
          </w:p>
        </w:tc>
        <w:tc>
          <w:tcPr>
            <w:tcW w:w="1843" w:type="dxa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  <w:t>15.5</w:t>
            </w:r>
          </w:p>
        </w:tc>
        <w:tc>
          <w:tcPr>
            <w:tcW w:w="1359" w:type="dxa"/>
            <w:vMerge w:val="continue"/>
            <w:tcBorders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</w:p>
        </w:tc>
        <w:tc>
          <w:tcPr>
            <w:tcW w:w="2463" w:type="dxa"/>
            <w:vAlign w:val="center"/>
          </w:tcPr>
          <w:p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sz w:val="20"/>
                <w:szCs w:val="20"/>
                <w:lang w:val="en-US" w:eastAsia="zh-CN"/>
              </w:rPr>
            </w:pPr>
          </w:p>
        </w:tc>
      </w:tr>
    </w:tbl>
    <w:p>
      <w:pPr>
        <w:widowControl/>
        <w:jc w:val="left"/>
        <w:rPr>
          <w:rFonts w:hint="eastAsia" w:ascii="宋体" w:hAnsi="宋体" w:eastAsia="宋体"/>
          <w:b/>
          <w:bCs/>
          <w:sz w:val="20"/>
          <w:szCs w:val="20"/>
          <w:lang w:eastAsia="zh-CN"/>
        </w:rPr>
      </w:pPr>
      <w:r>
        <w:rPr>
          <w:rFonts w:hint="eastAsia" w:ascii="宋体" w:hAnsi="宋体"/>
          <w:b/>
          <w:bCs/>
          <w:sz w:val="20"/>
          <w:szCs w:val="20"/>
          <w:lang w:eastAsia="zh-CN"/>
        </w:rPr>
        <w:t>报价说明：</w:t>
      </w:r>
    </w:p>
    <w:p>
      <w:pPr>
        <w:widowControl/>
        <w:jc w:val="left"/>
        <w:rPr>
          <w:rFonts w:hint="eastAsia" w:ascii="宋体" w:hAnsi="宋体"/>
          <w:sz w:val="20"/>
          <w:szCs w:val="20"/>
          <w:lang w:val="en-US" w:eastAsia="zh-CN"/>
        </w:rPr>
      </w:pPr>
      <w:r>
        <w:rPr>
          <w:rFonts w:hint="eastAsia" w:ascii="宋体" w:hAnsi="宋体"/>
          <w:sz w:val="20"/>
          <w:szCs w:val="20"/>
        </w:rPr>
        <w:t>1</w:t>
      </w:r>
      <w:r>
        <w:rPr>
          <w:rFonts w:hint="eastAsia" w:ascii="宋体" w:hAnsi="宋体"/>
          <w:sz w:val="20"/>
          <w:szCs w:val="20"/>
          <w:lang w:val="en-US" w:eastAsia="zh-CN"/>
        </w:rPr>
        <w:t>.</w:t>
      </w:r>
      <w:r>
        <w:rPr>
          <w:rFonts w:hint="eastAsia" w:ascii="宋体" w:hAnsi="宋体"/>
          <w:sz w:val="20"/>
          <w:szCs w:val="20"/>
        </w:rPr>
        <w:t>报价人需按照表格</w:t>
      </w:r>
      <w:r>
        <w:rPr>
          <w:rFonts w:hint="eastAsia" w:ascii="宋体" w:hAnsi="宋体"/>
          <w:sz w:val="20"/>
          <w:szCs w:val="20"/>
          <w:lang w:val="en-US" w:eastAsia="zh-CN"/>
        </w:rPr>
        <w:t>下浮率报价，0%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≦</w:t>
      </w:r>
      <w:r>
        <w:rPr>
          <w:rFonts w:hint="eastAsia" w:ascii="宋体" w:hAnsi="宋体"/>
          <w:sz w:val="20"/>
          <w:szCs w:val="20"/>
          <w:lang w:val="en-US" w:eastAsia="zh-CN"/>
        </w:rPr>
        <w:t>下浮率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≦</w:t>
      </w:r>
      <w:r>
        <w:rPr>
          <w:rFonts w:hint="eastAsia" w:ascii="宋体" w:hAnsi="宋体" w:cs="宋体"/>
          <w:sz w:val="20"/>
          <w:szCs w:val="20"/>
          <w:lang w:val="en-US" w:eastAsia="zh-CN"/>
        </w:rPr>
        <w:t>100%</w:t>
      </w:r>
      <w:r>
        <w:rPr>
          <w:rFonts w:hint="eastAsia" w:ascii="宋体" w:hAnsi="宋体"/>
          <w:sz w:val="20"/>
          <w:szCs w:val="20"/>
        </w:rPr>
        <w:t>，采购人根据实际使用情况按月据实结算。</w:t>
      </w:r>
    </w:p>
    <w:bookmarkEnd w:id="0"/>
    <w:p>
      <w:pPr>
        <w:widowControl/>
        <w:jc w:val="left"/>
        <w:rPr>
          <w:rFonts w:hint="default" w:ascii="宋体" w:hAnsi="宋体"/>
          <w:sz w:val="20"/>
          <w:szCs w:val="20"/>
          <w:lang w:val="en-US" w:eastAsia="zh-CN"/>
        </w:rPr>
      </w:pPr>
      <w:r>
        <w:rPr>
          <w:rFonts w:hint="eastAsia" w:ascii="宋体" w:hAnsi="宋体"/>
          <w:sz w:val="20"/>
          <w:szCs w:val="20"/>
          <w:lang w:val="en-US" w:eastAsia="zh-CN"/>
        </w:rPr>
        <w:t>2.用车时间为工作日上午12:00-13:00和下午17:00-18:00，每个时段预计用车往返4次，单日合计往返8次。（单次往返预计3公里，单日预计不超过24公里/车）</w:t>
      </w:r>
    </w:p>
    <w:p>
      <w:pPr>
        <w:widowControl/>
        <w:jc w:val="left"/>
        <w:rPr>
          <w:rFonts w:hint="eastAsia" w:ascii="宋体" w:hAnsi="宋体"/>
          <w:sz w:val="20"/>
          <w:szCs w:val="20"/>
          <w:lang w:eastAsia="zh-CN"/>
        </w:rPr>
      </w:pPr>
      <w:r>
        <w:rPr>
          <w:rFonts w:hint="eastAsia" w:ascii="宋体" w:hAnsi="宋体"/>
          <w:sz w:val="20"/>
          <w:szCs w:val="20"/>
          <w:lang w:val="en-US" w:eastAsia="zh-CN"/>
        </w:rPr>
        <w:t>3.</w:t>
      </w:r>
      <w:r>
        <w:rPr>
          <w:rFonts w:hint="eastAsia" w:ascii="宋体" w:hAnsi="宋体"/>
          <w:sz w:val="20"/>
          <w:szCs w:val="20"/>
        </w:rPr>
        <w:t>单价含车辆租用费用、驾驶员费用（含补贴）和燃油费，不含过路过桥费、停车费</w:t>
      </w:r>
      <w:r>
        <w:rPr>
          <w:rFonts w:hint="eastAsia" w:ascii="宋体" w:hAnsi="宋体"/>
          <w:sz w:val="20"/>
          <w:szCs w:val="20"/>
          <w:lang w:eastAsia="zh-CN"/>
        </w:rPr>
        <w:t>。</w:t>
      </w:r>
    </w:p>
    <w:p>
      <w:pPr>
        <w:widowControl/>
        <w:jc w:val="left"/>
        <w:rPr>
          <w:rFonts w:hint="eastAsia" w:ascii="宋体" w:hAnsi="宋体"/>
          <w:sz w:val="20"/>
          <w:szCs w:val="20"/>
          <w:lang w:val="en-US" w:eastAsia="zh-CN"/>
        </w:rPr>
      </w:pPr>
      <w:r>
        <w:rPr>
          <w:rFonts w:hint="eastAsia" w:ascii="宋体" w:hAnsi="宋体"/>
          <w:sz w:val="20"/>
          <w:szCs w:val="20"/>
          <w:lang w:val="en-US" w:eastAsia="zh-CN"/>
        </w:rPr>
        <w:t>4.以上报价仅适用于润慧科技园A栋至总部基地6号楼往返路线价格。</w:t>
      </w:r>
    </w:p>
    <w:p>
      <w:pPr>
        <w:widowControl/>
        <w:jc w:val="left"/>
        <w:rPr>
          <w:rFonts w:hint="eastAsia" w:ascii="宋体" w:hAnsi="宋体"/>
          <w:sz w:val="20"/>
          <w:szCs w:val="20"/>
          <w:lang w:val="en-US" w:eastAsia="zh-CN"/>
        </w:rPr>
      </w:pPr>
      <w:r>
        <w:rPr>
          <w:rFonts w:hint="eastAsia" w:ascii="宋体" w:hAnsi="宋体"/>
          <w:sz w:val="20"/>
          <w:szCs w:val="20"/>
          <w:lang w:val="en-US" w:eastAsia="zh-CN"/>
        </w:rPr>
        <w:t>5.以上价格含增值税。</w:t>
      </w:r>
    </w:p>
    <w:p>
      <w:pPr>
        <w:pStyle w:val="3"/>
        <w:rPr>
          <w:rFonts w:hint="eastAsia"/>
          <w:lang w:val="en-US" w:eastAsia="zh-CN"/>
        </w:rPr>
      </w:pPr>
    </w:p>
    <w:p>
      <w:pPr>
        <w:pStyle w:val="4"/>
        <w:rPr>
          <w:rFonts w:hint="eastAsia"/>
          <w:lang w:val="en-US" w:eastAsia="zh-CN"/>
        </w:rPr>
      </w:pP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after="0" w:line="240" w:lineRule="exact"/>
        <w:ind w:firstLine="4830" w:firstLineChars="2300"/>
        <w:rPr>
          <w:rFonts w:ascii="宋体" w:hAnsi="宋体" w:eastAsia="宋体" w:cs="宋体"/>
          <w:color w:val="auto"/>
          <w:sz w:val="21"/>
          <w:szCs w:val="21"/>
          <w:highlight w:val="none"/>
        </w:rPr>
      </w:pPr>
    </w:p>
    <w:p>
      <w:pPr>
        <w:spacing w:after="0" w:line="240" w:lineRule="exact"/>
        <w:ind w:firstLine="5460" w:firstLineChars="26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D66397"/>
    <w:rsid w:val="03561773"/>
    <w:rsid w:val="03870681"/>
    <w:rsid w:val="08213B2C"/>
    <w:rsid w:val="08A26511"/>
    <w:rsid w:val="08AD2745"/>
    <w:rsid w:val="08B4210E"/>
    <w:rsid w:val="09DF4031"/>
    <w:rsid w:val="0A4607F6"/>
    <w:rsid w:val="0C587335"/>
    <w:rsid w:val="0C5D186F"/>
    <w:rsid w:val="0DCC38C5"/>
    <w:rsid w:val="0F310C59"/>
    <w:rsid w:val="0F770363"/>
    <w:rsid w:val="101B514F"/>
    <w:rsid w:val="18F9617A"/>
    <w:rsid w:val="1C5C0822"/>
    <w:rsid w:val="1DF673D7"/>
    <w:rsid w:val="21606BC8"/>
    <w:rsid w:val="22B6397B"/>
    <w:rsid w:val="22C7079B"/>
    <w:rsid w:val="22EE0C6D"/>
    <w:rsid w:val="233564BA"/>
    <w:rsid w:val="23BF27C3"/>
    <w:rsid w:val="27640FE1"/>
    <w:rsid w:val="28BD6DCC"/>
    <w:rsid w:val="298226FA"/>
    <w:rsid w:val="2BBB230F"/>
    <w:rsid w:val="2E3E2FA6"/>
    <w:rsid w:val="2F9939E1"/>
    <w:rsid w:val="2FD61C77"/>
    <w:rsid w:val="30676FB9"/>
    <w:rsid w:val="343551F7"/>
    <w:rsid w:val="3574620F"/>
    <w:rsid w:val="36812558"/>
    <w:rsid w:val="36CA10C7"/>
    <w:rsid w:val="3A157BE9"/>
    <w:rsid w:val="3A6E47B4"/>
    <w:rsid w:val="3C574EAC"/>
    <w:rsid w:val="3D3C1F89"/>
    <w:rsid w:val="3E4D069E"/>
    <w:rsid w:val="402C43CC"/>
    <w:rsid w:val="4044075B"/>
    <w:rsid w:val="40A91DB5"/>
    <w:rsid w:val="41E009D8"/>
    <w:rsid w:val="43C153CB"/>
    <w:rsid w:val="45023191"/>
    <w:rsid w:val="45E16DDF"/>
    <w:rsid w:val="4773060B"/>
    <w:rsid w:val="48F7566D"/>
    <w:rsid w:val="490C63DF"/>
    <w:rsid w:val="500D43D1"/>
    <w:rsid w:val="52CD78D4"/>
    <w:rsid w:val="53353630"/>
    <w:rsid w:val="538207CC"/>
    <w:rsid w:val="54863089"/>
    <w:rsid w:val="54886D3A"/>
    <w:rsid w:val="551E2B46"/>
    <w:rsid w:val="554661D5"/>
    <w:rsid w:val="5919315A"/>
    <w:rsid w:val="5C3E7017"/>
    <w:rsid w:val="60A5501C"/>
    <w:rsid w:val="616D300B"/>
    <w:rsid w:val="64B83A66"/>
    <w:rsid w:val="66EC230E"/>
    <w:rsid w:val="69407952"/>
    <w:rsid w:val="694942E8"/>
    <w:rsid w:val="6D9D753F"/>
    <w:rsid w:val="6DEF1090"/>
    <w:rsid w:val="6F820A92"/>
    <w:rsid w:val="6FA9085B"/>
    <w:rsid w:val="70A77973"/>
    <w:rsid w:val="71B458BC"/>
    <w:rsid w:val="7332781D"/>
    <w:rsid w:val="739A51B5"/>
    <w:rsid w:val="73E86182"/>
    <w:rsid w:val="7413447E"/>
    <w:rsid w:val="765544F5"/>
    <w:rsid w:val="76D66397"/>
    <w:rsid w:val="7A2059A2"/>
    <w:rsid w:val="7B5E0A56"/>
    <w:rsid w:val="7D0C0CF4"/>
    <w:rsid w:val="7E5C37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1"/>
    <w:pPr>
      <w:autoSpaceDE w:val="0"/>
      <w:autoSpaceDN w:val="0"/>
      <w:spacing w:line="360" w:lineRule="auto"/>
      <w:jc w:val="left"/>
    </w:pPr>
    <w:rPr>
      <w:rFonts w:ascii="宋体" w:hAnsi="宋体" w:cs="宋体"/>
      <w:kern w:val="0"/>
      <w:sz w:val="24"/>
      <w:lang w:val="zh-CN" w:bidi="zh-CN"/>
    </w:rPr>
  </w:style>
  <w:style w:type="paragraph" w:styleId="4">
    <w:name w:val="Title"/>
    <w:basedOn w:val="1"/>
    <w:next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2023-12-19T01:33:00Z</dcterms:created>
  <dc:creator>俞国华</dc:creator>
  <cp:lastModifiedBy>黄和炎</cp:lastModifiedBy>
  <dcterms:modified xsi:type="dcterms:W3CDTF">2025-11-11T09:28:41Z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F0332220055F4ECF8FA04B56CE4CF71A</vt:lpwstr>
  </property>
</Properties>
</file>