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eastAsia="黑体"/>
          <w:b/>
          <w:sz w:val="52"/>
        </w:rPr>
      </w:pPr>
      <w:r>
        <w:rPr>
          <w:rFonts w:hint="eastAsia" w:eastAsia="黑体"/>
          <w:b/>
          <w:sz w:val="52"/>
        </w:rPr>
        <w:drawing>
          <wp:anchor distT="0" distB="0" distL="114300" distR="114300" simplePos="0" relativeHeight="251659264" behindDoc="0" locked="0" layoutInCell="1" allowOverlap="1">
            <wp:simplePos x="0" y="0"/>
            <wp:positionH relativeFrom="column">
              <wp:posOffset>-1454150</wp:posOffset>
            </wp:positionH>
            <wp:positionV relativeFrom="paragraph">
              <wp:posOffset>-943610</wp:posOffset>
            </wp:positionV>
            <wp:extent cx="7983220" cy="2820670"/>
            <wp:effectExtent l="0" t="0" r="0" b="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0"/>
                    <a:stretch>
                      <a:fillRect/>
                    </a:stretch>
                  </pic:blipFill>
                  <pic:spPr>
                    <a:xfrm>
                      <a:off x="0" y="0"/>
                      <a:ext cx="7983220" cy="2820670"/>
                    </a:xfrm>
                    <a:prstGeom prst="rect">
                      <a:avLst/>
                    </a:prstGeom>
                    <a:noFill/>
                    <a:ln>
                      <a:noFill/>
                    </a:ln>
                  </pic:spPr>
                </pic:pic>
              </a:graphicData>
            </a:graphic>
          </wp:anchor>
        </w:drawing>
      </w:r>
    </w:p>
    <w:p>
      <w:pPr>
        <w:spacing w:before="624" w:beforeLines="200"/>
        <w:jc w:val="center"/>
        <w:rPr>
          <w:rFonts w:eastAsia="黑体"/>
          <w:b/>
          <w:sz w:val="52"/>
        </w:rPr>
      </w:pPr>
    </w:p>
    <w:p>
      <w:pPr>
        <w:spacing w:before="624" w:beforeLines="200"/>
        <w:jc w:val="center"/>
        <w:rPr>
          <w:rFonts w:eastAsia="黑体"/>
          <w:b/>
          <w:sz w:val="52"/>
        </w:rPr>
      </w:pPr>
    </w:p>
    <w:p>
      <w:pPr>
        <w:spacing w:before="624" w:beforeLines="200"/>
        <w:jc w:val="center"/>
        <w:rPr>
          <w:rFonts w:eastAsia="黑体"/>
          <w:b/>
          <w:sz w:val="52"/>
        </w:rPr>
      </w:pPr>
      <w:r>
        <w:rPr>
          <w:rFonts w:hint="eastAsia" w:eastAsia="黑体"/>
          <w:b/>
          <w:sz w:val="52"/>
        </w:rPr>
        <w:t xml:space="preserve">  110kV~500kV瓷绝缘支柱绝缘子</w:t>
      </w:r>
    </w:p>
    <w:p>
      <w:pPr>
        <w:spacing w:before="624" w:beforeLines="200"/>
        <w:jc w:val="center"/>
        <w:rPr>
          <w:rFonts w:eastAsia="黑体"/>
          <w:b/>
          <w:sz w:val="52"/>
        </w:rPr>
      </w:pPr>
      <w:r>
        <w:rPr>
          <w:rFonts w:hint="eastAsia" w:eastAsia="黑体"/>
          <w:b/>
          <w:sz w:val="52"/>
        </w:rPr>
        <w:t>技术规范书</w:t>
      </w:r>
    </w:p>
    <w:p>
      <w:pPr>
        <w:spacing w:before="624" w:beforeLines="200"/>
        <w:jc w:val="center"/>
        <w:rPr>
          <w:rFonts w:eastAsia="黑体"/>
          <w:b/>
          <w:sz w:val="52"/>
        </w:rPr>
      </w:pPr>
      <w:r>
        <w:rPr>
          <w:rFonts w:hint="eastAsia" w:eastAsia="黑体"/>
          <w:b/>
          <w:sz w:val="52"/>
        </w:rPr>
        <w:t>（通用部分）</w:t>
      </w:r>
    </w:p>
    <w:p>
      <w:pPr>
        <w:spacing w:before="624" w:beforeLines="200"/>
        <w:jc w:val="center"/>
        <w:rPr>
          <w:rFonts w:eastAsia="黑体"/>
          <w:b/>
          <w:sz w:val="36"/>
        </w:rPr>
      </w:pPr>
      <w:r>
        <w:rPr>
          <w:rFonts w:hint="eastAsia" w:eastAsia="黑体"/>
          <w:b/>
          <w:sz w:val="36"/>
        </w:rPr>
        <w:t>版本号：20</w:t>
      </w:r>
      <w:r>
        <w:rPr>
          <w:rFonts w:eastAsia="黑体"/>
          <w:b/>
          <w:sz w:val="36"/>
        </w:rPr>
        <w:t>22</w:t>
      </w:r>
      <w:r>
        <w:rPr>
          <w:rFonts w:hint="eastAsia" w:eastAsia="黑体"/>
          <w:b/>
          <w:sz w:val="36"/>
        </w:rPr>
        <w:t>版V1.0</w:t>
      </w:r>
    </w:p>
    <w:p>
      <w:pPr>
        <w:ind w:left="2517" w:firstLine="361" w:firstLineChars="100"/>
        <w:rPr>
          <w:rFonts w:eastAsia="黑体"/>
          <w:b/>
          <w:sz w:val="36"/>
        </w:rPr>
      </w:pPr>
      <w:r>
        <w:rPr>
          <w:rFonts w:hint="eastAsia" w:eastAsia="黑体"/>
          <w:b/>
          <w:sz w:val="36"/>
        </w:rPr>
        <w:t>编号：</w:t>
      </w:r>
      <w:r>
        <w:rPr>
          <w:rFonts w:hint="eastAsia" w:eastAsia="黑体"/>
          <w:b/>
          <w:sz w:val="36"/>
        </w:rPr>
        <w:tab/>
      </w:r>
    </w:p>
    <w:p>
      <w:pPr>
        <w:spacing w:before="624" w:beforeLines="200"/>
        <w:ind w:firstLine="1999" w:firstLineChars="448"/>
        <w:jc w:val="left"/>
        <w:rPr>
          <w:rFonts w:ascii="黑体" w:eastAsia="黑体"/>
          <w:b/>
          <w:spacing w:val="20"/>
          <w:w w:val="135"/>
          <w:sz w:val="30"/>
        </w:rPr>
      </w:pPr>
      <w:r>
        <w:rPr>
          <w:rFonts w:hint="eastAsia" w:ascii="黑体" w:eastAsia="黑体"/>
          <w:b/>
          <w:spacing w:val="20"/>
          <w:w w:val="135"/>
          <w:sz w:val="30"/>
        </w:rPr>
        <w:t>中国南方电网有限责任公司</w:t>
      </w:r>
    </w:p>
    <w:p>
      <w:pPr>
        <w:jc w:val="center"/>
        <w:rPr>
          <w:rFonts w:ascii="黑体" w:eastAsia="黑体"/>
          <w:b/>
          <w:spacing w:val="20"/>
          <w:w w:val="135"/>
          <w:sz w:val="30"/>
        </w:rPr>
      </w:pPr>
      <w:r>
        <w:rPr>
          <w:rFonts w:hint="eastAsia" w:ascii="黑体" w:eastAsia="黑体"/>
          <w:b/>
          <w:spacing w:val="20"/>
          <w:w w:val="135"/>
          <w:sz w:val="30"/>
        </w:rPr>
        <w:t>20</w:t>
      </w:r>
      <w:r>
        <w:rPr>
          <w:rFonts w:ascii="黑体" w:eastAsia="黑体"/>
          <w:b/>
          <w:spacing w:val="20"/>
          <w:w w:val="135"/>
          <w:sz w:val="30"/>
        </w:rPr>
        <w:t>22</w:t>
      </w:r>
      <w:r>
        <w:rPr>
          <w:rFonts w:hint="eastAsia" w:ascii="黑体" w:eastAsia="黑体"/>
          <w:b/>
          <w:spacing w:val="20"/>
          <w:w w:val="135"/>
          <w:sz w:val="30"/>
        </w:rPr>
        <w:t>年</w:t>
      </w:r>
      <w:r>
        <w:rPr>
          <w:rFonts w:hint="eastAsia" w:ascii="黑体" w:eastAsia="黑体"/>
          <w:b/>
          <w:spacing w:val="20"/>
          <w:w w:val="135"/>
          <w:sz w:val="30"/>
          <w:lang w:val="en-US" w:eastAsia="zh-CN"/>
        </w:rPr>
        <w:t>10</w:t>
      </w:r>
      <w:r>
        <w:rPr>
          <w:rFonts w:hint="eastAsia" w:ascii="黑体" w:eastAsia="黑体"/>
          <w:b/>
          <w:spacing w:val="20"/>
          <w:w w:val="135"/>
          <w:sz w:val="30"/>
        </w:rPr>
        <w:t>月</w:t>
      </w:r>
    </w:p>
    <w:p>
      <w:pPr>
        <w:spacing w:before="312" w:beforeLines="100" w:line="560" w:lineRule="exact"/>
        <w:ind w:left="850"/>
        <w:jc w:val="center"/>
        <w:rPr>
          <w:rFonts w:ascii="Arial" w:hAnsi="Arial"/>
          <w:bCs/>
          <w:sz w:val="44"/>
          <w:szCs w:val="44"/>
        </w:rPr>
      </w:pPr>
      <w:r>
        <w:rPr>
          <w:rFonts w:hint="eastAsia" w:ascii="方正小标宋_GBK" w:hAnsi="方正小标宋_GBK" w:eastAsia="方正小标宋_GBK" w:cs="方正小标宋_GBK"/>
          <w:bCs/>
          <w:sz w:val="44"/>
          <w:szCs w:val="44"/>
        </w:rPr>
        <w:br w:type="page"/>
      </w:r>
      <w:r>
        <w:rPr>
          <w:rFonts w:hint="eastAsia" w:ascii="方正小标宋_GBK" w:hAnsi="方正小标宋_GBK" w:eastAsia="方正小标宋_GBK" w:cs="方正小标宋_GBK"/>
          <w:bCs/>
          <w:sz w:val="44"/>
          <w:szCs w:val="44"/>
        </w:rPr>
        <w:t>知识产权声明</w:t>
      </w:r>
    </w:p>
    <w:p>
      <w:pPr>
        <w:spacing w:line="560" w:lineRule="exact"/>
        <w:ind w:left="851"/>
        <w:jc w:val="center"/>
        <w:rPr>
          <w:rFonts w:ascii="Arial" w:hAnsi="Arial"/>
          <w:b/>
          <w:sz w:val="32"/>
          <w:szCs w:val="32"/>
        </w:rPr>
      </w:pPr>
    </w:p>
    <w:p>
      <w:pPr>
        <w:spacing w:line="560" w:lineRule="exact"/>
        <w:ind w:left="85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spacing w:line="560" w:lineRule="exact"/>
        <w:ind w:left="850"/>
        <w:rPr>
          <w:rFonts w:ascii="Arial" w:hAnsi="Arial"/>
          <w:sz w:val="28"/>
          <w:szCs w:val="28"/>
        </w:rPr>
      </w:pPr>
    </w:p>
    <w:p>
      <w:pPr>
        <w:spacing w:line="560" w:lineRule="exact"/>
        <w:ind w:left="851" w:firstLine="560"/>
        <w:rPr>
          <w:rFonts w:ascii="Arial" w:hAnsi="Arial"/>
          <w:sz w:val="28"/>
          <w:szCs w:val="28"/>
        </w:rPr>
      </w:pPr>
    </w:p>
    <w:p>
      <w:pPr>
        <w:spacing w:line="560" w:lineRule="exact"/>
        <w:ind w:left="851"/>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left="851" w:firstLine="640"/>
        <w:rPr>
          <w:rFonts w:ascii="Arial" w:hAnsi="Arial"/>
          <w:sz w:val="32"/>
          <w:szCs w:val="32"/>
        </w:rPr>
      </w:pPr>
    </w:p>
    <w:p>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jc w:val="center"/>
        <w:rPr>
          <w:rFonts w:ascii="黑体" w:eastAsia="黑体"/>
          <w:b/>
          <w:spacing w:val="20"/>
          <w:w w:val="135"/>
          <w:sz w:val="30"/>
        </w:rPr>
      </w:pPr>
    </w:p>
    <w:p>
      <w:pPr>
        <w:jc w:val="center"/>
        <w:rPr>
          <w:rFonts w:ascii="黑体" w:eastAsia="黑体"/>
          <w:b/>
          <w:spacing w:val="20"/>
          <w:w w:val="135"/>
          <w:sz w:val="30"/>
        </w:rPr>
      </w:pPr>
    </w:p>
    <w:p>
      <w:pPr>
        <w:spacing w:line="360" w:lineRule="auto"/>
        <w:jc w:val="center"/>
        <w:rPr>
          <w:rFonts w:eastAsia="黑体"/>
          <w:sz w:val="32"/>
          <w:szCs w:val="28"/>
        </w:rPr>
      </w:pPr>
      <w:r>
        <w:rPr>
          <w:rFonts w:eastAsia="黑体"/>
          <w:sz w:val="32"/>
          <w:szCs w:val="28"/>
        </w:rPr>
        <w:br w:type="page"/>
      </w:r>
      <w:r>
        <w:rPr>
          <w:rFonts w:hint="eastAsia" w:eastAsia="黑体"/>
          <w:sz w:val="32"/>
          <w:szCs w:val="28"/>
        </w:rPr>
        <w:t>本技术规范书对应的专用部分目录</w:t>
      </w:r>
    </w:p>
    <w:tbl>
      <w:tblPr>
        <w:tblStyle w:val="8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5530"/>
        <w:gridCol w:w="279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spacing w:line="360" w:lineRule="auto"/>
              <w:jc w:val="center"/>
              <w:rPr>
                <w:sz w:val="24"/>
              </w:rPr>
            </w:pPr>
            <w:r>
              <w:rPr>
                <w:rFonts w:hAnsi="宋体"/>
                <w:sz w:val="24"/>
              </w:rPr>
              <w:t>序号</w:t>
            </w:r>
          </w:p>
        </w:tc>
        <w:tc>
          <w:tcPr>
            <w:tcW w:w="5530" w:type="dxa"/>
          </w:tcPr>
          <w:p>
            <w:pPr>
              <w:spacing w:line="360" w:lineRule="auto"/>
              <w:jc w:val="center"/>
              <w:rPr>
                <w:sz w:val="24"/>
              </w:rPr>
            </w:pPr>
            <w:r>
              <w:rPr>
                <w:rFonts w:hAnsi="宋体"/>
                <w:sz w:val="24"/>
              </w:rPr>
              <w:t>名称</w:t>
            </w:r>
          </w:p>
        </w:tc>
        <w:tc>
          <w:tcPr>
            <w:tcW w:w="2798" w:type="dxa"/>
          </w:tcPr>
          <w:p>
            <w:pPr>
              <w:spacing w:line="360" w:lineRule="auto"/>
              <w:jc w:val="center"/>
              <w:rPr>
                <w:sz w:val="24"/>
              </w:rPr>
            </w:pPr>
            <w:r>
              <w:rPr>
                <w:rFonts w:hint="eastAsia" w:hAnsi="宋体"/>
                <w:sz w:val="24"/>
              </w:rPr>
              <w:t>南网品类优化</w:t>
            </w:r>
            <w:r>
              <w:rPr>
                <w:rFonts w:hAnsi="宋体"/>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spacing w:line="360" w:lineRule="auto"/>
              <w:jc w:val="center"/>
              <w:rPr>
                <w:sz w:val="24"/>
              </w:rPr>
            </w:pPr>
            <w:r>
              <w:rPr>
                <w:rFonts w:hint="eastAsia"/>
                <w:sz w:val="24"/>
              </w:rPr>
              <w:t>1</w:t>
            </w:r>
          </w:p>
        </w:tc>
        <w:tc>
          <w:tcPr>
            <w:tcW w:w="5530" w:type="dxa"/>
          </w:tcPr>
          <w:p>
            <w:pPr>
              <w:spacing w:line="360" w:lineRule="auto"/>
              <w:jc w:val="center"/>
              <w:rPr>
                <w:sz w:val="24"/>
              </w:rPr>
            </w:pPr>
            <w:r>
              <w:rPr>
                <w:rFonts w:hint="eastAsia"/>
                <w:sz w:val="24"/>
              </w:rPr>
              <w:t>110kV C8-450瓷绝缘支柱绝缘子技术规范书（专用部分）</w:t>
            </w:r>
          </w:p>
        </w:tc>
        <w:tc>
          <w:tcPr>
            <w:tcW w:w="2798" w:type="dxa"/>
          </w:tcPr>
          <w:p>
            <w:pPr>
              <w:spacing w:line="360" w:lineRule="auto"/>
              <w:jc w:val="center"/>
              <w:rPr>
                <w:sz w:val="24"/>
              </w:rPr>
            </w:pPr>
            <w:r>
              <w:rPr>
                <w:rFonts w:hint="eastAsia"/>
                <w:sz w:val="24"/>
              </w:rPr>
              <w:t>C8-450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spacing w:line="360" w:lineRule="auto"/>
              <w:jc w:val="center"/>
              <w:rPr>
                <w:sz w:val="24"/>
              </w:rPr>
            </w:pPr>
            <w:r>
              <w:rPr>
                <w:rFonts w:hint="eastAsia"/>
                <w:sz w:val="24"/>
              </w:rPr>
              <w:t>2</w:t>
            </w:r>
          </w:p>
        </w:tc>
        <w:tc>
          <w:tcPr>
            <w:tcW w:w="5530" w:type="dxa"/>
          </w:tcPr>
          <w:p>
            <w:pPr>
              <w:spacing w:line="360" w:lineRule="auto"/>
              <w:jc w:val="center"/>
              <w:rPr>
                <w:sz w:val="24"/>
              </w:rPr>
            </w:pPr>
            <w:r>
              <w:rPr>
                <w:rFonts w:hint="eastAsia"/>
                <w:sz w:val="24"/>
              </w:rPr>
              <w:t>220kV C8-950瓷绝缘支柱绝缘子技术规范书（专用部分）</w:t>
            </w:r>
          </w:p>
        </w:tc>
        <w:tc>
          <w:tcPr>
            <w:tcW w:w="2798" w:type="dxa"/>
          </w:tcPr>
          <w:p>
            <w:pPr>
              <w:spacing w:line="360" w:lineRule="auto"/>
              <w:jc w:val="center"/>
              <w:rPr>
                <w:sz w:val="24"/>
              </w:rPr>
            </w:pPr>
            <w:r>
              <w:rPr>
                <w:rFonts w:hint="eastAsia"/>
                <w:sz w:val="24"/>
              </w:rPr>
              <w:t>C8-950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spacing w:line="360" w:lineRule="auto"/>
              <w:jc w:val="center"/>
              <w:rPr>
                <w:sz w:val="24"/>
              </w:rPr>
            </w:pPr>
            <w:r>
              <w:rPr>
                <w:rFonts w:hint="eastAsia"/>
                <w:sz w:val="24"/>
              </w:rPr>
              <w:t>3</w:t>
            </w:r>
          </w:p>
        </w:tc>
        <w:tc>
          <w:tcPr>
            <w:tcW w:w="5530" w:type="dxa"/>
          </w:tcPr>
          <w:p>
            <w:pPr>
              <w:spacing w:line="360" w:lineRule="auto"/>
              <w:jc w:val="center"/>
              <w:rPr>
                <w:sz w:val="24"/>
              </w:rPr>
            </w:pPr>
            <w:r>
              <w:rPr>
                <w:rFonts w:hint="eastAsia"/>
                <w:sz w:val="24"/>
              </w:rPr>
              <w:t>220kV C12.5-950瓷绝缘支柱绝缘子技术规范书（专用部分）</w:t>
            </w:r>
          </w:p>
        </w:tc>
        <w:tc>
          <w:tcPr>
            <w:tcW w:w="2798" w:type="dxa"/>
          </w:tcPr>
          <w:p>
            <w:pPr>
              <w:spacing w:line="360" w:lineRule="auto"/>
              <w:jc w:val="center"/>
              <w:rPr>
                <w:sz w:val="24"/>
              </w:rPr>
            </w:pPr>
            <w:r>
              <w:rPr>
                <w:rFonts w:hint="eastAsia"/>
                <w:sz w:val="24"/>
              </w:rPr>
              <w:t>C12.5-950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spacing w:line="360" w:lineRule="auto"/>
              <w:jc w:val="center"/>
              <w:rPr>
                <w:sz w:val="24"/>
              </w:rPr>
            </w:pPr>
            <w:r>
              <w:rPr>
                <w:rFonts w:hint="eastAsia"/>
                <w:sz w:val="24"/>
              </w:rPr>
              <w:t>4</w:t>
            </w:r>
          </w:p>
        </w:tc>
        <w:tc>
          <w:tcPr>
            <w:tcW w:w="5530" w:type="dxa"/>
          </w:tcPr>
          <w:p>
            <w:pPr>
              <w:spacing w:line="360" w:lineRule="auto"/>
              <w:rPr>
                <w:sz w:val="24"/>
              </w:rPr>
            </w:pPr>
            <w:r>
              <w:rPr>
                <w:rFonts w:hint="eastAsia"/>
                <w:sz w:val="24"/>
              </w:rPr>
              <w:t>500kV C12.5-1675瓷绝缘支柱绝缘子技术规范书（专用部分）</w:t>
            </w:r>
          </w:p>
        </w:tc>
        <w:tc>
          <w:tcPr>
            <w:tcW w:w="2798" w:type="dxa"/>
          </w:tcPr>
          <w:p>
            <w:pPr>
              <w:spacing w:line="360" w:lineRule="auto"/>
              <w:jc w:val="center"/>
              <w:rPr>
                <w:sz w:val="24"/>
              </w:rPr>
            </w:pPr>
            <w:r>
              <w:rPr>
                <w:rFonts w:hint="eastAsia"/>
                <w:sz w:val="24"/>
              </w:rPr>
              <w:t>C12.5-1675</w:t>
            </w:r>
          </w:p>
        </w:tc>
      </w:tr>
    </w:tbl>
    <w:p>
      <w:pPr>
        <w:spacing w:line="360" w:lineRule="auto"/>
        <w:jc w:val="center"/>
        <w:rPr>
          <w:rFonts w:ascii="仿宋_GB2312" w:eastAsia="仿宋_GB2312"/>
        </w:rPr>
      </w:pPr>
    </w:p>
    <w:p>
      <w:pPr>
        <w:spacing w:line="360" w:lineRule="auto"/>
        <w:jc w:val="center"/>
        <w:rPr>
          <w:rFonts w:ascii="仿宋_GB2312" w:eastAsia="仿宋_GB2312"/>
        </w:rPr>
      </w:pPr>
    </w:p>
    <w:p>
      <w:pPr>
        <w:spacing w:line="360" w:lineRule="auto"/>
        <w:jc w:val="center"/>
        <w:rPr>
          <w:rFonts w:ascii="仿宋_GB2312" w:eastAsia="仿宋_GB2312"/>
        </w:rPr>
      </w:pPr>
    </w:p>
    <w:p>
      <w:pPr>
        <w:spacing w:line="360" w:lineRule="auto"/>
        <w:jc w:val="center"/>
      </w:pPr>
      <w:r>
        <w:rPr>
          <w:rFonts w:ascii="仿宋_GB2312" w:eastAsia="仿宋_GB2312"/>
        </w:rPr>
        <w:br w:type="page"/>
      </w:r>
      <w:r>
        <w:rPr>
          <w:rFonts w:hint="eastAsia" w:ascii="黑体" w:eastAsia="黑体"/>
          <w:sz w:val="36"/>
          <w:szCs w:val="36"/>
        </w:rPr>
        <w:t>目  录</w:t>
      </w:r>
    </w:p>
    <w:p>
      <w:pPr>
        <w:pStyle w:val="55"/>
        <w:rPr>
          <w:rFonts w:ascii="Calibri" w:hAnsi="Calibri"/>
          <w:b w:val="0"/>
          <w:szCs w:val="22"/>
        </w:rPr>
      </w:pPr>
      <w:r>
        <w:fldChar w:fldCharType="begin"/>
      </w:r>
      <w:r>
        <w:instrText xml:space="preserve"> TOC \o "1-3" \h \z \u </w:instrText>
      </w:r>
      <w:r>
        <w:fldChar w:fldCharType="separate"/>
      </w:r>
      <w:r>
        <w:fldChar w:fldCharType="begin"/>
      </w:r>
      <w:r>
        <w:instrText xml:space="preserve"> HYPERLINK \l "_Toc22386023" </w:instrText>
      </w:r>
      <w:r>
        <w:fldChar w:fldCharType="separate"/>
      </w:r>
      <w:r>
        <w:rPr>
          <w:rStyle w:val="95"/>
          <w:rFonts w:ascii="黑体" w:hAnsi="黑体" w:eastAsia="黑体"/>
          <w:b/>
        </w:rPr>
        <w:t xml:space="preserve">1 </w:t>
      </w:r>
      <w:r>
        <w:rPr>
          <w:rStyle w:val="95"/>
          <w:rFonts w:hint="eastAsia" w:ascii="黑体" w:hAnsi="黑体" w:eastAsia="黑体"/>
          <w:b/>
        </w:rPr>
        <w:t>总则</w:t>
      </w:r>
      <w:r>
        <w:tab/>
      </w:r>
      <w:r>
        <w:fldChar w:fldCharType="begin"/>
      </w:r>
      <w:r>
        <w:instrText xml:space="preserve"> PAGEREF _Toc22386023 \h </w:instrText>
      </w:r>
      <w:r>
        <w:fldChar w:fldCharType="separate"/>
      </w:r>
      <w:r>
        <w:t>1</w:t>
      </w:r>
      <w:r>
        <w:fldChar w:fldCharType="end"/>
      </w:r>
      <w:r>
        <w:fldChar w:fldCharType="end"/>
      </w:r>
    </w:p>
    <w:p>
      <w:pPr>
        <w:pStyle w:val="55"/>
        <w:rPr>
          <w:rFonts w:ascii="Calibri" w:hAnsi="Calibri"/>
          <w:b w:val="0"/>
          <w:szCs w:val="22"/>
        </w:rPr>
      </w:pPr>
      <w:r>
        <w:fldChar w:fldCharType="begin"/>
      </w:r>
      <w:r>
        <w:instrText xml:space="preserve"> HYPERLINK \l "_Toc22386024" </w:instrText>
      </w:r>
      <w:r>
        <w:fldChar w:fldCharType="separate"/>
      </w:r>
      <w:r>
        <w:rPr>
          <w:rStyle w:val="95"/>
          <w:rFonts w:ascii="黑体" w:hAnsi="黑体" w:eastAsia="黑体"/>
          <w:b/>
        </w:rPr>
        <w:t xml:space="preserve">2 </w:t>
      </w:r>
      <w:r>
        <w:rPr>
          <w:rStyle w:val="95"/>
          <w:rFonts w:hint="eastAsia" w:ascii="黑体" w:hAnsi="黑体" w:eastAsia="黑体"/>
          <w:b/>
        </w:rPr>
        <w:t>工作范围</w:t>
      </w:r>
      <w:r>
        <w:tab/>
      </w:r>
      <w:r>
        <w:fldChar w:fldCharType="begin"/>
      </w:r>
      <w:r>
        <w:instrText xml:space="preserve"> PAGEREF _Toc22386024 \h </w:instrText>
      </w:r>
      <w:r>
        <w:fldChar w:fldCharType="separate"/>
      </w:r>
      <w:r>
        <w:t>1</w:t>
      </w:r>
      <w:r>
        <w:fldChar w:fldCharType="end"/>
      </w:r>
      <w:r>
        <w:fldChar w:fldCharType="end"/>
      </w:r>
    </w:p>
    <w:p>
      <w:pPr>
        <w:pStyle w:val="69"/>
        <w:rPr>
          <w:rFonts w:ascii="Calibri" w:hAnsi="Calibri"/>
          <w:szCs w:val="22"/>
        </w:rPr>
      </w:pPr>
      <w:r>
        <w:fldChar w:fldCharType="begin"/>
      </w:r>
      <w:r>
        <w:instrText xml:space="preserve"> HYPERLINK \l "_Toc22386025" </w:instrText>
      </w:r>
      <w:r>
        <w:fldChar w:fldCharType="separate"/>
      </w:r>
      <w:r>
        <w:rPr>
          <w:rStyle w:val="95"/>
          <w:rFonts w:ascii="黑体" w:hAnsi="黑体"/>
        </w:rPr>
        <w:t xml:space="preserve">2.1 </w:t>
      </w:r>
      <w:r>
        <w:rPr>
          <w:rStyle w:val="95"/>
          <w:rFonts w:hint="eastAsia" w:ascii="黑体" w:hAnsi="黑体"/>
        </w:rPr>
        <w:t>工程概况</w:t>
      </w:r>
      <w:r>
        <w:tab/>
      </w:r>
      <w:r>
        <w:fldChar w:fldCharType="begin"/>
      </w:r>
      <w:r>
        <w:instrText xml:space="preserve"> PAGEREF _Toc22386025 \h </w:instrText>
      </w:r>
      <w:r>
        <w:fldChar w:fldCharType="separate"/>
      </w:r>
      <w:r>
        <w:t>1</w:t>
      </w:r>
      <w:r>
        <w:fldChar w:fldCharType="end"/>
      </w:r>
      <w:r>
        <w:fldChar w:fldCharType="end"/>
      </w:r>
    </w:p>
    <w:p>
      <w:pPr>
        <w:pStyle w:val="69"/>
        <w:rPr>
          <w:rFonts w:ascii="Calibri" w:hAnsi="Calibri"/>
          <w:szCs w:val="22"/>
        </w:rPr>
      </w:pPr>
      <w:r>
        <w:fldChar w:fldCharType="begin"/>
      </w:r>
      <w:r>
        <w:instrText xml:space="preserve"> HYPERLINK \l "_Toc22386026" </w:instrText>
      </w:r>
      <w:r>
        <w:fldChar w:fldCharType="separate"/>
      </w:r>
      <w:r>
        <w:rPr>
          <w:rStyle w:val="95"/>
          <w:rFonts w:ascii="黑体" w:hAnsi="黑体"/>
        </w:rPr>
        <w:t xml:space="preserve">2.2 </w:t>
      </w:r>
      <w:r>
        <w:rPr>
          <w:rStyle w:val="95"/>
          <w:rFonts w:hint="eastAsia" w:ascii="黑体" w:hAnsi="黑体"/>
        </w:rPr>
        <w:t>范围和界限</w:t>
      </w:r>
      <w:r>
        <w:tab/>
      </w:r>
      <w:r>
        <w:fldChar w:fldCharType="begin"/>
      </w:r>
      <w:r>
        <w:instrText xml:space="preserve"> PAGEREF _Toc22386026 \h </w:instrText>
      </w:r>
      <w:r>
        <w:fldChar w:fldCharType="separate"/>
      </w:r>
      <w:r>
        <w:t>1</w:t>
      </w:r>
      <w:r>
        <w:fldChar w:fldCharType="end"/>
      </w:r>
      <w:r>
        <w:fldChar w:fldCharType="end"/>
      </w:r>
    </w:p>
    <w:p>
      <w:pPr>
        <w:pStyle w:val="69"/>
        <w:rPr>
          <w:rFonts w:ascii="Calibri" w:hAnsi="Calibri"/>
          <w:szCs w:val="22"/>
        </w:rPr>
      </w:pPr>
      <w:r>
        <w:fldChar w:fldCharType="begin"/>
      </w:r>
      <w:r>
        <w:instrText xml:space="preserve"> HYPERLINK \l "_Toc22386027" </w:instrText>
      </w:r>
      <w:r>
        <w:fldChar w:fldCharType="separate"/>
      </w:r>
      <w:r>
        <w:rPr>
          <w:rStyle w:val="95"/>
          <w:rFonts w:ascii="黑体" w:hAnsi="黑体"/>
        </w:rPr>
        <w:t xml:space="preserve">2.3 </w:t>
      </w:r>
      <w:r>
        <w:rPr>
          <w:rStyle w:val="95"/>
          <w:rFonts w:hint="eastAsia" w:ascii="黑体" w:hAnsi="黑体"/>
        </w:rPr>
        <w:t>服务范围</w:t>
      </w:r>
      <w:r>
        <w:tab/>
      </w:r>
      <w:r>
        <w:fldChar w:fldCharType="begin"/>
      </w:r>
      <w:r>
        <w:instrText xml:space="preserve"> PAGEREF _Toc22386027 \h </w:instrText>
      </w:r>
      <w:r>
        <w:fldChar w:fldCharType="separate"/>
      </w:r>
      <w:r>
        <w:t>2</w:t>
      </w:r>
      <w:r>
        <w:fldChar w:fldCharType="end"/>
      </w:r>
      <w:r>
        <w:fldChar w:fldCharType="end"/>
      </w:r>
    </w:p>
    <w:p>
      <w:pPr>
        <w:pStyle w:val="55"/>
        <w:rPr>
          <w:rFonts w:ascii="Calibri" w:hAnsi="Calibri"/>
          <w:b w:val="0"/>
          <w:szCs w:val="22"/>
        </w:rPr>
      </w:pPr>
      <w:r>
        <w:fldChar w:fldCharType="begin"/>
      </w:r>
      <w:r>
        <w:instrText xml:space="preserve"> HYPERLINK \l "_Toc22386028" </w:instrText>
      </w:r>
      <w:r>
        <w:fldChar w:fldCharType="separate"/>
      </w:r>
      <w:r>
        <w:rPr>
          <w:rStyle w:val="95"/>
          <w:rFonts w:ascii="黑体" w:hAnsi="黑体" w:eastAsia="黑体"/>
          <w:b/>
        </w:rPr>
        <w:t xml:space="preserve">3 </w:t>
      </w:r>
      <w:r>
        <w:rPr>
          <w:rStyle w:val="95"/>
          <w:rFonts w:hint="eastAsia" w:ascii="黑体" w:hAnsi="黑体" w:eastAsia="黑体"/>
          <w:b/>
        </w:rPr>
        <w:t>应遵循的主要标准</w:t>
      </w:r>
      <w:r>
        <w:tab/>
      </w:r>
      <w:r>
        <w:fldChar w:fldCharType="begin"/>
      </w:r>
      <w:r>
        <w:instrText xml:space="preserve"> PAGEREF _Toc22386028 \h </w:instrText>
      </w:r>
      <w:r>
        <w:fldChar w:fldCharType="separate"/>
      </w:r>
      <w:r>
        <w:t>2</w:t>
      </w:r>
      <w:r>
        <w:fldChar w:fldCharType="end"/>
      </w:r>
      <w:r>
        <w:fldChar w:fldCharType="end"/>
      </w:r>
    </w:p>
    <w:p>
      <w:pPr>
        <w:pStyle w:val="55"/>
        <w:rPr>
          <w:rFonts w:ascii="Calibri" w:hAnsi="Calibri"/>
          <w:b w:val="0"/>
          <w:szCs w:val="22"/>
        </w:rPr>
      </w:pPr>
      <w:r>
        <w:fldChar w:fldCharType="begin"/>
      </w:r>
      <w:r>
        <w:instrText xml:space="preserve"> HYPERLINK \l "_Toc22386029" </w:instrText>
      </w:r>
      <w:r>
        <w:fldChar w:fldCharType="separate"/>
      </w:r>
      <w:r>
        <w:rPr>
          <w:rStyle w:val="95"/>
          <w:rFonts w:ascii="黑体" w:hAnsi="黑体" w:eastAsia="黑体"/>
          <w:b/>
        </w:rPr>
        <w:t>4</w:t>
      </w:r>
      <w:r>
        <w:rPr>
          <w:rStyle w:val="95"/>
          <w:rFonts w:hint="eastAsia" w:ascii="黑体" w:hAnsi="黑体" w:eastAsia="黑体"/>
          <w:b/>
        </w:rPr>
        <w:t>使用条件</w:t>
      </w:r>
      <w:r>
        <w:tab/>
      </w:r>
      <w:r>
        <w:fldChar w:fldCharType="begin"/>
      </w:r>
      <w:r>
        <w:instrText xml:space="preserve"> PAGEREF _Toc22386029 \h </w:instrText>
      </w:r>
      <w:r>
        <w:fldChar w:fldCharType="separate"/>
      </w:r>
      <w:r>
        <w:t>3</w:t>
      </w:r>
      <w:r>
        <w:fldChar w:fldCharType="end"/>
      </w:r>
      <w:r>
        <w:fldChar w:fldCharType="end"/>
      </w:r>
    </w:p>
    <w:p>
      <w:pPr>
        <w:pStyle w:val="69"/>
        <w:rPr>
          <w:rFonts w:ascii="Calibri" w:hAnsi="Calibri"/>
          <w:szCs w:val="22"/>
        </w:rPr>
      </w:pPr>
      <w:r>
        <w:fldChar w:fldCharType="begin"/>
      </w:r>
      <w:r>
        <w:instrText xml:space="preserve"> HYPERLINK \l "_Toc22386030" </w:instrText>
      </w:r>
      <w:r>
        <w:fldChar w:fldCharType="separate"/>
      </w:r>
      <w:r>
        <w:rPr>
          <w:rStyle w:val="95"/>
          <w:rFonts w:ascii="黑体" w:hAnsi="黑体"/>
        </w:rPr>
        <w:t>4.1</w:t>
      </w:r>
      <w:r>
        <w:rPr>
          <w:rStyle w:val="95"/>
          <w:rFonts w:hint="eastAsia" w:ascii="黑体" w:hAnsi="黑体"/>
        </w:rPr>
        <w:t>正常使用条件</w:t>
      </w:r>
      <w:r>
        <w:tab/>
      </w:r>
      <w:r>
        <w:fldChar w:fldCharType="begin"/>
      </w:r>
      <w:r>
        <w:instrText xml:space="preserve"> PAGEREF _Toc22386030 \h </w:instrText>
      </w:r>
      <w:r>
        <w:fldChar w:fldCharType="separate"/>
      </w:r>
      <w:r>
        <w:t>4</w:t>
      </w:r>
      <w:r>
        <w:fldChar w:fldCharType="end"/>
      </w:r>
      <w:r>
        <w:fldChar w:fldCharType="end"/>
      </w:r>
    </w:p>
    <w:p>
      <w:pPr>
        <w:pStyle w:val="69"/>
        <w:rPr>
          <w:rFonts w:ascii="Calibri" w:hAnsi="Calibri"/>
          <w:szCs w:val="22"/>
        </w:rPr>
      </w:pPr>
      <w:r>
        <w:fldChar w:fldCharType="begin"/>
      </w:r>
      <w:r>
        <w:instrText xml:space="preserve"> HYPERLINK \l "_Toc22386031" </w:instrText>
      </w:r>
      <w:r>
        <w:fldChar w:fldCharType="separate"/>
      </w:r>
      <w:r>
        <w:rPr>
          <w:rStyle w:val="95"/>
          <w:rFonts w:ascii="黑体" w:hAnsi="黑体"/>
        </w:rPr>
        <w:t>4.2</w:t>
      </w:r>
      <w:r>
        <w:rPr>
          <w:rStyle w:val="95"/>
          <w:rFonts w:hint="eastAsia" w:ascii="黑体" w:hAnsi="黑体"/>
        </w:rPr>
        <w:t>特殊</w:t>
      </w:r>
      <w:r>
        <w:rPr>
          <w:rStyle w:val="95"/>
          <w:rFonts w:hint="eastAsia"/>
        </w:rPr>
        <w:t>使用条件</w:t>
      </w:r>
      <w:r>
        <w:tab/>
      </w:r>
      <w:r>
        <w:fldChar w:fldCharType="begin"/>
      </w:r>
      <w:r>
        <w:instrText xml:space="preserve"> PAGEREF _Toc22386031 \h </w:instrText>
      </w:r>
      <w:r>
        <w:fldChar w:fldCharType="separate"/>
      </w:r>
      <w:r>
        <w:t>4</w:t>
      </w:r>
      <w:r>
        <w:fldChar w:fldCharType="end"/>
      </w:r>
      <w:r>
        <w:fldChar w:fldCharType="end"/>
      </w:r>
    </w:p>
    <w:p>
      <w:pPr>
        <w:pStyle w:val="55"/>
        <w:rPr>
          <w:rFonts w:ascii="Calibri" w:hAnsi="Calibri"/>
          <w:b w:val="0"/>
          <w:szCs w:val="22"/>
        </w:rPr>
      </w:pPr>
      <w:r>
        <w:fldChar w:fldCharType="begin"/>
      </w:r>
      <w:r>
        <w:instrText xml:space="preserve"> HYPERLINK \l "_Toc22386032" </w:instrText>
      </w:r>
      <w:r>
        <w:fldChar w:fldCharType="separate"/>
      </w:r>
      <w:r>
        <w:rPr>
          <w:rStyle w:val="95"/>
          <w:rFonts w:ascii="黑体" w:hAnsi="黑体" w:eastAsia="黑体"/>
          <w:b/>
        </w:rPr>
        <w:t xml:space="preserve">5 </w:t>
      </w:r>
      <w:r>
        <w:rPr>
          <w:rStyle w:val="95"/>
          <w:rFonts w:hint="eastAsia" w:ascii="黑体" w:hAnsi="黑体" w:eastAsia="黑体"/>
          <w:b/>
        </w:rPr>
        <w:t>技术要求</w:t>
      </w:r>
      <w:r>
        <w:tab/>
      </w:r>
      <w:r>
        <w:fldChar w:fldCharType="begin"/>
      </w:r>
      <w:r>
        <w:instrText xml:space="preserve"> PAGEREF _Toc22386032 \h </w:instrText>
      </w:r>
      <w:r>
        <w:fldChar w:fldCharType="separate"/>
      </w:r>
      <w:r>
        <w:t>5</w:t>
      </w:r>
      <w:r>
        <w:fldChar w:fldCharType="end"/>
      </w:r>
      <w:r>
        <w:fldChar w:fldCharType="end"/>
      </w:r>
    </w:p>
    <w:p>
      <w:pPr>
        <w:pStyle w:val="69"/>
        <w:rPr>
          <w:rFonts w:ascii="Calibri" w:hAnsi="Calibri"/>
          <w:szCs w:val="22"/>
        </w:rPr>
      </w:pPr>
      <w:r>
        <w:fldChar w:fldCharType="begin"/>
      </w:r>
      <w:r>
        <w:instrText xml:space="preserve"> HYPERLINK \l "_Toc22386033" </w:instrText>
      </w:r>
      <w:r>
        <w:fldChar w:fldCharType="separate"/>
      </w:r>
      <w:r>
        <w:rPr>
          <w:rStyle w:val="95"/>
          <w:rFonts w:ascii="黑体" w:hAnsi="黑体"/>
        </w:rPr>
        <w:t>5.1</w:t>
      </w:r>
      <w:r>
        <w:rPr>
          <w:rStyle w:val="95"/>
          <w:rFonts w:hint="eastAsia"/>
        </w:rPr>
        <w:t>尺寸特性</w:t>
      </w:r>
      <w:r>
        <w:tab/>
      </w:r>
      <w:r>
        <w:fldChar w:fldCharType="begin"/>
      </w:r>
      <w:r>
        <w:instrText xml:space="preserve"> PAGEREF _Toc22386033 \h </w:instrText>
      </w:r>
      <w:r>
        <w:fldChar w:fldCharType="separate"/>
      </w:r>
      <w:r>
        <w:t>5</w:t>
      </w:r>
      <w:r>
        <w:fldChar w:fldCharType="end"/>
      </w:r>
      <w:r>
        <w:fldChar w:fldCharType="end"/>
      </w:r>
    </w:p>
    <w:p>
      <w:pPr>
        <w:pStyle w:val="69"/>
        <w:rPr>
          <w:rFonts w:ascii="Calibri" w:hAnsi="Calibri"/>
          <w:szCs w:val="22"/>
        </w:rPr>
      </w:pPr>
      <w:r>
        <w:fldChar w:fldCharType="begin"/>
      </w:r>
      <w:r>
        <w:instrText xml:space="preserve"> HYPERLINK \l "_Toc22386034" </w:instrText>
      </w:r>
      <w:r>
        <w:fldChar w:fldCharType="separate"/>
      </w:r>
      <w:r>
        <w:rPr>
          <w:rStyle w:val="95"/>
          <w:rFonts w:ascii="黑体" w:hAnsi="黑体"/>
        </w:rPr>
        <w:t>5.2</w:t>
      </w:r>
      <w:r>
        <w:rPr>
          <w:rStyle w:val="95"/>
          <w:rFonts w:hint="eastAsia" w:ascii="黑体" w:hAnsi="黑体"/>
        </w:rPr>
        <w:t>技术参数</w:t>
      </w:r>
      <w:r>
        <w:tab/>
      </w:r>
      <w:r>
        <w:fldChar w:fldCharType="begin"/>
      </w:r>
      <w:r>
        <w:instrText xml:space="preserve"> PAGEREF _Toc22386034 \h </w:instrText>
      </w:r>
      <w:r>
        <w:fldChar w:fldCharType="separate"/>
      </w:r>
      <w:r>
        <w:t>5</w:t>
      </w:r>
      <w:r>
        <w:fldChar w:fldCharType="end"/>
      </w:r>
      <w:r>
        <w:fldChar w:fldCharType="end"/>
      </w:r>
    </w:p>
    <w:p>
      <w:pPr>
        <w:pStyle w:val="69"/>
        <w:rPr>
          <w:rFonts w:ascii="Calibri" w:hAnsi="Calibri"/>
          <w:szCs w:val="22"/>
        </w:rPr>
      </w:pPr>
      <w:r>
        <w:fldChar w:fldCharType="begin"/>
      </w:r>
      <w:r>
        <w:instrText xml:space="preserve"> HYPERLINK \l "_Toc22386035" </w:instrText>
      </w:r>
      <w:r>
        <w:fldChar w:fldCharType="separate"/>
      </w:r>
      <w:r>
        <w:rPr>
          <w:rStyle w:val="95"/>
          <w:rFonts w:ascii="黑体" w:hAnsi="黑体"/>
        </w:rPr>
        <w:t xml:space="preserve">5.3 </w:t>
      </w:r>
      <w:r>
        <w:rPr>
          <w:rStyle w:val="95"/>
          <w:rFonts w:hint="eastAsia" w:ascii="黑体" w:hAnsi="黑体"/>
        </w:rPr>
        <w:t>标准特性</w:t>
      </w:r>
      <w:r>
        <w:tab/>
      </w:r>
      <w:r>
        <w:fldChar w:fldCharType="begin"/>
      </w:r>
      <w:r>
        <w:instrText xml:space="preserve"> PAGEREF _Toc22386035 \h </w:instrText>
      </w:r>
      <w:r>
        <w:fldChar w:fldCharType="separate"/>
      </w:r>
      <w:r>
        <w:t>6</w:t>
      </w:r>
      <w:r>
        <w:fldChar w:fldCharType="end"/>
      </w:r>
      <w:r>
        <w:fldChar w:fldCharType="end"/>
      </w:r>
    </w:p>
    <w:p>
      <w:pPr>
        <w:pStyle w:val="69"/>
        <w:rPr>
          <w:rFonts w:ascii="Calibri" w:hAnsi="Calibri"/>
          <w:szCs w:val="22"/>
        </w:rPr>
      </w:pPr>
      <w:r>
        <w:fldChar w:fldCharType="begin"/>
      </w:r>
      <w:r>
        <w:instrText xml:space="preserve"> HYPERLINK \l "_Toc22386036" </w:instrText>
      </w:r>
      <w:r>
        <w:fldChar w:fldCharType="separate"/>
      </w:r>
      <w:r>
        <w:rPr>
          <w:rStyle w:val="95"/>
          <w:rFonts w:ascii="黑体" w:hAnsi="黑体"/>
        </w:rPr>
        <w:t xml:space="preserve">5.4 </w:t>
      </w:r>
      <w:r>
        <w:rPr>
          <w:rStyle w:val="95"/>
          <w:rFonts w:hint="eastAsia" w:ascii="黑体" w:hAnsi="黑体"/>
        </w:rPr>
        <w:t>质量追溯</w:t>
      </w:r>
      <w:r>
        <w:tab/>
      </w:r>
      <w:r>
        <w:fldChar w:fldCharType="begin"/>
      </w:r>
      <w:r>
        <w:instrText xml:space="preserve"> PAGEREF _Toc22386036 \h </w:instrText>
      </w:r>
      <w:r>
        <w:fldChar w:fldCharType="separate"/>
      </w:r>
      <w:r>
        <w:t>7</w:t>
      </w:r>
      <w:r>
        <w:fldChar w:fldCharType="end"/>
      </w:r>
      <w:r>
        <w:fldChar w:fldCharType="end"/>
      </w:r>
    </w:p>
    <w:p>
      <w:pPr>
        <w:pStyle w:val="69"/>
        <w:rPr>
          <w:rFonts w:ascii="Calibri" w:hAnsi="Calibri"/>
          <w:szCs w:val="22"/>
        </w:rPr>
      </w:pPr>
      <w:r>
        <w:fldChar w:fldCharType="begin"/>
      </w:r>
      <w:r>
        <w:instrText xml:space="preserve"> HYPERLINK \l "_Toc22386037" </w:instrText>
      </w:r>
      <w:r>
        <w:fldChar w:fldCharType="separate"/>
      </w:r>
      <w:r>
        <w:rPr>
          <w:rStyle w:val="95"/>
        </w:rPr>
        <w:t xml:space="preserve">5.5 </w:t>
      </w:r>
      <w:r>
        <w:rPr>
          <w:rStyle w:val="95"/>
          <w:rFonts w:hint="eastAsia"/>
        </w:rPr>
        <w:t>关于对检修的要求</w:t>
      </w:r>
      <w:r>
        <w:tab/>
      </w:r>
      <w:r>
        <w:fldChar w:fldCharType="begin"/>
      </w:r>
      <w:r>
        <w:instrText xml:space="preserve"> PAGEREF _Toc22386037 \h </w:instrText>
      </w:r>
      <w:r>
        <w:fldChar w:fldCharType="separate"/>
      </w:r>
      <w:r>
        <w:t>7</w:t>
      </w:r>
      <w:r>
        <w:fldChar w:fldCharType="end"/>
      </w:r>
      <w:r>
        <w:fldChar w:fldCharType="end"/>
      </w:r>
    </w:p>
    <w:p>
      <w:pPr>
        <w:pStyle w:val="55"/>
        <w:rPr>
          <w:rFonts w:ascii="Calibri" w:hAnsi="Calibri"/>
          <w:b w:val="0"/>
          <w:szCs w:val="22"/>
        </w:rPr>
      </w:pPr>
      <w:r>
        <w:fldChar w:fldCharType="begin"/>
      </w:r>
      <w:r>
        <w:instrText xml:space="preserve"> HYPERLINK \l "_Toc22386038" </w:instrText>
      </w:r>
      <w:r>
        <w:fldChar w:fldCharType="separate"/>
      </w:r>
      <w:r>
        <w:rPr>
          <w:rStyle w:val="95"/>
          <w:rFonts w:ascii="黑体" w:hAnsi="黑体"/>
          <w:b/>
        </w:rPr>
        <w:t xml:space="preserve">6 </w:t>
      </w:r>
      <w:r>
        <w:rPr>
          <w:rStyle w:val="95"/>
          <w:rFonts w:hint="eastAsia" w:ascii="黑体" w:hAnsi="黑体" w:eastAsia="黑体"/>
          <w:b/>
        </w:rPr>
        <w:t>试验</w:t>
      </w:r>
      <w:r>
        <w:tab/>
      </w:r>
      <w:r>
        <w:fldChar w:fldCharType="begin"/>
      </w:r>
      <w:r>
        <w:instrText xml:space="preserve"> PAGEREF _Toc22386038 \h </w:instrText>
      </w:r>
      <w:r>
        <w:fldChar w:fldCharType="separate"/>
      </w:r>
      <w:r>
        <w:t>7</w:t>
      </w:r>
      <w:r>
        <w:fldChar w:fldCharType="end"/>
      </w:r>
      <w:r>
        <w:fldChar w:fldCharType="end"/>
      </w:r>
    </w:p>
    <w:p>
      <w:pPr>
        <w:pStyle w:val="69"/>
        <w:rPr>
          <w:rFonts w:ascii="Calibri" w:hAnsi="Calibri"/>
          <w:szCs w:val="22"/>
        </w:rPr>
      </w:pPr>
      <w:r>
        <w:fldChar w:fldCharType="begin"/>
      </w:r>
      <w:r>
        <w:instrText xml:space="preserve"> HYPERLINK \l "_Toc22386039" </w:instrText>
      </w:r>
      <w:r>
        <w:fldChar w:fldCharType="separate"/>
      </w:r>
      <w:r>
        <w:rPr>
          <w:rStyle w:val="95"/>
          <w:rFonts w:ascii="黑体" w:hAnsi="黑体"/>
        </w:rPr>
        <w:t>6.1</w:t>
      </w:r>
      <w:r>
        <w:rPr>
          <w:rStyle w:val="95"/>
          <w:rFonts w:hint="eastAsia" w:ascii="黑体" w:hAnsi="黑体"/>
        </w:rPr>
        <w:t>试验分类</w:t>
      </w:r>
      <w:r>
        <w:tab/>
      </w:r>
      <w:r>
        <w:fldChar w:fldCharType="begin"/>
      </w:r>
      <w:r>
        <w:instrText xml:space="preserve"> PAGEREF _Toc22386039 \h </w:instrText>
      </w:r>
      <w:r>
        <w:fldChar w:fldCharType="separate"/>
      </w:r>
      <w:r>
        <w:t>7</w:t>
      </w:r>
      <w:r>
        <w:fldChar w:fldCharType="end"/>
      </w:r>
      <w:r>
        <w:fldChar w:fldCharType="end"/>
      </w:r>
    </w:p>
    <w:p>
      <w:pPr>
        <w:pStyle w:val="69"/>
        <w:rPr>
          <w:rFonts w:ascii="Calibri" w:hAnsi="Calibri"/>
          <w:szCs w:val="22"/>
        </w:rPr>
      </w:pPr>
      <w:r>
        <w:fldChar w:fldCharType="begin"/>
      </w:r>
      <w:r>
        <w:instrText xml:space="preserve"> HYPERLINK \l "_Toc22386040" </w:instrText>
      </w:r>
      <w:r>
        <w:fldChar w:fldCharType="separate"/>
      </w:r>
      <w:r>
        <w:rPr>
          <w:rStyle w:val="95"/>
          <w:rFonts w:ascii="黑体" w:hAnsi="黑体"/>
        </w:rPr>
        <w:t>6.2</w:t>
      </w:r>
      <w:r>
        <w:rPr>
          <w:rStyle w:val="95"/>
          <w:rFonts w:hint="eastAsia" w:ascii="黑体" w:hAnsi="黑体"/>
        </w:rPr>
        <w:t>型式试验</w:t>
      </w:r>
      <w:r>
        <w:tab/>
      </w:r>
      <w:r>
        <w:fldChar w:fldCharType="begin"/>
      </w:r>
      <w:r>
        <w:instrText xml:space="preserve"> PAGEREF _Toc22386040 \h </w:instrText>
      </w:r>
      <w:r>
        <w:fldChar w:fldCharType="separate"/>
      </w:r>
      <w:r>
        <w:t>8</w:t>
      </w:r>
      <w:r>
        <w:fldChar w:fldCharType="end"/>
      </w:r>
      <w:r>
        <w:fldChar w:fldCharType="end"/>
      </w:r>
    </w:p>
    <w:p>
      <w:pPr>
        <w:pStyle w:val="69"/>
        <w:rPr>
          <w:rFonts w:ascii="Calibri" w:hAnsi="Calibri"/>
          <w:szCs w:val="22"/>
        </w:rPr>
      </w:pPr>
      <w:r>
        <w:fldChar w:fldCharType="begin"/>
      </w:r>
      <w:r>
        <w:instrText xml:space="preserve"> HYPERLINK \l "_Toc22386041" </w:instrText>
      </w:r>
      <w:r>
        <w:fldChar w:fldCharType="separate"/>
      </w:r>
      <w:r>
        <w:rPr>
          <w:rStyle w:val="95"/>
          <w:rFonts w:ascii="黑体" w:hAnsi="黑体"/>
        </w:rPr>
        <w:t>6.3</w:t>
      </w:r>
      <w:r>
        <w:rPr>
          <w:rStyle w:val="95"/>
          <w:rFonts w:hint="eastAsia" w:ascii="黑体" w:hAnsi="黑体"/>
        </w:rPr>
        <w:t>抽样试验</w:t>
      </w:r>
      <w:r>
        <w:tab/>
      </w:r>
      <w:r>
        <w:fldChar w:fldCharType="begin"/>
      </w:r>
      <w:r>
        <w:instrText xml:space="preserve"> PAGEREF _Toc22386041 \h </w:instrText>
      </w:r>
      <w:r>
        <w:fldChar w:fldCharType="separate"/>
      </w:r>
      <w:r>
        <w:t>9</w:t>
      </w:r>
      <w:r>
        <w:fldChar w:fldCharType="end"/>
      </w:r>
      <w:r>
        <w:fldChar w:fldCharType="end"/>
      </w:r>
    </w:p>
    <w:p>
      <w:pPr>
        <w:pStyle w:val="69"/>
        <w:rPr>
          <w:rFonts w:ascii="Calibri" w:hAnsi="Calibri"/>
          <w:szCs w:val="22"/>
        </w:rPr>
      </w:pPr>
      <w:r>
        <w:fldChar w:fldCharType="begin"/>
      </w:r>
      <w:r>
        <w:instrText xml:space="preserve"> HYPERLINK \l "_Toc22386042" </w:instrText>
      </w:r>
      <w:r>
        <w:fldChar w:fldCharType="separate"/>
      </w:r>
      <w:r>
        <w:rPr>
          <w:rStyle w:val="95"/>
          <w:rFonts w:ascii="黑体" w:hAnsi="黑体"/>
        </w:rPr>
        <w:t xml:space="preserve">6.4 </w:t>
      </w:r>
      <w:r>
        <w:rPr>
          <w:rStyle w:val="95"/>
          <w:rFonts w:hint="eastAsia" w:ascii="黑体" w:hAnsi="黑体"/>
        </w:rPr>
        <w:t>逐个试验</w:t>
      </w:r>
      <w:r>
        <w:tab/>
      </w:r>
      <w:r>
        <w:fldChar w:fldCharType="begin"/>
      </w:r>
      <w:r>
        <w:instrText xml:space="preserve"> PAGEREF _Toc22386042 \h </w:instrText>
      </w:r>
      <w:r>
        <w:fldChar w:fldCharType="separate"/>
      </w:r>
      <w:r>
        <w:t>9</w:t>
      </w:r>
      <w:r>
        <w:fldChar w:fldCharType="end"/>
      </w:r>
      <w:r>
        <w:fldChar w:fldCharType="end"/>
      </w:r>
    </w:p>
    <w:p>
      <w:pPr>
        <w:pStyle w:val="69"/>
        <w:rPr>
          <w:rFonts w:ascii="Calibri" w:hAnsi="Calibri"/>
          <w:szCs w:val="22"/>
        </w:rPr>
      </w:pPr>
      <w:r>
        <w:fldChar w:fldCharType="begin"/>
      </w:r>
      <w:r>
        <w:instrText xml:space="preserve"> HYPERLINK \l "_Toc22386043" </w:instrText>
      </w:r>
      <w:r>
        <w:fldChar w:fldCharType="separate"/>
      </w:r>
      <w:r>
        <w:rPr>
          <w:rStyle w:val="95"/>
          <w:rFonts w:ascii="黑体" w:hAnsi="黑体"/>
        </w:rPr>
        <w:t xml:space="preserve">6.5 </w:t>
      </w:r>
      <w:r>
        <w:rPr>
          <w:rStyle w:val="95"/>
          <w:rFonts w:hint="eastAsia" w:ascii="黑体" w:hAnsi="黑体"/>
        </w:rPr>
        <w:t>交接试验</w:t>
      </w:r>
      <w:r>
        <w:tab/>
      </w:r>
      <w:r>
        <w:fldChar w:fldCharType="begin"/>
      </w:r>
      <w:r>
        <w:instrText xml:space="preserve"> PAGEREF _Toc22386043 \h </w:instrText>
      </w:r>
      <w:r>
        <w:fldChar w:fldCharType="separate"/>
      </w:r>
      <w:r>
        <w:t>9</w:t>
      </w:r>
      <w:r>
        <w:fldChar w:fldCharType="end"/>
      </w:r>
      <w:r>
        <w:fldChar w:fldCharType="end"/>
      </w:r>
    </w:p>
    <w:p>
      <w:pPr>
        <w:pStyle w:val="55"/>
        <w:rPr>
          <w:rFonts w:ascii="Calibri" w:hAnsi="Calibri"/>
          <w:b w:val="0"/>
          <w:szCs w:val="22"/>
        </w:rPr>
      </w:pPr>
      <w:r>
        <w:fldChar w:fldCharType="begin"/>
      </w:r>
      <w:r>
        <w:instrText xml:space="preserve"> HYPERLINK \l "_Toc22386044" </w:instrText>
      </w:r>
      <w:r>
        <w:fldChar w:fldCharType="separate"/>
      </w:r>
      <w:r>
        <w:rPr>
          <w:rStyle w:val="95"/>
          <w:rFonts w:ascii="黑体" w:hAnsi="黑体" w:eastAsia="黑体"/>
          <w:b/>
        </w:rPr>
        <w:t xml:space="preserve">7 </w:t>
      </w:r>
      <w:r>
        <w:rPr>
          <w:rStyle w:val="95"/>
          <w:rFonts w:hint="eastAsia" w:ascii="黑体" w:hAnsi="黑体" w:eastAsia="黑体"/>
          <w:b/>
        </w:rPr>
        <w:t>产品对环境的影响</w:t>
      </w:r>
      <w:r>
        <w:tab/>
      </w:r>
      <w:r>
        <w:fldChar w:fldCharType="begin"/>
      </w:r>
      <w:r>
        <w:instrText xml:space="preserve"> PAGEREF _Toc22386044 \h </w:instrText>
      </w:r>
      <w:r>
        <w:fldChar w:fldCharType="separate"/>
      </w:r>
      <w:r>
        <w:t>9</w:t>
      </w:r>
      <w:r>
        <w:fldChar w:fldCharType="end"/>
      </w:r>
      <w:r>
        <w:fldChar w:fldCharType="end"/>
      </w:r>
    </w:p>
    <w:p>
      <w:pPr>
        <w:pStyle w:val="55"/>
        <w:rPr>
          <w:rFonts w:ascii="Calibri" w:hAnsi="Calibri"/>
          <w:b w:val="0"/>
          <w:szCs w:val="22"/>
        </w:rPr>
      </w:pPr>
      <w:r>
        <w:fldChar w:fldCharType="begin"/>
      </w:r>
      <w:r>
        <w:instrText xml:space="preserve"> HYPERLINK \l "_Toc22386045" </w:instrText>
      </w:r>
      <w:r>
        <w:fldChar w:fldCharType="separate"/>
      </w:r>
      <w:r>
        <w:rPr>
          <w:rStyle w:val="95"/>
          <w:rFonts w:ascii="黑体" w:hAnsi="黑体" w:eastAsia="黑体"/>
          <w:b/>
        </w:rPr>
        <w:t xml:space="preserve">8 </w:t>
      </w:r>
      <w:r>
        <w:rPr>
          <w:rStyle w:val="95"/>
          <w:rFonts w:hint="eastAsia" w:ascii="黑体" w:hAnsi="黑体" w:eastAsia="黑体"/>
          <w:b/>
        </w:rPr>
        <w:t>技术文件要求</w:t>
      </w:r>
      <w:r>
        <w:tab/>
      </w:r>
      <w:r>
        <w:fldChar w:fldCharType="begin"/>
      </w:r>
      <w:r>
        <w:instrText xml:space="preserve"> PAGEREF _Toc22386045 \h </w:instrText>
      </w:r>
      <w:r>
        <w:fldChar w:fldCharType="separate"/>
      </w:r>
      <w:r>
        <w:t>10</w:t>
      </w:r>
      <w:r>
        <w:fldChar w:fldCharType="end"/>
      </w:r>
      <w:r>
        <w:fldChar w:fldCharType="end"/>
      </w:r>
    </w:p>
    <w:p>
      <w:pPr>
        <w:pStyle w:val="55"/>
        <w:rPr>
          <w:rFonts w:ascii="Calibri" w:hAnsi="Calibri"/>
          <w:b w:val="0"/>
          <w:szCs w:val="22"/>
        </w:rPr>
      </w:pPr>
      <w:r>
        <w:fldChar w:fldCharType="begin"/>
      </w:r>
      <w:r>
        <w:instrText xml:space="preserve"> HYPERLINK \l "_Toc22386046" </w:instrText>
      </w:r>
      <w:r>
        <w:fldChar w:fldCharType="separate"/>
      </w:r>
      <w:r>
        <w:rPr>
          <w:rStyle w:val="95"/>
          <w:rFonts w:ascii="黑体" w:hAnsi="黑体" w:eastAsia="黑体"/>
          <w:b/>
        </w:rPr>
        <w:t>9监</w:t>
      </w:r>
      <w:r>
        <w:rPr>
          <w:rStyle w:val="95"/>
          <w:rFonts w:hint="eastAsia" w:ascii="黑体" w:hAnsi="黑体" w:eastAsia="黑体"/>
          <w:b/>
        </w:rPr>
        <w:t>造、包装、储存、运输、安装及质量保证</w:t>
      </w:r>
      <w:r>
        <w:tab/>
      </w:r>
      <w:r>
        <w:fldChar w:fldCharType="begin"/>
      </w:r>
      <w:r>
        <w:instrText xml:space="preserve"> PAGEREF _Toc22386046 \h </w:instrText>
      </w:r>
      <w:r>
        <w:fldChar w:fldCharType="separate"/>
      </w:r>
      <w:r>
        <w:t>11</w:t>
      </w:r>
      <w:r>
        <w:fldChar w:fldCharType="end"/>
      </w:r>
      <w:r>
        <w:fldChar w:fldCharType="end"/>
      </w:r>
    </w:p>
    <w:p>
      <w:pPr>
        <w:pStyle w:val="69"/>
        <w:rPr>
          <w:rFonts w:ascii="Calibri" w:hAnsi="Calibri"/>
          <w:szCs w:val="22"/>
        </w:rPr>
      </w:pPr>
      <w:r>
        <w:fldChar w:fldCharType="begin"/>
      </w:r>
      <w:r>
        <w:instrText xml:space="preserve"> HYPERLINK \l "_Toc22386047" </w:instrText>
      </w:r>
      <w:r>
        <w:fldChar w:fldCharType="separate"/>
      </w:r>
      <w:r>
        <w:rPr>
          <w:rStyle w:val="95"/>
          <w:rFonts w:ascii="黑体" w:hAnsi="黑体"/>
        </w:rPr>
        <w:t>9.1</w:t>
      </w:r>
      <w:r>
        <w:rPr>
          <w:rStyle w:val="95"/>
          <w:rFonts w:hint="eastAsia" w:ascii="黑体" w:hAnsi="黑体"/>
        </w:rPr>
        <w:t>监造</w:t>
      </w:r>
      <w:r>
        <w:tab/>
      </w:r>
      <w:r>
        <w:fldChar w:fldCharType="begin"/>
      </w:r>
      <w:r>
        <w:instrText xml:space="preserve"> PAGEREF _Toc22386047 \h </w:instrText>
      </w:r>
      <w:r>
        <w:fldChar w:fldCharType="separate"/>
      </w:r>
      <w:r>
        <w:t>11</w:t>
      </w:r>
      <w:r>
        <w:fldChar w:fldCharType="end"/>
      </w:r>
      <w:r>
        <w:fldChar w:fldCharType="end"/>
      </w:r>
    </w:p>
    <w:p>
      <w:pPr>
        <w:pStyle w:val="69"/>
        <w:rPr>
          <w:rFonts w:ascii="Calibri" w:hAnsi="Calibri"/>
          <w:szCs w:val="22"/>
        </w:rPr>
      </w:pPr>
      <w:r>
        <w:fldChar w:fldCharType="begin"/>
      </w:r>
      <w:r>
        <w:instrText xml:space="preserve"> HYPERLINK \l "_Toc22386048" </w:instrText>
      </w:r>
      <w:r>
        <w:fldChar w:fldCharType="separate"/>
      </w:r>
      <w:r>
        <w:rPr>
          <w:rStyle w:val="95"/>
          <w:rFonts w:ascii="黑体" w:hAnsi="黑体"/>
        </w:rPr>
        <w:t>9.2</w:t>
      </w:r>
      <w:r>
        <w:rPr>
          <w:rStyle w:val="95"/>
          <w:rFonts w:hint="eastAsia" w:ascii="黑体" w:hAnsi="黑体"/>
        </w:rPr>
        <w:t>包装</w:t>
      </w:r>
      <w:r>
        <w:tab/>
      </w:r>
      <w:r>
        <w:fldChar w:fldCharType="begin"/>
      </w:r>
      <w:r>
        <w:instrText xml:space="preserve"> PAGEREF _Toc22386048 \h </w:instrText>
      </w:r>
      <w:r>
        <w:fldChar w:fldCharType="separate"/>
      </w:r>
      <w:r>
        <w:t>11</w:t>
      </w:r>
      <w:r>
        <w:fldChar w:fldCharType="end"/>
      </w:r>
      <w:r>
        <w:fldChar w:fldCharType="end"/>
      </w:r>
    </w:p>
    <w:p>
      <w:pPr>
        <w:pStyle w:val="69"/>
        <w:rPr>
          <w:rFonts w:ascii="Calibri" w:hAnsi="Calibri"/>
          <w:szCs w:val="22"/>
        </w:rPr>
      </w:pPr>
      <w:r>
        <w:fldChar w:fldCharType="begin"/>
      </w:r>
      <w:r>
        <w:instrText xml:space="preserve"> HYPERLINK \l "_Toc22386049" </w:instrText>
      </w:r>
      <w:r>
        <w:fldChar w:fldCharType="separate"/>
      </w:r>
      <w:r>
        <w:rPr>
          <w:rStyle w:val="95"/>
          <w:rFonts w:ascii="黑体" w:hAnsi="黑体"/>
        </w:rPr>
        <w:t>9.3</w:t>
      </w:r>
      <w:r>
        <w:rPr>
          <w:rStyle w:val="95"/>
          <w:rFonts w:hint="eastAsia" w:ascii="黑体" w:hAnsi="黑体"/>
        </w:rPr>
        <w:t>储存与运输</w:t>
      </w:r>
      <w:r>
        <w:tab/>
      </w:r>
      <w:r>
        <w:fldChar w:fldCharType="begin"/>
      </w:r>
      <w:r>
        <w:instrText xml:space="preserve"> PAGEREF _Toc22386049 \h </w:instrText>
      </w:r>
      <w:r>
        <w:fldChar w:fldCharType="separate"/>
      </w:r>
      <w:r>
        <w:t>12</w:t>
      </w:r>
      <w:r>
        <w:fldChar w:fldCharType="end"/>
      </w:r>
      <w:r>
        <w:fldChar w:fldCharType="end"/>
      </w:r>
    </w:p>
    <w:p>
      <w:pPr>
        <w:pStyle w:val="69"/>
        <w:rPr>
          <w:rFonts w:ascii="Calibri" w:hAnsi="Calibri"/>
          <w:szCs w:val="22"/>
        </w:rPr>
      </w:pPr>
      <w:r>
        <w:fldChar w:fldCharType="begin"/>
      </w:r>
      <w:r>
        <w:instrText xml:space="preserve"> HYPERLINK \l "_Toc22386050" </w:instrText>
      </w:r>
      <w:r>
        <w:fldChar w:fldCharType="separate"/>
      </w:r>
      <w:r>
        <w:rPr>
          <w:rStyle w:val="95"/>
          <w:rFonts w:ascii="黑体" w:hAnsi="黑体"/>
        </w:rPr>
        <w:t>9.4</w:t>
      </w:r>
      <w:r>
        <w:rPr>
          <w:rStyle w:val="95"/>
          <w:rFonts w:hint="eastAsia" w:ascii="黑体" w:hAnsi="黑体"/>
        </w:rPr>
        <w:t>安装指导</w:t>
      </w:r>
      <w:r>
        <w:tab/>
      </w:r>
      <w:r>
        <w:fldChar w:fldCharType="begin"/>
      </w:r>
      <w:r>
        <w:instrText xml:space="preserve"> PAGEREF _Toc22386050 \h </w:instrText>
      </w:r>
      <w:r>
        <w:fldChar w:fldCharType="separate"/>
      </w:r>
      <w:r>
        <w:t>12</w:t>
      </w:r>
      <w:r>
        <w:fldChar w:fldCharType="end"/>
      </w:r>
      <w:r>
        <w:fldChar w:fldCharType="end"/>
      </w:r>
    </w:p>
    <w:p>
      <w:pPr>
        <w:pStyle w:val="69"/>
        <w:rPr>
          <w:rFonts w:ascii="Calibri" w:hAnsi="Calibri"/>
          <w:szCs w:val="22"/>
        </w:rPr>
      </w:pPr>
      <w:r>
        <w:fldChar w:fldCharType="begin"/>
      </w:r>
      <w:r>
        <w:instrText xml:space="preserve"> HYPERLINK \l "_Toc22386051" </w:instrText>
      </w:r>
      <w:r>
        <w:fldChar w:fldCharType="separate"/>
      </w:r>
      <w:r>
        <w:rPr>
          <w:rStyle w:val="95"/>
          <w:rFonts w:ascii="黑体" w:hAnsi="黑体"/>
        </w:rPr>
        <w:t>9.5</w:t>
      </w:r>
      <w:r>
        <w:rPr>
          <w:rStyle w:val="95"/>
          <w:rFonts w:hint="eastAsia" w:ascii="黑体" w:hAnsi="黑体"/>
        </w:rPr>
        <w:t>质量保证</w:t>
      </w:r>
      <w:r>
        <w:tab/>
      </w:r>
      <w:r>
        <w:fldChar w:fldCharType="begin"/>
      </w:r>
      <w:r>
        <w:instrText xml:space="preserve"> PAGEREF _Toc22386051 \h </w:instrText>
      </w:r>
      <w:r>
        <w:fldChar w:fldCharType="separate"/>
      </w:r>
      <w:r>
        <w:t>12</w:t>
      </w:r>
      <w:r>
        <w:fldChar w:fldCharType="end"/>
      </w:r>
      <w:r>
        <w:fldChar w:fldCharType="end"/>
      </w:r>
    </w:p>
    <w:p>
      <w:pPr>
        <w:pStyle w:val="55"/>
        <w:rPr>
          <w:rFonts w:ascii="Calibri" w:hAnsi="Calibri"/>
          <w:b w:val="0"/>
          <w:szCs w:val="22"/>
        </w:rPr>
      </w:pPr>
      <w:r>
        <w:fldChar w:fldCharType="begin"/>
      </w:r>
      <w:r>
        <w:instrText xml:space="preserve"> HYPERLINK \l "_Toc22386052" </w:instrText>
      </w:r>
      <w:r>
        <w:fldChar w:fldCharType="separate"/>
      </w:r>
      <w:r>
        <w:rPr>
          <w:rStyle w:val="95"/>
          <w:rFonts w:ascii="黑体" w:hAnsi="黑体" w:eastAsia="黑体"/>
          <w:b/>
        </w:rPr>
        <w:t xml:space="preserve">10 </w:t>
      </w:r>
      <w:r>
        <w:rPr>
          <w:rStyle w:val="95"/>
          <w:rFonts w:hint="eastAsia" w:ascii="黑体" w:hAnsi="黑体" w:eastAsia="黑体"/>
          <w:b/>
        </w:rPr>
        <w:t>一次接口要求</w:t>
      </w:r>
      <w:r>
        <w:tab/>
      </w:r>
      <w:r>
        <w:fldChar w:fldCharType="begin"/>
      </w:r>
      <w:r>
        <w:instrText xml:space="preserve"> PAGEREF _Toc22386052 \h </w:instrText>
      </w:r>
      <w:r>
        <w:fldChar w:fldCharType="separate"/>
      </w:r>
      <w:r>
        <w:t>12</w:t>
      </w:r>
      <w:r>
        <w:fldChar w:fldCharType="end"/>
      </w:r>
      <w:r>
        <w:fldChar w:fldCharType="end"/>
      </w:r>
    </w:p>
    <w:p>
      <w:pPr>
        <w:pStyle w:val="55"/>
        <w:rPr>
          <w:rFonts w:ascii="Calibri" w:hAnsi="Calibri"/>
          <w:b w:val="0"/>
          <w:szCs w:val="22"/>
        </w:rPr>
      </w:pPr>
      <w:r>
        <w:fldChar w:fldCharType="begin"/>
      </w:r>
      <w:r>
        <w:instrText xml:space="preserve"> HYPERLINK \l "_Toc22386053" </w:instrText>
      </w:r>
      <w:r>
        <w:fldChar w:fldCharType="separate"/>
      </w:r>
      <w:r>
        <w:rPr>
          <w:rStyle w:val="95"/>
          <w:rFonts w:ascii="黑体" w:hAnsi="黑体" w:eastAsia="黑体"/>
          <w:b/>
        </w:rPr>
        <w:t>11 LCC</w:t>
      </w:r>
      <w:r>
        <w:rPr>
          <w:rStyle w:val="95"/>
          <w:rFonts w:hint="eastAsia" w:ascii="黑体" w:hAnsi="黑体" w:eastAsia="黑体"/>
          <w:b/>
        </w:rPr>
        <w:t>数据文件</w:t>
      </w:r>
      <w:r>
        <w:tab/>
      </w:r>
      <w:r>
        <w:fldChar w:fldCharType="begin"/>
      </w:r>
      <w:r>
        <w:instrText xml:space="preserve"> PAGEREF _Toc22386053 \h </w:instrText>
      </w:r>
      <w:r>
        <w:fldChar w:fldCharType="separate"/>
      </w:r>
      <w:r>
        <w:t>13</w:t>
      </w:r>
      <w:r>
        <w:fldChar w:fldCharType="end"/>
      </w:r>
      <w:r>
        <w:fldChar w:fldCharType="end"/>
      </w:r>
    </w:p>
    <w:p>
      <w:pPr>
        <w:pStyle w:val="55"/>
        <w:rPr>
          <w:rFonts w:ascii="Calibri" w:hAnsi="Calibri"/>
          <w:b w:val="0"/>
          <w:szCs w:val="22"/>
        </w:rPr>
      </w:pPr>
      <w:r>
        <w:fldChar w:fldCharType="begin"/>
      </w:r>
      <w:r>
        <w:instrText xml:space="preserve"> HYPERLINK \l "_Toc22386054" </w:instrText>
      </w:r>
      <w:r>
        <w:fldChar w:fldCharType="separate"/>
      </w:r>
      <w:r>
        <w:rPr>
          <w:rStyle w:val="95"/>
          <w:rFonts w:hint="eastAsia" w:ascii="黑体" w:hAnsi="黑体" w:eastAsia="黑体"/>
          <w:b/>
          <w:kern w:val="44"/>
        </w:rPr>
        <w:t>附录：</w:t>
      </w:r>
      <w:r>
        <w:rPr>
          <w:rStyle w:val="95"/>
          <w:rFonts w:ascii="黑体" w:hAnsi="黑体" w:eastAsia="黑体"/>
          <w:b/>
          <w:kern w:val="44"/>
        </w:rPr>
        <w:t>110kV~500kV</w:t>
      </w:r>
      <w:r>
        <w:rPr>
          <w:rStyle w:val="95"/>
          <w:rFonts w:hint="eastAsia" w:ascii="黑体" w:hAnsi="黑体" w:eastAsia="黑体"/>
          <w:b/>
          <w:kern w:val="44"/>
        </w:rPr>
        <w:t>瓷绝缘支柱绝缘子技术规范书审核表单</w:t>
      </w:r>
      <w:r>
        <w:tab/>
      </w:r>
      <w:r>
        <w:fldChar w:fldCharType="begin"/>
      </w:r>
      <w:r>
        <w:instrText xml:space="preserve"> PAGEREF _Toc22386054 \h </w:instrText>
      </w:r>
      <w:r>
        <w:fldChar w:fldCharType="separate"/>
      </w:r>
      <w:r>
        <w:t>14</w:t>
      </w:r>
      <w:r>
        <w:fldChar w:fldCharType="end"/>
      </w:r>
      <w:r>
        <w:fldChar w:fldCharType="end"/>
      </w:r>
    </w:p>
    <w:p>
      <w:r>
        <w:fldChar w:fldCharType="end"/>
      </w:r>
      <w:bookmarkStart w:id="0" w:name="_Toc241911990"/>
    </w:p>
    <w:p/>
    <w:p/>
    <w:p>
      <w:pPr>
        <w:tabs>
          <w:tab w:val="left" w:pos="3424"/>
        </w:tabs>
      </w:pPr>
      <w:r>
        <w:tab/>
      </w:r>
    </w:p>
    <w:p/>
    <w:p>
      <w:pPr>
        <w:sectPr>
          <w:footerReference r:id="rId6" w:type="first"/>
          <w:headerReference r:id="rId3" w:type="default"/>
          <w:footerReference r:id="rId4" w:type="default"/>
          <w:footerReference r:id="rId5" w:type="even"/>
          <w:pgSz w:w="11906" w:h="16838"/>
          <w:pgMar w:top="1440" w:right="1797" w:bottom="1440" w:left="1797" w:header="851" w:footer="992" w:gutter="0"/>
          <w:pgNumType w:start="0"/>
          <w:cols w:space="720" w:num="1"/>
          <w:titlePg/>
          <w:docGrid w:type="lines" w:linePitch="312" w:charSpace="0"/>
        </w:sectPr>
      </w:pPr>
    </w:p>
    <w:p>
      <w:pPr>
        <w:pStyle w:val="2"/>
        <w:numPr>
          <w:ilvl w:val="0"/>
          <w:numId w:val="0"/>
        </w:numPr>
        <w:rPr>
          <w:rFonts w:ascii="黑体" w:hAnsi="黑体" w:eastAsia="黑体"/>
          <w:b/>
          <w:sz w:val="21"/>
          <w:szCs w:val="21"/>
        </w:rPr>
      </w:pPr>
      <w:bookmarkStart w:id="1" w:name="_Toc384340975"/>
      <w:bookmarkStart w:id="2" w:name="_Toc22386023"/>
      <w:r>
        <w:rPr>
          <w:rFonts w:hint="eastAsia" w:ascii="黑体" w:hAnsi="黑体" w:eastAsia="黑体"/>
          <w:b/>
          <w:sz w:val="21"/>
          <w:szCs w:val="21"/>
        </w:rPr>
        <w:t>1 总则</w:t>
      </w:r>
      <w:bookmarkEnd w:id="1"/>
      <w:bookmarkEnd w:id="2"/>
    </w:p>
    <w:p>
      <w:pPr>
        <w:adjustRightInd w:val="0"/>
        <w:snapToGrid w:val="0"/>
        <w:spacing w:line="360" w:lineRule="auto"/>
        <w:rPr>
          <w:rFonts w:ascii="宋体" w:hAnsi="宋体"/>
          <w:spacing w:val="-4"/>
          <w:szCs w:val="21"/>
        </w:rPr>
      </w:pPr>
      <w:r>
        <w:rPr>
          <w:rFonts w:ascii="黑体" w:hAnsi="黑体" w:eastAsia="黑体"/>
          <w:spacing w:val="-4"/>
          <w:szCs w:val="21"/>
        </w:rPr>
        <w:t xml:space="preserve">1.1 </w:t>
      </w:r>
      <w:r>
        <w:rPr>
          <w:rFonts w:ascii="宋体" w:hAnsi="宋体"/>
          <w:spacing w:val="-4"/>
          <w:szCs w:val="21"/>
        </w:rPr>
        <w:t xml:space="preserve"> </w:t>
      </w:r>
      <w:r>
        <w:rPr>
          <w:rFonts w:hint="eastAsia" w:ascii="宋体" w:hAnsi="宋体"/>
          <w:spacing w:val="-4"/>
          <w:szCs w:val="21"/>
        </w:rPr>
        <w:t>本招标技术文件适用于中国南方电网公司电网建设工程项目采购</w:t>
      </w:r>
      <w:r>
        <w:rPr>
          <w:spacing w:val="-4"/>
          <w:szCs w:val="21"/>
        </w:rPr>
        <w:t>110kV</w:t>
      </w:r>
      <w:r>
        <w:rPr>
          <w:rFonts w:hint="eastAsia"/>
          <w:spacing w:val="-4"/>
          <w:szCs w:val="21"/>
        </w:rPr>
        <w:t>~</w:t>
      </w:r>
      <w:r>
        <w:rPr>
          <w:spacing w:val="-4"/>
          <w:szCs w:val="21"/>
        </w:rPr>
        <w:t>500kV</w:t>
      </w:r>
      <w:r>
        <w:rPr>
          <w:rFonts w:hint="eastAsia" w:ascii="宋体" w:hAnsi="宋体"/>
          <w:spacing w:val="-4"/>
          <w:szCs w:val="21"/>
        </w:rPr>
        <w:t>电压等级的瓷绝缘支柱绝缘子，它提出了该设备本体及附属设备的使用条件、技术要求、检验规则、运输和验收等方面的技术要求。</w:t>
      </w:r>
    </w:p>
    <w:p>
      <w:pPr>
        <w:pStyle w:val="42"/>
        <w:adjustRightInd w:val="0"/>
        <w:snapToGrid w:val="0"/>
        <w:spacing w:line="360" w:lineRule="auto"/>
        <w:rPr>
          <w:rFonts w:hAnsi="宋体" w:cs="Times New Roman"/>
          <w:szCs w:val="24"/>
        </w:rPr>
      </w:pPr>
      <w:r>
        <w:rPr>
          <w:rFonts w:ascii="黑体" w:hAnsi="黑体" w:eastAsia="黑体" w:cs="Times New Roman"/>
          <w:spacing w:val="-4"/>
        </w:rPr>
        <w:t>1.2</w:t>
      </w:r>
      <w:r>
        <w:rPr>
          <w:rFonts w:hAnsi="宋体" w:cs="Times New Roman"/>
          <w:szCs w:val="24"/>
        </w:rPr>
        <w:t xml:space="preserve">  </w:t>
      </w:r>
      <w:r>
        <w:rPr>
          <w:rFonts w:hint="eastAsia" w:hAnsi="宋体" w:cs="Times New Roman"/>
          <w:szCs w:val="24"/>
        </w:rPr>
        <w:t>本设备招标技术文件提出的是最低限度的技术要求。凡本招标技术文件中未规定，但在相关设备的行业标准、国家标准或</w:t>
      </w:r>
      <w:r>
        <w:rPr>
          <w:rFonts w:hAnsi="宋体" w:cs="Times New Roman"/>
          <w:szCs w:val="24"/>
        </w:rPr>
        <w:t>IEC</w:t>
      </w:r>
      <w:r>
        <w:rPr>
          <w:rFonts w:hint="eastAsia" w:hAnsi="宋体" w:cs="Times New Roman"/>
          <w:szCs w:val="24"/>
        </w:rPr>
        <w:t>标准中有规定的规范条文，投标方应按相应标准的条文进行设备设计、制造、试验和安装。对国家有关安全、环保等强制性标准，必须满足其要求</w:t>
      </w:r>
      <w:r>
        <w:rPr>
          <w:rFonts w:hAnsi="宋体" w:cs="Times New Roman"/>
          <w:szCs w:val="24"/>
        </w:rPr>
        <w:t>（如压力容器、高电压设备等）</w:t>
      </w:r>
      <w:r>
        <w:rPr>
          <w:rFonts w:hint="eastAsia" w:hAnsi="宋体" w:cs="Times New Roman"/>
          <w:szCs w:val="24"/>
        </w:rPr>
        <w:t>。</w:t>
      </w:r>
    </w:p>
    <w:p>
      <w:pPr>
        <w:adjustRightInd w:val="0"/>
        <w:snapToGrid w:val="0"/>
        <w:spacing w:line="360" w:lineRule="auto"/>
        <w:rPr>
          <w:rFonts w:ascii="宋体" w:hAnsi="宋体"/>
        </w:rPr>
      </w:pPr>
      <w:r>
        <w:rPr>
          <w:rFonts w:ascii="黑体" w:hAnsi="黑体" w:eastAsia="黑体"/>
          <w:spacing w:val="-4"/>
          <w:szCs w:val="21"/>
        </w:rPr>
        <w:t>1.3</w:t>
      </w:r>
      <w:r>
        <w:rPr>
          <w:rFonts w:ascii="宋体" w:hAnsi="宋体"/>
        </w:rPr>
        <w:t xml:space="preserve">  </w:t>
      </w:r>
      <w:r>
        <w:rPr>
          <w:rFonts w:hint="eastAsia" w:ascii="宋体" w:hAnsi="宋体"/>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adjustRightInd w:val="0"/>
        <w:snapToGrid w:val="0"/>
        <w:spacing w:line="360" w:lineRule="auto"/>
        <w:rPr>
          <w:rFonts w:ascii="宋体" w:hAnsi="宋体"/>
          <w:spacing w:val="-2"/>
          <w:szCs w:val="21"/>
        </w:rPr>
      </w:pPr>
      <w:r>
        <w:rPr>
          <w:rFonts w:ascii="黑体" w:hAnsi="黑体" w:eastAsia="黑体"/>
          <w:spacing w:val="-4"/>
          <w:szCs w:val="21"/>
        </w:rPr>
        <w:t>1.4</w:t>
      </w:r>
      <w:r>
        <w:rPr>
          <w:rFonts w:ascii="宋体" w:hAnsi="宋体"/>
        </w:rPr>
        <w:t xml:space="preserve">  </w:t>
      </w:r>
      <w:r>
        <w:rPr>
          <w:rFonts w:hint="eastAsia" w:ascii="宋体" w:hAnsi="宋体"/>
          <w:spacing w:val="-2"/>
          <w:szCs w:val="21"/>
        </w:rPr>
        <w:t>本招标技术文件所使用的标准如遇与投标方所执行的标准不一致时，按较高标准执行。</w:t>
      </w:r>
    </w:p>
    <w:p>
      <w:pPr>
        <w:adjustRightInd w:val="0"/>
        <w:snapToGrid w:val="0"/>
        <w:spacing w:line="360" w:lineRule="auto"/>
        <w:rPr>
          <w:rFonts w:ascii="宋体" w:hAnsi="宋体"/>
        </w:rPr>
      </w:pPr>
      <w:r>
        <w:rPr>
          <w:rFonts w:ascii="黑体" w:hAnsi="黑体" w:eastAsia="黑体"/>
          <w:spacing w:val="-4"/>
          <w:szCs w:val="21"/>
        </w:rPr>
        <w:t>1.5</w:t>
      </w:r>
      <w:r>
        <w:rPr>
          <w:rFonts w:ascii="宋体" w:hAnsi="宋体"/>
        </w:rPr>
        <w:t xml:space="preserve">  </w:t>
      </w:r>
      <w:r>
        <w:rPr>
          <w:rFonts w:hint="eastAsia" w:ascii="宋体" w:hAnsi="宋体"/>
        </w:rPr>
        <w:t>本招标技术文件经买、卖双方确认后作为订货合同的技术附件，与合同正文具有同等的法律效力。</w:t>
      </w:r>
    </w:p>
    <w:p>
      <w:pPr>
        <w:pStyle w:val="42"/>
        <w:adjustRightInd w:val="0"/>
        <w:snapToGrid w:val="0"/>
        <w:spacing w:line="360" w:lineRule="auto"/>
        <w:rPr>
          <w:rFonts w:hAnsi="宋体" w:cs="Times New Roman"/>
          <w:spacing w:val="-4"/>
        </w:rPr>
      </w:pPr>
      <w:r>
        <w:rPr>
          <w:rFonts w:hint="eastAsia" w:ascii="黑体" w:hAnsi="黑体" w:eastAsia="黑体" w:cs="Times New Roman"/>
          <w:spacing w:val="-4"/>
        </w:rPr>
        <w:t xml:space="preserve">1.6 </w:t>
      </w:r>
      <w:r>
        <w:rPr>
          <w:rFonts w:hint="eastAsia" w:hAnsi="宋体" w:cs="Times New Roman"/>
          <w:spacing w:val="-4"/>
        </w:rPr>
        <w:t xml:space="preserve"> </w:t>
      </w:r>
      <w:r>
        <w:rPr>
          <w:rFonts w:hint="eastAsia" w:hAnsi="宋体" w:cs="Times New Roman"/>
          <w:spacing w:val="-6"/>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2"/>
        <w:adjustRightInd w:val="0"/>
        <w:snapToGrid w:val="0"/>
        <w:spacing w:line="360" w:lineRule="auto"/>
        <w:rPr>
          <w:rFonts w:hAnsi="宋体" w:cs="Times New Roman"/>
          <w:szCs w:val="24"/>
        </w:rPr>
      </w:pPr>
      <w:r>
        <w:rPr>
          <w:rFonts w:hint="eastAsia" w:ascii="黑体" w:hAnsi="黑体" w:eastAsia="黑体" w:cs="Times New Roman"/>
          <w:spacing w:val="-4"/>
        </w:rPr>
        <w:t xml:space="preserve">1.7 </w:t>
      </w:r>
      <w:r>
        <w:rPr>
          <w:rFonts w:hint="eastAsia" w:hAnsi="宋体" w:cs="Times New Roman"/>
          <w:szCs w:val="24"/>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adjustRightInd w:val="0"/>
        <w:snapToGrid w:val="0"/>
        <w:spacing w:line="360" w:lineRule="auto"/>
        <w:rPr>
          <w:rFonts w:ascii="宋体" w:hAnsi="宋体"/>
        </w:rPr>
      </w:pPr>
      <w:r>
        <w:rPr>
          <w:rFonts w:hint="eastAsia" w:ascii="黑体" w:hAnsi="黑体" w:eastAsia="黑体"/>
          <w:spacing w:val="-4"/>
          <w:szCs w:val="21"/>
        </w:rPr>
        <w:t>1.8</w:t>
      </w:r>
      <w:r>
        <w:rPr>
          <w:rFonts w:hint="eastAsia" w:ascii="宋体" w:hAnsi="宋体"/>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bookmarkEnd w:id="0"/>
    <w:p>
      <w:pPr>
        <w:pStyle w:val="2"/>
        <w:numPr>
          <w:ilvl w:val="0"/>
          <w:numId w:val="0"/>
        </w:numPr>
        <w:rPr>
          <w:rFonts w:ascii="黑体" w:hAnsi="黑体" w:eastAsia="黑体"/>
          <w:b/>
          <w:sz w:val="21"/>
          <w:szCs w:val="21"/>
        </w:rPr>
      </w:pPr>
      <w:bookmarkStart w:id="3" w:name="_Toc279695347"/>
      <w:bookmarkStart w:id="4" w:name="_Toc276490890"/>
      <w:bookmarkStart w:id="5" w:name="_Toc276492358"/>
      <w:bookmarkStart w:id="6" w:name="_Toc271281204"/>
      <w:bookmarkStart w:id="7" w:name="_Toc246216316"/>
      <w:bookmarkStart w:id="8" w:name="_Toc384340976"/>
      <w:bookmarkStart w:id="9" w:name="_Toc22386024"/>
      <w:bookmarkStart w:id="10" w:name="_Toc112756677"/>
      <w:bookmarkStart w:id="11" w:name="_Toc155114607"/>
      <w:bookmarkStart w:id="12" w:name="_Toc241911995"/>
      <w:r>
        <w:rPr>
          <w:rFonts w:hint="eastAsia" w:ascii="黑体" w:hAnsi="黑体" w:eastAsia="黑体"/>
          <w:b/>
          <w:sz w:val="21"/>
          <w:szCs w:val="21"/>
        </w:rPr>
        <w:t>2 工作范围</w:t>
      </w:r>
      <w:bookmarkEnd w:id="3"/>
      <w:bookmarkEnd w:id="4"/>
      <w:bookmarkEnd w:id="5"/>
      <w:bookmarkEnd w:id="6"/>
      <w:bookmarkEnd w:id="7"/>
      <w:bookmarkEnd w:id="8"/>
      <w:bookmarkEnd w:id="9"/>
      <w:bookmarkEnd w:id="10"/>
    </w:p>
    <w:p>
      <w:pPr>
        <w:pStyle w:val="3"/>
        <w:numPr>
          <w:ilvl w:val="0"/>
          <w:numId w:val="0"/>
        </w:numPr>
        <w:adjustRightInd w:val="0"/>
        <w:snapToGrid w:val="0"/>
        <w:spacing w:line="360" w:lineRule="auto"/>
        <w:rPr>
          <w:rFonts w:ascii="黑体" w:hAnsi="黑体"/>
        </w:rPr>
      </w:pPr>
      <w:bookmarkStart w:id="13" w:name="_Toc384340977"/>
      <w:bookmarkStart w:id="14" w:name="_Toc22386025"/>
      <w:r>
        <w:rPr>
          <w:rFonts w:hint="eastAsia" w:ascii="黑体" w:hAnsi="黑体"/>
        </w:rPr>
        <w:t>2</w:t>
      </w:r>
      <w:r>
        <w:rPr>
          <w:rFonts w:ascii="黑体" w:hAnsi="黑体"/>
        </w:rPr>
        <w:t>.1</w:t>
      </w:r>
      <w:r>
        <w:rPr>
          <w:rFonts w:hint="eastAsia" w:ascii="黑体" w:hAnsi="黑体"/>
        </w:rPr>
        <w:t xml:space="preserve"> 工程概况</w:t>
      </w:r>
      <w:bookmarkEnd w:id="13"/>
      <w:bookmarkEnd w:id="14"/>
    </w:p>
    <w:p>
      <w:pPr>
        <w:pStyle w:val="107"/>
        <w:spacing w:line="360" w:lineRule="auto"/>
      </w:pPr>
      <w:r>
        <w:rPr>
          <w:rFonts w:hint="eastAsia" w:ascii="宋体" w:hAnsi="宋体" w:eastAsia="宋体"/>
        </w:rPr>
        <w:t>本技术规范书采购的设备适用的工程概</w:t>
      </w:r>
      <w:r>
        <w:rPr>
          <w:rFonts w:hAnsi="宋体" w:eastAsia="宋体"/>
        </w:rPr>
        <w:t>况</w:t>
      </w:r>
      <w:r>
        <w:rPr>
          <w:rFonts w:hint="eastAsia" w:hAnsi="宋体" w:eastAsia="宋体"/>
        </w:rPr>
        <w:t>详见专用部分。</w:t>
      </w:r>
    </w:p>
    <w:p>
      <w:pPr>
        <w:pStyle w:val="3"/>
        <w:numPr>
          <w:ilvl w:val="0"/>
          <w:numId w:val="0"/>
        </w:numPr>
        <w:adjustRightInd w:val="0"/>
        <w:snapToGrid w:val="0"/>
        <w:spacing w:before="120" w:beforeLines="50" w:line="360" w:lineRule="auto"/>
        <w:rPr>
          <w:rFonts w:ascii="黑体" w:hAnsi="黑体"/>
        </w:rPr>
      </w:pPr>
      <w:bookmarkStart w:id="15" w:name="_Toc384340978"/>
      <w:bookmarkStart w:id="16" w:name="_Toc22386026"/>
      <w:r>
        <w:rPr>
          <w:rFonts w:ascii="黑体" w:hAnsi="黑体"/>
        </w:rPr>
        <w:t>2.</w:t>
      </w:r>
      <w:r>
        <w:rPr>
          <w:rFonts w:hint="eastAsia" w:ascii="黑体" w:hAnsi="黑体"/>
        </w:rPr>
        <w:t>2</w:t>
      </w:r>
      <w:r>
        <w:rPr>
          <w:rFonts w:ascii="黑体" w:hAnsi="黑体"/>
        </w:rPr>
        <w:t xml:space="preserve"> 范围和界限</w:t>
      </w:r>
      <w:bookmarkEnd w:id="15"/>
      <w:bookmarkEnd w:id="16"/>
    </w:p>
    <w:p>
      <w:pPr>
        <w:adjustRightInd w:val="0"/>
        <w:snapToGrid w:val="0"/>
        <w:spacing w:line="360" w:lineRule="auto"/>
        <w:ind w:firstLine="420" w:firstLineChars="200"/>
        <w:rPr>
          <w:rFonts w:ascii="宋体" w:hAnsi="宋体"/>
        </w:rPr>
      </w:pPr>
      <w:r>
        <w:rPr>
          <w:rFonts w:eastAsia="黑体"/>
        </w:rPr>
        <w:t>1</w:t>
      </w:r>
      <w:r>
        <w:rPr>
          <w:rFonts w:ascii="宋体" w:hAnsi="宋体"/>
        </w:rPr>
        <w:t>）本规范书适应于</w:t>
      </w:r>
      <w:r>
        <w:t>中国南方电网公司所属变电站（发电厂）新建、扩建及改造工程，</w:t>
      </w:r>
      <w:r>
        <w:rPr>
          <w:rFonts w:hint="eastAsia" w:ascii="宋体" w:hAnsi="宋体"/>
        </w:rPr>
        <w:t>瓷绝缘支柱绝缘子本体</w:t>
      </w:r>
      <w:r>
        <w:rPr>
          <w:rFonts w:ascii="宋体" w:hAnsi="宋体"/>
        </w:rPr>
        <w:t>及其附属设备的使用条件</w:t>
      </w:r>
      <w:r>
        <w:rPr>
          <w:rFonts w:hint="eastAsia" w:ascii="宋体" w:hAnsi="宋体"/>
        </w:rPr>
        <w:t>、</w:t>
      </w:r>
      <w:r>
        <w:rPr>
          <w:rFonts w:ascii="宋体" w:hAnsi="宋体"/>
        </w:rPr>
        <w:t>技术要求</w:t>
      </w:r>
      <w:r>
        <w:rPr>
          <w:rFonts w:hint="eastAsia" w:ascii="宋体" w:hAnsi="宋体"/>
        </w:rPr>
        <w:t>、检验规则、</w:t>
      </w:r>
      <w:r>
        <w:rPr>
          <w:rFonts w:ascii="宋体" w:hAnsi="宋体"/>
        </w:rPr>
        <w:t>交付</w:t>
      </w:r>
      <w:r>
        <w:rPr>
          <w:rFonts w:hint="eastAsia" w:ascii="宋体" w:hAnsi="宋体"/>
        </w:rPr>
        <w:t>、</w:t>
      </w:r>
      <w:r>
        <w:rPr>
          <w:rFonts w:ascii="宋体" w:hAnsi="宋体"/>
        </w:rPr>
        <w:t>现场安装和试验的指导、监督以及试运行工作。</w:t>
      </w:r>
    </w:p>
    <w:p>
      <w:pPr>
        <w:adjustRightInd w:val="0"/>
        <w:snapToGrid w:val="0"/>
        <w:spacing w:line="360" w:lineRule="auto"/>
        <w:ind w:firstLine="420" w:firstLineChars="200"/>
        <w:rPr>
          <w:rFonts w:ascii="宋体" w:hAnsi="宋体"/>
        </w:rPr>
      </w:pPr>
      <w:r>
        <w:t>2</w:t>
      </w:r>
      <w:r>
        <w:rPr>
          <w:rFonts w:ascii="宋体" w:hAnsi="宋体"/>
        </w:rPr>
        <w:t>）运输</w:t>
      </w:r>
    </w:p>
    <w:p>
      <w:pPr>
        <w:adjustRightInd w:val="0"/>
        <w:snapToGrid w:val="0"/>
        <w:spacing w:line="360" w:lineRule="auto"/>
        <w:ind w:firstLine="420" w:firstLineChars="200"/>
        <w:rPr>
          <w:rFonts w:ascii="宋体" w:hAnsi="宋体"/>
        </w:rPr>
      </w:pPr>
      <w:r>
        <w:rPr>
          <w:rFonts w:hint="eastAsia" w:ascii="宋体" w:hAnsi="宋体"/>
        </w:rPr>
        <w:t>运输条件详见专用部分。</w:t>
      </w:r>
    </w:p>
    <w:p>
      <w:pPr>
        <w:adjustRightInd w:val="0"/>
        <w:snapToGrid w:val="0"/>
        <w:spacing w:line="360" w:lineRule="auto"/>
        <w:ind w:firstLine="420" w:firstLineChars="200"/>
        <w:rPr>
          <w:rFonts w:ascii="宋体" w:hAnsi="宋体"/>
        </w:rPr>
      </w:pPr>
      <w:r>
        <w:t>3</w:t>
      </w:r>
      <w:r>
        <w:rPr>
          <w:rFonts w:ascii="宋体" w:hAnsi="宋体"/>
        </w:rPr>
        <w:t>）现场安装和试验在投标方的技术指导和监督下由招标方完成。</w:t>
      </w:r>
    </w:p>
    <w:p>
      <w:pPr>
        <w:adjustRightInd w:val="0"/>
        <w:snapToGrid w:val="0"/>
        <w:spacing w:line="360" w:lineRule="auto"/>
        <w:ind w:firstLine="420" w:firstLineChars="200"/>
      </w:pPr>
      <w:r>
        <w:rPr>
          <w:rFonts w:hint="eastAsia"/>
        </w:rPr>
        <w:t>4）</w:t>
      </w:r>
      <w:r>
        <w:t>本规范书未说明</w:t>
      </w:r>
      <w:r>
        <w:rPr>
          <w:rFonts w:hint="eastAsia"/>
        </w:rPr>
        <w:t>，</w:t>
      </w:r>
      <w:r>
        <w:t>但又与设计、制造、装配、试验、运输、包装、保管、安装和运行维护有关的技术要求</w:t>
      </w:r>
      <w:r>
        <w:rPr>
          <w:rFonts w:hint="eastAsia"/>
        </w:rPr>
        <w:t>，</w:t>
      </w:r>
      <w:r>
        <w:t>按条款3所规定的有关标准执行。</w:t>
      </w:r>
    </w:p>
    <w:p>
      <w:pPr>
        <w:pStyle w:val="3"/>
        <w:numPr>
          <w:ilvl w:val="0"/>
          <w:numId w:val="0"/>
        </w:numPr>
        <w:adjustRightInd w:val="0"/>
        <w:snapToGrid w:val="0"/>
        <w:spacing w:line="360" w:lineRule="auto"/>
        <w:rPr>
          <w:rFonts w:ascii="黑体" w:hAnsi="黑体"/>
        </w:rPr>
      </w:pPr>
      <w:bookmarkStart w:id="17" w:name="_Toc384340979"/>
      <w:bookmarkStart w:id="18" w:name="_Toc22386027"/>
      <w:r>
        <w:rPr>
          <w:rFonts w:ascii="黑体" w:hAnsi="黑体"/>
        </w:rPr>
        <w:t>2.</w:t>
      </w:r>
      <w:r>
        <w:rPr>
          <w:rFonts w:hint="eastAsia" w:ascii="黑体" w:hAnsi="黑体"/>
        </w:rPr>
        <w:t>3</w:t>
      </w:r>
      <w:r>
        <w:rPr>
          <w:rFonts w:ascii="黑体" w:hAnsi="黑体"/>
        </w:rPr>
        <w:t xml:space="preserve"> 服务范围</w:t>
      </w:r>
      <w:bookmarkEnd w:id="17"/>
      <w:bookmarkEnd w:id="18"/>
    </w:p>
    <w:p>
      <w:pPr>
        <w:adjustRightInd w:val="0"/>
        <w:snapToGrid w:val="0"/>
        <w:spacing w:line="360" w:lineRule="auto"/>
        <w:ind w:firstLine="420" w:firstLineChars="200"/>
      </w:pPr>
      <w:r>
        <w:t>1</w:t>
      </w:r>
      <w:r>
        <w:rPr>
          <w:rFonts w:ascii="宋体" w:hAnsi="宋体"/>
        </w:rPr>
        <w:t>）投标方应按本规范书的要求提供台全新的、合格的</w:t>
      </w:r>
      <w:r>
        <w:t>110kV</w:t>
      </w:r>
      <w:r>
        <w:rPr>
          <w:rFonts w:hint="eastAsia"/>
        </w:rPr>
        <w:t>~</w:t>
      </w:r>
      <w:r>
        <w:t>5</w:t>
      </w:r>
      <w:r>
        <w:rPr>
          <w:rFonts w:hint="eastAsia"/>
        </w:rPr>
        <w:t>00</w:t>
      </w:r>
      <w:r>
        <w:t>kV</w:t>
      </w:r>
      <w:r>
        <w:rPr>
          <w:rFonts w:hint="eastAsia" w:ascii="宋体" w:hAnsi="宋体"/>
        </w:rPr>
        <w:t>瓷绝缘支柱绝缘子</w:t>
      </w:r>
      <w:r>
        <w:rPr>
          <w:rFonts w:ascii="宋体" w:hAnsi="宋体"/>
        </w:rPr>
        <w:t>及其附属设备、备品备件、专用工具和仪器。</w:t>
      </w:r>
      <w:r>
        <w:t>投标方所提供的组件或附件如需向第三方外购时</w:t>
      </w:r>
      <w:r>
        <w:rPr>
          <w:rFonts w:hint="eastAsia"/>
        </w:rPr>
        <w:t>，投标方</w:t>
      </w:r>
      <w:r>
        <w:t>应对质量向招标方负责</w:t>
      </w:r>
      <w:r>
        <w:rPr>
          <w:rFonts w:hint="eastAsia"/>
        </w:rPr>
        <w:t>，</w:t>
      </w:r>
      <w:r>
        <w:t>并提供相应出厂和验收证明。</w:t>
      </w:r>
    </w:p>
    <w:p>
      <w:pPr>
        <w:adjustRightInd w:val="0"/>
        <w:snapToGrid w:val="0"/>
        <w:spacing w:line="360" w:lineRule="auto"/>
        <w:ind w:firstLine="420" w:firstLineChars="200"/>
        <w:rPr>
          <w:rFonts w:ascii="宋体" w:hAnsi="宋体"/>
        </w:rPr>
      </w:pPr>
      <w:r>
        <w:rPr>
          <w:rFonts w:hint="eastAsia" w:ascii="宋体" w:hAnsi="宋体"/>
        </w:rPr>
        <w:t>2）供货范围</w:t>
      </w:r>
      <w:bookmarkStart w:id="19" w:name="_Toc282433715"/>
      <w:bookmarkStart w:id="20" w:name="_Toc283011667"/>
      <w:bookmarkStart w:id="21" w:name="_Toc283142589"/>
      <w:r>
        <w:rPr>
          <w:rFonts w:hint="eastAsia" w:ascii="宋体" w:hAnsi="宋体"/>
        </w:rPr>
        <w:t>一览表</w:t>
      </w:r>
      <w:bookmarkEnd w:id="19"/>
      <w:bookmarkEnd w:id="20"/>
      <w:bookmarkEnd w:id="21"/>
    </w:p>
    <w:p>
      <w:pPr>
        <w:pStyle w:val="107"/>
        <w:adjustRightInd w:val="0"/>
        <w:snapToGrid w:val="0"/>
        <w:spacing w:line="360" w:lineRule="auto"/>
        <w:rPr>
          <w:rFonts w:ascii="宋体" w:hAnsi="宋体" w:eastAsia="宋体" w:cs="Times New Roman"/>
          <w:szCs w:val="24"/>
        </w:rPr>
      </w:pPr>
      <w:r>
        <w:rPr>
          <w:rFonts w:hint="eastAsia" w:ascii="宋体" w:hAnsi="宋体" w:eastAsia="宋体" w:cs="Times New Roman"/>
          <w:szCs w:val="24"/>
        </w:rPr>
        <w:t>供货设备技术规格一览表详见专用部分。</w:t>
      </w:r>
    </w:p>
    <w:p>
      <w:pPr>
        <w:adjustRightInd w:val="0"/>
        <w:snapToGrid w:val="0"/>
        <w:spacing w:line="360" w:lineRule="auto"/>
        <w:ind w:firstLine="420" w:firstLineChars="200"/>
        <w:rPr>
          <w:rFonts w:ascii="宋体" w:hAnsi="宋体"/>
        </w:rPr>
      </w:pPr>
      <w:r>
        <w:rPr>
          <w:rFonts w:ascii="宋体" w:hAnsi="宋体"/>
        </w:rPr>
        <w:t>供货范围包括</w:t>
      </w:r>
      <w:r>
        <w:rPr>
          <w:rFonts w:hint="eastAsia" w:ascii="宋体" w:hAnsi="宋体"/>
        </w:rPr>
        <w:t>：</w:t>
      </w:r>
    </w:p>
    <w:p>
      <w:pPr>
        <w:adjustRightInd w:val="0"/>
        <w:snapToGrid w:val="0"/>
        <w:spacing w:line="360" w:lineRule="auto"/>
        <w:ind w:firstLine="420" w:firstLineChars="200"/>
        <w:rPr>
          <w:rFonts w:ascii="宋体" w:hAnsi="宋体"/>
        </w:rPr>
      </w:pPr>
      <w:r>
        <w:rPr>
          <w:rFonts w:hint="eastAsia" w:ascii="宋体" w:hAnsi="宋体"/>
        </w:rPr>
        <w:t>支柱</w:t>
      </w:r>
      <w:r>
        <w:rPr>
          <w:rFonts w:ascii="宋体" w:hAnsi="宋体"/>
        </w:rPr>
        <w:t>绝缘子及附件（包括顶部</w:t>
      </w:r>
      <w:r>
        <w:rPr>
          <w:rFonts w:hint="eastAsia" w:ascii="宋体" w:hAnsi="宋体"/>
        </w:rPr>
        <w:t>连接端子/板、各种紧固件等</w:t>
      </w:r>
      <w:r>
        <w:rPr>
          <w:rFonts w:ascii="宋体" w:hAnsi="宋体"/>
        </w:rPr>
        <w:t>）</w:t>
      </w:r>
      <w:r>
        <w:rPr>
          <w:rFonts w:hint="eastAsia" w:ascii="宋体" w:hAnsi="宋体"/>
        </w:rPr>
        <w:t>。</w:t>
      </w:r>
    </w:p>
    <w:p>
      <w:pPr>
        <w:adjustRightInd w:val="0"/>
        <w:snapToGrid w:val="0"/>
        <w:spacing w:line="360" w:lineRule="auto"/>
        <w:ind w:firstLine="420" w:firstLineChars="200"/>
      </w:pPr>
      <w:r>
        <w:rPr>
          <w:rFonts w:hint="eastAsia"/>
        </w:rPr>
        <w:t>3）工厂试验由投标方在生产厂家内完成，招标方根据工程需要，决定是否派代表参加，参加工厂验收的人数及天数等规定详见规范书商务部分。</w:t>
      </w:r>
    </w:p>
    <w:p>
      <w:pPr>
        <w:adjustRightInd w:val="0"/>
        <w:snapToGrid w:val="0"/>
        <w:spacing w:line="360" w:lineRule="auto"/>
        <w:ind w:firstLine="420" w:firstLineChars="200"/>
      </w:pPr>
      <w:r>
        <w:rPr>
          <w:rFonts w:hint="eastAsia"/>
        </w:rPr>
        <w:t>4）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规范书商务部分。</w:t>
      </w:r>
    </w:p>
    <w:p>
      <w:pPr>
        <w:adjustRightInd w:val="0"/>
        <w:snapToGrid w:val="0"/>
        <w:spacing w:line="360" w:lineRule="auto"/>
        <w:ind w:firstLine="420" w:firstLineChars="200"/>
      </w:pPr>
      <w:r>
        <w:rPr>
          <w:rFonts w:hint="eastAsia"/>
        </w:rPr>
        <w:t>5）投标方应协助招标方解决设备运行中出现的问题。</w:t>
      </w:r>
    </w:p>
    <w:p>
      <w:pPr>
        <w:adjustRightInd w:val="0"/>
        <w:snapToGrid w:val="0"/>
        <w:spacing w:line="360" w:lineRule="auto"/>
        <w:ind w:firstLine="420" w:firstLineChars="200"/>
      </w:pPr>
      <w:r>
        <w:rPr>
          <w:rFonts w:hint="eastAsia"/>
        </w:rPr>
        <w:t>6）设计联络会议的地点及招标方参加人员的人数和天数等规定详见规范书商务部分。</w:t>
      </w:r>
    </w:p>
    <w:p>
      <w:pPr>
        <w:adjustRightInd w:val="0"/>
        <w:snapToGrid w:val="0"/>
        <w:spacing w:line="360" w:lineRule="auto"/>
        <w:ind w:firstLine="420" w:firstLineChars="200"/>
      </w:pPr>
      <w:r>
        <w:rPr>
          <w:rFonts w:hint="eastAsia"/>
        </w:rPr>
        <w:t>7）设备安装、调试和性能试验合格后方可投运。设备投运并稳定运行后，投标方和招标方（业主）双方应根据相关法律、法规和公司管理制度签署合同设备的验收证明书。该证明书共两份，双方各执一份。</w:t>
      </w:r>
    </w:p>
    <w:p>
      <w:pPr>
        <w:adjustRightInd w:val="0"/>
        <w:snapToGrid w:val="0"/>
        <w:spacing w:line="360" w:lineRule="auto"/>
        <w:ind w:firstLine="420" w:firstLineChars="200"/>
      </w:pPr>
      <w:r>
        <w:rPr>
          <w:rFonts w:hint="eastAsia"/>
        </w:rPr>
        <w:t>8）如果安装、调试、性能试验、试运行及质保期内技术指标一项或多项不能满足合同技术部分要求，买卖双方共同分析原因，分清责任，如属制造方面的原因，或涉及索赔部分，按商务部分有关条款执行。</w:t>
      </w:r>
    </w:p>
    <w:bookmarkEnd w:id="11"/>
    <w:bookmarkEnd w:id="12"/>
    <w:p>
      <w:pPr>
        <w:pStyle w:val="2"/>
        <w:numPr>
          <w:ilvl w:val="0"/>
          <w:numId w:val="0"/>
        </w:numPr>
        <w:rPr>
          <w:rFonts w:ascii="黑体" w:hAnsi="黑体" w:eastAsia="黑体"/>
          <w:b/>
          <w:sz w:val="21"/>
          <w:szCs w:val="21"/>
        </w:rPr>
      </w:pPr>
      <w:bookmarkStart w:id="22" w:name="_Toc22386028"/>
      <w:bookmarkStart w:id="23" w:name="_Toc384340980"/>
      <w:r>
        <w:rPr>
          <w:rFonts w:hint="eastAsia" w:ascii="黑体" w:hAnsi="黑体" w:eastAsia="黑体"/>
          <w:b/>
          <w:sz w:val="21"/>
          <w:szCs w:val="21"/>
        </w:rPr>
        <w:t>3 应遵循的主要标准</w:t>
      </w:r>
      <w:bookmarkEnd w:id="22"/>
      <w:bookmarkEnd w:id="23"/>
    </w:p>
    <w:p>
      <w:pPr>
        <w:adjustRightInd w:val="0"/>
        <w:snapToGrid w:val="0"/>
        <w:spacing w:line="360" w:lineRule="auto"/>
        <w:ind w:firstLine="420" w:firstLineChars="200"/>
      </w:pPr>
      <w:bookmarkStart w:id="24" w:name="_Toc457979127"/>
      <w:bookmarkStart w:id="25" w:name="_Toc448828694"/>
      <w:bookmarkStart w:id="26" w:name="_Toc455373921"/>
      <w:bookmarkStart w:id="27" w:name="_Toc146182538"/>
      <w:bookmarkStart w:id="28" w:name="_Toc457986926"/>
      <w:bookmarkStart w:id="29" w:name="_Toc455543289"/>
      <w:bookmarkStart w:id="30" w:name="_Toc114253693"/>
      <w:bookmarkStart w:id="31" w:name="_Toc241912000"/>
      <w:bookmarkStart w:id="32" w:name="_Toc482581219"/>
      <w:bookmarkStart w:id="33" w:name="_Toc459534976"/>
      <w:bookmarkStart w:id="34" w:name="_Toc155114612"/>
      <w:r>
        <w:t>除本规范书特殊规定外</w:t>
      </w:r>
      <w:r>
        <w:rPr>
          <w:rFonts w:hint="eastAsia"/>
        </w:rPr>
        <w:t>，</w:t>
      </w:r>
      <w:r>
        <w:t>投标方所提供的设备均按规定的标准和规程的最新版本进行设计、制造、试验和安装。如果这些标准内容有矛盾时</w:t>
      </w:r>
      <w:r>
        <w:rPr>
          <w:rFonts w:hint="eastAsia"/>
        </w:rPr>
        <w:t>，</w:t>
      </w:r>
      <w:r>
        <w:t>应按最高标准的条款执行或按双方商定的标准执行。如果投标方选用本规范书规定以外的标准时</w:t>
      </w:r>
      <w:r>
        <w:rPr>
          <w:rFonts w:hint="eastAsia"/>
        </w:rPr>
        <w:t>，</w:t>
      </w:r>
      <w:r>
        <w:t>则需提交这种替换标准供审查和分析。仅在投标方已证明替换标准相当或优于规范书规定的标准</w:t>
      </w:r>
      <w:r>
        <w:rPr>
          <w:rFonts w:hint="eastAsia"/>
        </w:rPr>
        <w:t>，</w:t>
      </w:r>
      <w:r>
        <w:t>并从招标方处获得书面的认可才能使用。提交供审查的标准应为中文或英文版本。</w:t>
      </w:r>
      <w:r>
        <w:rPr>
          <w:rFonts w:hint="eastAsia"/>
        </w:rPr>
        <w:t>主要引用标准如下：</w:t>
      </w:r>
    </w:p>
    <w:p>
      <w:pPr>
        <w:adjustRightInd w:val="0"/>
        <w:snapToGrid w:val="0"/>
        <w:spacing w:line="360" w:lineRule="auto"/>
        <w:ind w:firstLine="420" w:firstLineChars="200"/>
      </w:pPr>
      <w:bookmarkStart w:id="35" w:name="OLE_LINK1"/>
      <w:r>
        <w:rPr>
          <w:rFonts w:hint="eastAsia"/>
        </w:rPr>
        <w:t>GB 156标准电压</w:t>
      </w:r>
    </w:p>
    <w:p>
      <w:pPr>
        <w:adjustRightInd w:val="0"/>
        <w:snapToGrid w:val="0"/>
        <w:spacing w:line="360" w:lineRule="auto"/>
        <w:ind w:firstLine="420" w:firstLineChars="200"/>
      </w:pPr>
      <w:r>
        <w:rPr>
          <w:rFonts w:hint="eastAsia"/>
        </w:rPr>
        <w:t>GB 191包装贮运图示标志</w:t>
      </w:r>
    </w:p>
    <w:p>
      <w:pPr>
        <w:tabs>
          <w:tab w:val="left" w:pos="2202"/>
        </w:tabs>
        <w:adjustRightInd w:val="0"/>
        <w:snapToGrid w:val="0"/>
        <w:spacing w:line="360" w:lineRule="auto"/>
        <w:ind w:firstLine="420" w:firstLineChars="200"/>
      </w:pPr>
      <w:r>
        <w:t>GB</w:t>
      </w:r>
      <w:r>
        <w:rPr>
          <w:rFonts w:hint="eastAsia"/>
        </w:rPr>
        <w:t>/T</w:t>
      </w:r>
      <w:r>
        <w:t xml:space="preserve"> 311.1</w:t>
      </w:r>
      <w:r>
        <w:rPr>
          <w:rFonts w:hint="eastAsia"/>
        </w:rPr>
        <w:t xml:space="preserve"> 绝缘配合 第1部分： 定义、原则和规则</w:t>
      </w:r>
    </w:p>
    <w:p>
      <w:pPr>
        <w:adjustRightInd w:val="0"/>
        <w:snapToGrid w:val="0"/>
        <w:spacing w:line="360" w:lineRule="auto"/>
        <w:ind w:firstLine="420" w:firstLineChars="200"/>
      </w:pPr>
      <w:r>
        <w:rPr>
          <w:rFonts w:hint="eastAsia"/>
        </w:rPr>
        <w:t>GB/T 311.2 绝缘配合 第2部分：高压输变电设备的绝缘配合使用导则</w:t>
      </w:r>
    </w:p>
    <w:p>
      <w:pPr>
        <w:adjustRightInd w:val="0"/>
        <w:snapToGrid w:val="0"/>
        <w:spacing w:line="360" w:lineRule="auto"/>
        <w:ind w:firstLine="420" w:firstLineChars="200"/>
      </w:pPr>
      <w:r>
        <w:rPr>
          <w:rFonts w:hint="eastAsia"/>
        </w:rPr>
        <w:t>GB/T 494 建筑石油沥青</w:t>
      </w:r>
    </w:p>
    <w:p>
      <w:pPr>
        <w:tabs>
          <w:tab w:val="left" w:pos="2202"/>
        </w:tabs>
        <w:adjustRightInd w:val="0"/>
        <w:snapToGrid w:val="0"/>
        <w:spacing w:line="360" w:lineRule="auto"/>
        <w:ind w:firstLine="420" w:firstLineChars="200"/>
      </w:pPr>
      <w:r>
        <w:rPr>
          <w:rFonts w:hint="eastAsia"/>
        </w:rPr>
        <w:t>GB/T 772 高压</w:t>
      </w:r>
      <w:r>
        <w:t>绝缘子瓷件技术</w:t>
      </w:r>
      <w:r>
        <w:rPr>
          <w:rFonts w:hint="eastAsia"/>
        </w:rPr>
        <w:t>条件</w:t>
      </w:r>
    </w:p>
    <w:p>
      <w:pPr>
        <w:tabs>
          <w:tab w:val="left" w:pos="2202"/>
        </w:tabs>
        <w:adjustRightInd w:val="0"/>
        <w:snapToGrid w:val="0"/>
        <w:spacing w:line="360" w:lineRule="auto"/>
        <w:ind w:firstLine="420" w:firstLineChars="200"/>
      </w:pPr>
      <w:r>
        <w:rPr>
          <w:rFonts w:hint="eastAsia"/>
        </w:rPr>
        <w:t>GB/T 2900.8 电工</w:t>
      </w:r>
      <w:r>
        <w:t>术语</w:t>
      </w:r>
      <w:r>
        <w:rPr>
          <w:rFonts w:hint="eastAsia"/>
        </w:rPr>
        <w:t xml:space="preserve">  绝缘子</w:t>
      </w:r>
    </w:p>
    <w:p>
      <w:pPr>
        <w:tabs>
          <w:tab w:val="left" w:pos="2202"/>
        </w:tabs>
        <w:adjustRightInd w:val="0"/>
        <w:snapToGrid w:val="0"/>
        <w:spacing w:line="360" w:lineRule="auto"/>
        <w:ind w:firstLine="420" w:firstLineChars="200"/>
      </w:pPr>
      <w:r>
        <w:rPr>
          <w:rFonts w:hint="eastAsia"/>
        </w:rPr>
        <w:t>GB/T 4585  交流</w:t>
      </w:r>
      <w:r>
        <w:t>系统用高压绝缘子的人工污秽试验</w:t>
      </w:r>
    </w:p>
    <w:p>
      <w:pPr>
        <w:tabs>
          <w:tab w:val="left" w:pos="2202"/>
        </w:tabs>
        <w:adjustRightInd w:val="0"/>
        <w:snapToGrid w:val="0"/>
        <w:spacing w:line="360" w:lineRule="auto"/>
        <w:ind w:firstLine="420" w:firstLineChars="200"/>
      </w:pPr>
      <w:r>
        <w:rPr>
          <w:rFonts w:hint="eastAsia"/>
        </w:rPr>
        <w:t xml:space="preserve">GB/T 8287.1 </w:t>
      </w:r>
      <w:r>
        <w:t xml:space="preserve"> </w:t>
      </w:r>
      <w:r>
        <w:rPr>
          <w:rFonts w:hint="eastAsia"/>
        </w:rPr>
        <w:t>标称</w:t>
      </w:r>
      <w:r>
        <w:t>电压高于</w:t>
      </w:r>
      <w:r>
        <w:rPr>
          <w:rFonts w:hint="eastAsia"/>
        </w:rPr>
        <w:t>1000V系统</w:t>
      </w:r>
      <w:r>
        <w:t>用户内和户外支柱绝缘子</w:t>
      </w:r>
      <w:r>
        <w:rPr>
          <w:rFonts w:hint="eastAsia"/>
        </w:rPr>
        <w:t xml:space="preserve"> 第1部分：瓷</w:t>
      </w:r>
      <w:r>
        <w:t>或</w:t>
      </w:r>
      <w:r>
        <w:rPr>
          <w:rFonts w:hint="eastAsia"/>
        </w:rPr>
        <w:t>玻璃</w:t>
      </w:r>
      <w:r>
        <w:t>绝缘子试验</w:t>
      </w:r>
      <w:r>
        <w:rPr>
          <w:rFonts w:hint="eastAsia"/>
        </w:rPr>
        <w:t xml:space="preserve"> </w:t>
      </w:r>
    </w:p>
    <w:p>
      <w:pPr>
        <w:tabs>
          <w:tab w:val="left" w:pos="2202"/>
        </w:tabs>
        <w:adjustRightInd w:val="0"/>
        <w:snapToGrid w:val="0"/>
        <w:spacing w:line="360" w:lineRule="auto"/>
        <w:ind w:firstLine="420" w:firstLineChars="200"/>
      </w:pPr>
      <w:r>
        <w:rPr>
          <w:rFonts w:hint="eastAsia"/>
        </w:rPr>
        <w:t xml:space="preserve">GB/T 8287.2 </w:t>
      </w:r>
      <w:r>
        <w:t xml:space="preserve"> </w:t>
      </w:r>
      <w:r>
        <w:rPr>
          <w:rFonts w:hint="eastAsia"/>
        </w:rPr>
        <w:t>标称</w:t>
      </w:r>
      <w:r>
        <w:t>电压高于</w:t>
      </w:r>
      <w:r>
        <w:rPr>
          <w:rFonts w:hint="eastAsia"/>
        </w:rPr>
        <w:t>1000V系统</w:t>
      </w:r>
      <w:r>
        <w:t>用户内和户外支柱绝缘子</w:t>
      </w:r>
      <w:r>
        <w:rPr>
          <w:rFonts w:hint="eastAsia"/>
        </w:rPr>
        <w:t xml:space="preserve"> 第2部分：</w:t>
      </w:r>
      <w:r>
        <w:t>尺寸与特性</w:t>
      </w:r>
    </w:p>
    <w:p>
      <w:pPr>
        <w:tabs>
          <w:tab w:val="left" w:pos="2202"/>
        </w:tabs>
        <w:adjustRightInd w:val="0"/>
        <w:snapToGrid w:val="0"/>
        <w:spacing w:line="360" w:lineRule="auto"/>
        <w:ind w:firstLine="420" w:firstLineChars="200"/>
      </w:pPr>
      <w:r>
        <w:rPr>
          <w:rFonts w:hint="eastAsia"/>
        </w:rPr>
        <w:t>GB/T 8411.1陶瓷和玻璃绝缘材料 第1部分：定义和分类</w:t>
      </w:r>
    </w:p>
    <w:p>
      <w:pPr>
        <w:tabs>
          <w:tab w:val="left" w:pos="2202"/>
        </w:tabs>
        <w:adjustRightInd w:val="0"/>
        <w:snapToGrid w:val="0"/>
        <w:spacing w:line="360" w:lineRule="auto"/>
        <w:ind w:firstLine="420" w:firstLineChars="200"/>
      </w:pPr>
      <w:r>
        <w:rPr>
          <w:rFonts w:hint="eastAsia"/>
        </w:rPr>
        <w:t>GB/T 8411.3陶瓷和玻璃绝缘材料 第3部分：材料性能</w:t>
      </w:r>
    </w:p>
    <w:p>
      <w:pPr>
        <w:tabs>
          <w:tab w:val="left" w:pos="2202"/>
        </w:tabs>
        <w:adjustRightInd w:val="0"/>
        <w:snapToGrid w:val="0"/>
        <w:spacing w:line="360" w:lineRule="auto"/>
        <w:ind w:firstLine="420" w:firstLineChars="200"/>
      </w:pPr>
      <w:r>
        <w:rPr>
          <w:rFonts w:hint="eastAsia"/>
          <w:snapToGrid w:val="0"/>
          <w:kern w:val="0"/>
        </w:rPr>
        <w:t>GB/T 13540</w:t>
      </w:r>
      <w:r>
        <w:rPr>
          <w:rFonts w:hint="eastAsia"/>
        </w:rPr>
        <w:t>高压开关设备和控制设备的抗震要求</w:t>
      </w:r>
    </w:p>
    <w:p>
      <w:pPr>
        <w:tabs>
          <w:tab w:val="left" w:pos="2202"/>
        </w:tabs>
        <w:adjustRightInd w:val="0"/>
        <w:snapToGrid w:val="0"/>
        <w:spacing w:line="360" w:lineRule="auto"/>
        <w:ind w:firstLine="420" w:firstLineChars="200"/>
      </w:pPr>
      <w:r>
        <w:rPr>
          <w:rFonts w:hint="eastAsia"/>
        </w:rPr>
        <w:t>GB</w:t>
      </w:r>
      <w:r>
        <w:t xml:space="preserve">/T 16927.1 </w:t>
      </w:r>
      <w:r>
        <w:rPr>
          <w:rFonts w:hint="eastAsia"/>
        </w:rPr>
        <w:t>高</w:t>
      </w:r>
      <w:r>
        <w:t>电压试验技术</w:t>
      </w:r>
      <w:r>
        <w:rPr>
          <w:rFonts w:hint="eastAsia"/>
        </w:rPr>
        <w:t xml:space="preserve">  第1部分</w:t>
      </w:r>
      <w:r>
        <w:t>：一般定义及试验要求</w:t>
      </w:r>
    </w:p>
    <w:p>
      <w:pPr>
        <w:tabs>
          <w:tab w:val="left" w:pos="2202"/>
        </w:tabs>
        <w:adjustRightInd w:val="0"/>
        <w:snapToGrid w:val="0"/>
        <w:spacing w:line="360" w:lineRule="auto"/>
        <w:ind w:firstLine="420" w:firstLineChars="200"/>
      </w:pPr>
      <w:r>
        <w:rPr>
          <w:rFonts w:hint="eastAsia"/>
        </w:rPr>
        <w:t>GB/ T 24623高压绝缘子无线电干扰试验</w:t>
      </w:r>
    </w:p>
    <w:p>
      <w:pPr>
        <w:tabs>
          <w:tab w:val="left" w:pos="2202"/>
        </w:tabs>
        <w:adjustRightInd w:val="0"/>
        <w:snapToGrid w:val="0"/>
        <w:spacing w:line="360" w:lineRule="auto"/>
        <w:ind w:firstLine="420" w:firstLineChars="200"/>
      </w:pPr>
      <w:r>
        <w:rPr>
          <w:rFonts w:hint="eastAsia"/>
        </w:rPr>
        <w:t>GB/T 26218.1污秽条件下使用的高压绝缘子的选择和尺寸确定 第1部分 定义、信息和一般原则</w:t>
      </w:r>
    </w:p>
    <w:p>
      <w:pPr>
        <w:tabs>
          <w:tab w:val="left" w:pos="2202"/>
        </w:tabs>
        <w:adjustRightInd w:val="0"/>
        <w:snapToGrid w:val="0"/>
        <w:spacing w:line="360" w:lineRule="auto"/>
        <w:ind w:firstLine="420" w:firstLineChars="200"/>
      </w:pPr>
      <w:r>
        <w:rPr>
          <w:rFonts w:hint="eastAsia"/>
        </w:rPr>
        <w:t>GB/T 26218.2 污秽条件下使用的高压绝缘子的选择和尺寸确定 第2部分：交流系统用瓷和玻璃绝缘子</w:t>
      </w:r>
    </w:p>
    <w:p>
      <w:pPr>
        <w:tabs>
          <w:tab w:val="left" w:pos="2202"/>
        </w:tabs>
        <w:adjustRightInd w:val="0"/>
        <w:snapToGrid w:val="0"/>
        <w:spacing w:line="360" w:lineRule="auto"/>
        <w:ind w:firstLine="420" w:firstLineChars="200"/>
      </w:pPr>
      <w:r>
        <w:rPr>
          <w:rFonts w:hint="eastAsia"/>
        </w:rPr>
        <w:t>GB 50150 电气装置安装工程电气设备交接试验标准</w:t>
      </w:r>
    </w:p>
    <w:p>
      <w:pPr>
        <w:tabs>
          <w:tab w:val="left" w:pos="2202"/>
        </w:tabs>
        <w:adjustRightInd w:val="0"/>
        <w:snapToGrid w:val="0"/>
        <w:spacing w:line="360" w:lineRule="auto"/>
        <w:ind w:firstLine="420" w:firstLineChars="200"/>
      </w:pPr>
      <w:r>
        <w:rPr>
          <w:rFonts w:hint="eastAsia"/>
        </w:rPr>
        <w:t>DL/T 374</w:t>
      </w:r>
      <w:r>
        <w:t xml:space="preserve"> </w:t>
      </w:r>
      <w:r>
        <w:rPr>
          <w:rFonts w:hint="eastAsia"/>
        </w:rPr>
        <w:t>电力系统污区分布图绘制方法</w:t>
      </w:r>
    </w:p>
    <w:p>
      <w:pPr>
        <w:tabs>
          <w:tab w:val="left" w:pos="2202"/>
        </w:tabs>
        <w:adjustRightInd w:val="0"/>
        <w:snapToGrid w:val="0"/>
        <w:spacing w:line="360" w:lineRule="auto"/>
        <w:ind w:firstLine="420" w:firstLineChars="200"/>
      </w:pPr>
      <w:r>
        <w:rPr>
          <w:rFonts w:hint="eastAsia"/>
        </w:rPr>
        <w:t>DL/T 586  电力设备监造技术导则</w:t>
      </w:r>
    </w:p>
    <w:p>
      <w:pPr>
        <w:tabs>
          <w:tab w:val="left" w:pos="2202"/>
        </w:tabs>
        <w:adjustRightInd w:val="0"/>
        <w:snapToGrid w:val="0"/>
        <w:spacing w:line="360" w:lineRule="auto"/>
        <w:ind w:firstLine="420" w:firstLineChars="200"/>
      </w:pPr>
      <w:r>
        <w:rPr>
          <w:rFonts w:hint="eastAsia"/>
        </w:rPr>
        <w:t>DL</w:t>
      </w:r>
      <w:r>
        <w:t>/</w:t>
      </w:r>
      <w:r>
        <w:rPr>
          <w:rFonts w:hint="eastAsia"/>
        </w:rPr>
        <w:t>T 2452</w:t>
      </w:r>
      <w:r>
        <w:t xml:space="preserve"> </w:t>
      </w:r>
      <w:r>
        <w:rPr>
          <w:rFonts w:hint="eastAsia"/>
        </w:rPr>
        <w:t>交、直流系统用支柱绝缘子施工、运行和维护规范</w:t>
      </w:r>
    </w:p>
    <w:p>
      <w:pPr>
        <w:tabs>
          <w:tab w:val="left" w:pos="2202"/>
        </w:tabs>
        <w:adjustRightInd w:val="0"/>
        <w:snapToGrid w:val="0"/>
        <w:spacing w:line="360" w:lineRule="auto"/>
        <w:ind w:firstLine="420" w:firstLineChars="200"/>
      </w:pPr>
      <w:r>
        <w:rPr>
          <w:rFonts w:hint="eastAsia"/>
        </w:rPr>
        <w:t xml:space="preserve">JB/T 4307 </w:t>
      </w:r>
      <w:r>
        <w:t>绝缘子</w:t>
      </w:r>
      <w:r>
        <w:rPr>
          <w:rFonts w:hint="eastAsia"/>
        </w:rPr>
        <w:t>胶状</w:t>
      </w:r>
      <w:r>
        <w:t>用水泥胶合剂</w:t>
      </w:r>
    </w:p>
    <w:p>
      <w:pPr>
        <w:tabs>
          <w:tab w:val="left" w:pos="2202"/>
        </w:tabs>
        <w:adjustRightInd w:val="0"/>
        <w:snapToGrid w:val="0"/>
        <w:spacing w:line="360" w:lineRule="auto"/>
        <w:ind w:firstLine="420" w:firstLineChars="200"/>
      </w:pPr>
      <w:r>
        <w:rPr>
          <w:rFonts w:hint="eastAsia"/>
        </w:rPr>
        <w:t>JB/T 5891 绝缘子用黑色金属铸件 技术条件</w:t>
      </w:r>
    </w:p>
    <w:p>
      <w:pPr>
        <w:tabs>
          <w:tab w:val="left" w:pos="2202"/>
        </w:tabs>
        <w:adjustRightInd w:val="0"/>
        <w:snapToGrid w:val="0"/>
        <w:spacing w:line="360" w:lineRule="auto"/>
        <w:ind w:firstLine="420" w:firstLineChars="200"/>
      </w:pPr>
      <w:r>
        <w:rPr>
          <w:rFonts w:hint="eastAsia"/>
        </w:rPr>
        <w:t>JB/T 8177 绝缘子</w:t>
      </w:r>
      <w:r>
        <w:t>金属附件热镀锌层通用技术条件</w:t>
      </w:r>
    </w:p>
    <w:p>
      <w:pPr>
        <w:tabs>
          <w:tab w:val="left" w:pos="2202"/>
        </w:tabs>
        <w:adjustRightInd w:val="0"/>
        <w:snapToGrid w:val="0"/>
        <w:spacing w:line="360" w:lineRule="auto"/>
        <w:ind w:firstLine="420" w:firstLineChars="200"/>
      </w:pPr>
      <w:r>
        <w:rPr>
          <w:rFonts w:hint="eastAsia"/>
        </w:rPr>
        <w:t>JB/T</w:t>
      </w:r>
      <w:r>
        <w:t xml:space="preserve"> 9673 </w:t>
      </w:r>
      <w:r>
        <w:rPr>
          <w:rFonts w:hint="eastAsia"/>
        </w:rPr>
        <w:t>绝缘子</w:t>
      </w:r>
      <w:r>
        <w:t>产品包装</w:t>
      </w:r>
    </w:p>
    <w:p>
      <w:pPr>
        <w:tabs>
          <w:tab w:val="left" w:pos="2202"/>
        </w:tabs>
        <w:adjustRightInd w:val="0"/>
        <w:snapToGrid w:val="0"/>
        <w:spacing w:line="360" w:lineRule="auto"/>
        <w:ind w:firstLine="420" w:firstLineChars="200"/>
      </w:pPr>
      <w:r>
        <w:rPr>
          <w:rFonts w:hint="eastAsia"/>
        </w:rPr>
        <w:t>JB/T</w:t>
      </w:r>
      <w:r>
        <w:t xml:space="preserve"> 9674 </w:t>
      </w:r>
      <w:r>
        <w:rPr>
          <w:rFonts w:hint="eastAsia"/>
        </w:rPr>
        <w:t>超</w:t>
      </w:r>
      <w:r>
        <w:t>声波探测瓷件内部缺陷</w:t>
      </w:r>
    </w:p>
    <w:p>
      <w:pPr>
        <w:tabs>
          <w:tab w:val="left" w:pos="2202"/>
        </w:tabs>
        <w:adjustRightInd w:val="0"/>
        <w:snapToGrid w:val="0"/>
        <w:spacing w:line="360" w:lineRule="auto"/>
        <w:ind w:firstLine="420" w:firstLineChars="200"/>
      </w:pPr>
      <w:r>
        <w:rPr>
          <w:rFonts w:hint="eastAsia"/>
        </w:rPr>
        <w:t>Q/CSG 10011</w:t>
      </w:r>
      <w:r>
        <w:t xml:space="preserve">  </w:t>
      </w:r>
      <w:r>
        <w:rPr>
          <w:rFonts w:hint="eastAsia"/>
        </w:rPr>
        <w:t>35</w:t>
      </w:r>
      <w:r>
        <w:t>kV</w:t>
      </w:r>
      <w:r>
        <w:rPr>
          <w:rFonts w:hint="eastAsia"/>
        </w:rPr>
        <w:t>~</w:t>
      </w:r>
      <w:r>
        <w:t>500kV</w:t>
      </w:r>
      <w:r>
        <w:rPr>
          <w:rFonts w:hint="eastAsia"/>
        </w:rPr>
        <w:t>变电站装备技术</w:t>
      </w:r>
      <w:r>
        <w:t>导则</w:t>
      </w:r>
      <w:r>
        <w:rPr>
          <w:rFonts w:hint="eastAsia"/>
        </w:rPr>
        <w:t>（变电一次分册）</w:t>
      </w:r>
    </w:p>
    <w:p>
      <w:pPr>
        <w:tabs>
          <w:tab w:val="left" w:pos="2202"/>
        </w:tabs>
        <w:adjustRightInd w:val="0"/>
        <w:snapToGrid w:val="0"/>
        <w:spacing w:line="360" w:lineRule="auto"/>
        <w:ind w:firstLine="420" w:firstLineChars="200"/>
      </w:pPr>
      <w:r>
        <w:rPr>
          <w:rFonts w:hint="eastAsia"/>
        </w:rPr>
        <w:t>Q/CSG 1206007</w:t>
      </w:r>
      <w:r>
        <w:t xml:space="preserve"> </w:t>
      </w:r>
      <w:r>
        <w:rPr>
          <w:rFonts w:hint="eastAsia"/>
        </w:rPr>
        <w:t>电力设备检修试验规程</w:t>
      </w:r>
    </w:p>
    <w:p>
      <w:pPr>
        <w:tabs>
          <w:tab w:val="left" w:pos="2202"/>
        </w:tabs>
        <w:adjustRightInd w:val="0"/>
        <w:snapToGrid w:val="0"/>
        <w:spacing w:line="360" w:lineRule="auto"/>
        <w:ind w:firstLine="420" w:firstLineChars="200"/>
      </w:pPr>
      <w:r>
        <w:rPr>
          <w:rFonts w:hint="eastAsia"/>
        </w:rPr>
        <w:t>凡是注日期的引用文件，仅所注日期的版本适用于本技术规范书。凡是不注日期的引用文件，其最新版本（包括所有的修改单）适用于本技术规范书。</w:t>
      </w:r>
    </w:p>
    <w:bookmarkEnd w:id="35"/>
    <w:p>
      <w:pPr>
        <w:pStyle w:val="2"/>
        <w:numPr>
          <w:ilvl w:val="0"/>
          <w:numId w:val="0"/>
        </w:numPr>
        <w:rPr>
          <w:rFonts w:ascii="黑体" w:hAnsi="黑体" w:eastAsia="黑体"/>
          <w:b/>
          <w:sz w:val="21"/>
          <w:szCs w:val="21"/>
        </w:rPr>
      </w:pPr>
      <w:bookmarkStart w:id="36" w:name="_Toc282993250"/>
      <w:bookmarkStart w:id="37" w:name="_Toc384340981"/>
      <w:bookmarkStart w:id="38" w:name="_Toc22386029"/>
      <w:r>
        <w:rPr>
          <w:rFonts w:hint="eastAsia" w:ascii="黑体" w:hAnsi="黑体" w:eastAsia="黑体"/>
          <w:b/>
          <w:sz w:val="21"/>
          <w:szCs w:val="21"/>
        </w:rPr>
        <w:t>4使用条件</w:t>
      </w:r>
      <w:bookmarkEnd w:id="36"/>
      <w:bookmarkEnd w:id="37"/>
      <w:bookmarkEnd w:id="38"/>
    </w:p>
    <w:p>
      <w:pPr>
        <w:adjustRightInd w:val="0"/>
        <w:snapToGrid w:val="0"/>
        <w:spacing w:line="360" w:lineRule="auto"/>
        <w:ind w:firstLine="420" w:firstLineChars="200"/>
      </w:pPr>
      <w:r>
        <w:rPr>
          <w:rFonts w:hint="eastAsia"/>
        </w:rPr>
        <w:t>本招标技术文件要采购的110kV~500kV瓷绝缘支柱绝缘子，</w:t>
      </w:r>
      <w:r>
        <w:rPr>
          <w:rFonts w:hAnsi="宋体"/>
        </w:rPr>
        <w:t>其安装地点的实际外部条件</w:t>
      </w:r>
      <w:r>
        <w:rPr>
          <w:rFonts w:hint="eastAsia" w:hAnsi="宋体"/>
        </w:rPr>
        <w:t>详见专用部分</w:t>
      </w:r>
      <w:r>
        <w:rPr>
          <w:rFonts w:hAnsi="宋体"/>
        </w:rPr>
        <w:t>。</w:t>
      </w:r>
      <w:r>
        <w:rPr>
          <w:rFonts w:hint="eastAsia"/>
        </w:rPr>
        <w:t>投标方应对所提供的设备的尺寸、绝缘水平等相关性能参数在工程实际外部条件下进行校验、核对，使所供设备满足实际外部条件要求及全工况运行要求。</w:t>
      </w:r>
    </w:p>
    <w:p>
      <w:pPr>
        <w:pStyle w:val="3"/>
        <w:numPr>
          <w:ilvl w:val="0"/>
          <w:numId w:val="0"/>
        </w:numPr>
        <w:adjustRightInd w:val="0"/>
        <w:snapToGrid w:val="0"/>
        <w:spacing w:line="360" w:lineRule="auto"/>
        <w:rPr>
          <w:rFonts w:ascii="黑体" w:hAnsi="黑体"/>
        </w:rPr>
      </w:pPr>
      <w:bookmarkStart w:id="39" w:name="_Toc384340982"/>
      <w:bookmarkStart w:id="40" w:name="_Toc22386030"/>
      <w:bookmarkStart w:id="41" w:name="_Toc282993251"/>
      <w:bookmarkStart w:id="42" w:name="_Toc279695711"/>
      <w:r>
        <w:rPr>
          <w:rFonts w:hint="eastAsia" w:ascii="黑体" w:hAnsi="黑体"/>
        </w:rPr>
        <w:t>4.1正常使用条件</w:t>
      </w:r>
      <w:bookmarkEnd w:id="39"/>
      <w:bookmarkEnd w:id="40"/>
      <w:bookmarkEnd w:id="41"/>
      <w:bookmarkEnd w:id="42"/>
      <w:r>
        <w:rPr>
          <w:rFonts w:hint="eastAsia" w:ascii="黑体" w:hAnsi="黑体"/>
        </w:rPr>
        <w:t xml:space="preserve"> </w:t>
      </w:r>
    </w:p>
    <w:p>
      <w:pPr>
        <w:adjustRightInd w:val="0"/>
        <w:snapToGrid w:val="0"/>
        <w:spacing w:line="360" w:lineRule="auto"/>
      </w:pPr>
      <w:r>
        <w:rPr>
          <w:rFonts w:hint="eastAsia"/>
        </w:rPr>
        <w:t>4.1.1 海拔高度</w:t>
      </w:r>
    </w:p>
    <w:p>
      <w:pPr>
        <w:spacing w:line="360" w:lineRule="auto"/>
        <w:ind w:firstLine="420" w:firstLineChars="200"/>
        <w:rPr>
          <w:snapToGrid w:val="0"/>
          <w:kern w:val="0"/>
        </w:rPr>
      </w:pPr>
      <w:r>
        <w:rPr>
          <w:snapToGrid w:val="0"/>
          <w:kern w:val="0"/>
        </w:rPr>
        <w:t>适用于设备的外绝缘，绝缘水平的设计规定海拔高度不超过1000m。</w:t>
      </w:r>
    </w:p>
    <w:p>
      <w:pPr>
        <w:adjustRightInd w:val="0"/>
        <w:snapToGrid w:val="0"/>
        <w:spacing w:line="360" w:lineRule="auto"/>
      </w:pPr>
      <w:r>
        <w:rPr>
          <w:rFonts w:hint="eastAsia"/>
        </w:rPr>
        <w:t>4.1.2周围温度</w:t>
      </w:r>
    </w:p>
    <w:p>
      <w:pPr>
        <w:spacing w:line="360" w:lineRule="auto"/>
        <w:ind w:firstLine="420" w:firstLineChars="200"/>
        <w:rPr>
          <w:snapToGrid w:val="0"/>
          <w:kern w:val="0"/>
        </w:rPr>
      </w:pPr>
      <w:r>
        <w:rPr>
          <w:snapToGrid w:val="0"/>
          <w:kern w:val="0"/>
        </w:rPr>
        <w:t>最高不超过40</w:t>
      </w:r>
      <w:r>
        <w:rPr>
          <w:rFonts w:ascii="宋体" w:hAnsi="宋体"/>
          <w:snapToGrid w:val="0"/>
          <w:kern w:val="0"/>
        </w:rPr>
        <w:t>℃</w:t>
      </w:r>
      <w:r>
        <w:rPr>
          <w:snapToGrid w:val="0"/>
          <w:kern w:val="0"/>
        </w:rPr>
        <w:t>，且在24h内测得的平均温度不超过35</w:t>
      </w:r>
      <w:r>
        <w:rPr>
          <w:rFonts w:ascii="宋体" w:hAnsi="宋体"/>
          <w:snapToGrid w:val="0"/>
          <w:kern w:val="0"/>
        </w:rPr>
        <w:t>℃</w:t>
      </w:r>
      <w:r>
        <w:rPr>
          <w:snapToGrid w:val="0"/>
          <w:kern w:val="0"/>
        </w:rPr>
        <w:t>。</w:t>
      </w:r>
    </w:p>
    <w:p>
      <w:pPr>
        <w:spacing w:line="360" w:lineRule="auto"/>
        <w:ind w:firstLine="420" w:firstLineChars="200"/>
        <w:rPr>
          <w:snapToGrid w:val="0"/>
          <w:kern w:val="0"/>
        </w:rPr>
      </w:pPr>
      <w:r>
        <w:rPr>
          <w:snapToGrid w:val="0"/>
          <w:kern w:val="0"/>
        </w:rPr>
        <w:t>最低温度不低于-</w:t>
      </w:r>
      <w:r>
        <w:rPr>
          <w:rFonts w:hint="eastAsia"/>
          <w:snapToGrid w:val="0"/>
          <w:kern w:val="0"/>
        </w:rPr>
        <w:t>10</w:t>
      </w:r>
      <w:r>
        <w:rPr>
          <w:rFonts w:ascii="宋体" w:hAnsi="宋体"/>
          <w:snapToGrid w:val="0"/>
          <w:kern w:val="0"/>
        </w:rPr>
        <w:t>℃</w:t>
      </w:r>
      <w:r>
        <w:rPr>
          <w:snapToGrid w:val="0"/>
          <w:kern w:val="0"/>
        </w:rPr>
        <w:t>。</w:t>
      </w:r>
    </w:p>
    <w:p>
      <w:pPr>
        <w:spacing w:line="360" w:lineRule="auto"/>
        <w:rPr>
          <w:snapToGrid w:val="0"/>
          <w:kern w:val="0"/>
        </w:rPr>
      </w:pPr>
      <w:r>
        <w:rPr>
          <w:rFonts w:hint="eastAsia"/>
        </w:rPr>
        <w:t>4.1.3环境空气相对湿度</w:t>
      </w:r>
    </w:p>
    <w:p>
      <w:pPr>
        <w:adjustRightInd w:val="0"/>
        <w:snapToGrid w:val="0"/>
        <w:spacing w:line="360" w:lineRule="auto"/>
        <w:ind w:firstLine="420" w:firstLineChars="200"/>
      </w:pPr>
      <w:r>
        <w:rPr>
          <w:rFonts w:hint="eastAsia"/>
        </w:rPr>
        <w:t>日相对湿度平均值100%</w:t>
      </w:r>
      <w:r>
        <w:t>（在25℃时）</w:t>
      </w:r>
      <w:r>
        <w:rPr>
          <w:rFonts w:hint="eastAsia"/>
        </w:rPr>
        <w:t>。</w:t>
      </w:r>
    </w:p>
    <w:p>
      <w:pPr>
        <w:adjustRightInd w:val="0"/>
        <w:snapToGrid w:val="0"/>
        <w:spacing w:line="360" w:lineRule="auto"/>
      </w:pPr>
      <w:r>
        <w:rPr>
          <w:rFonts w:hint="eastAsia"/>
        </w:rPr>
        <w:t>4.1.4太阳辐射强度</w:t>
      </w:r>
    </w:p>
    <w:p>
      <w:pPr>
        <w:adjustRightInd w:val="0"/>
        <w:snapToGrid w:val="0"/>
        <w:spacing w:line="360" w:lineRule="auto"/>
      </w:pPr>
      <w:r>
        <w:rPr>
          <w:rFonts w:hint="eastAsia"/>
        </w:rPr>
        <w:t xml:space="preserve">    支柱绝缘子</w:t>
      </w:r>
      <w:r>
        <w:t>应考虑阳光辐射强度的影响，</w:t>
      </w:r>
      <w:r>
        <w:rPr>
          <w:snapToGrid w:val="0"/>
          <w:kern w:val="0"/>
        </w:rPr>
        <w:t>晴天中午的辐射强度为1000W/m</w:t>
      </w:r>
      <w:r>
        <w:rPr>
          <w:snapToGrid w:val="0"/>
          <w:kern w:val="0"/>
          <w:vertAlign w:val="superscript"/>
        </w:rPr>
        <w:t>2</w:t>
      </w:r>
      <w:r>
        <w:rPr>
          <w:rFonts w:hint="eastAsia"/>
          <w:snapToGrid w:val="0"/>
          <w:kern w:val="0"/>
        </w:rPr>
        <w:t>。</w:t>
      </w:r>
    </w:p>
    <w:p>
      <w:pPr>
        <w:adjustRightInd w:val="0"/>
        <w:snapToGrid w:val="0"/>
        <w:spacing w:line="360" w:lineRule="auto"/>
      </w:pPr>
      <w:r>
        <w:rPr>
          <w:rFonts w:hint="eastAsia"/>
        </w:rPr>
        <w:t>4.1.5</w:t>
      </w:r>
      <w:r>
        <w:t>振动</w:t>
      </w:r>
    </w:p>
    <w:p>
      <w:pPr>
        <w:spacing w:line="360" w:lineRule="auto"/>
        <w:ind w:firstLine="420" w:firstLineChars="200"/>
        <w:rPr>
          <w:snapToGrid w:val="0"/>
          <w:kern w:val="0"/>
        </w:rPr>
      </w:pPr>
      <w:r>
        <w:rPr>
          <w:snapToGrid w:val="0"/>
          <w:kern w:val="0"/>
        </w:rPr>
        <w:t>耐受地震烈度规定</w:t>
      </w:r>
      <w:r>
        <w:rPr>
          <w:rFonts w:hint="eastAsia"/>
          <w:snapToGrid w:val="0"/>
          <w:kern w:val="0"/>
        </w:rPr>
        <w:t>为8度，应满足表4.1的规定。</w:t>
      </w:r>
    </w:p>
    <w:p>
      <w:pPr>
        <w:spacing w:line="360" w:lineRule="auto"/>
        <w:jc w:val="center"/>
        <w:rPr>
          <w:snapToGrid w:val="0"/>
          <w:kern w:val="0"/>
          <w:sz w:val="18"/>
          <w:szCs w:val="18"/>
        </w:rPr>
      </w:pPr>
      <w:r>
        <w:rPr>
          <w:rFonts w:hint="eastAsia"/>
          <w:snapToGrid w:val="0"/>
          <w:kern w:val="0"/>
          <w:sz w:val="18"/>
          <w:szCs w:val="18"/>
        </w:rPr>
        <w:t>表4.1 耐受地震烈度试验</w:t>
      </w:r>
    </w:p>
    <w:tbl>
      <w:tblPr>
        <w:tblStyle w:val="8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601"/>
        <w:gridCol w:w="1569"/>
        <w:gridCol w:w="13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vMerge w:val="restart"/>
            <w:vAlign w:val="center"/>
          </w:tcPr>
          <w:p>
            <w:pPr>
              <w:spacing w:line="360" w:lineRule="auto"/>
              <w:jc w:val="center"/>
              <w:rPr>
                <w:snapToGrid w:val="0"/>
                <w:kern w:val="0"/>
                <w:sz w:val="18"/>
                <w:szCs w:val="18"/>
              </w:rPr>
            </w:pPr>
            <w:r>
              <w:rPr>
                <w:rFonts w:hAnsi="宋体"/>
                <w:snapToGrid w:val="0"/>
                <w:kern w:val="0"/>
                <w:sz w:val="18"/>
                <w:szCs w:val="18"/>
              </w:rPr>
              <w:t>考核波形</w:t>
            </w:r>
          </w:p>
        </w:tc>
        <w:tc>
          <w:tcPr>
            <w:tcW w:w="2927" w:type="dxa"/>
            <w:gridSpan w:val="2"/>
          </w:tcPr>
          <w:p>
            <w:pPr>
              <w:spacing w:line="360" w:lineRule="auto"/>
              <w:jc w:val="center"/>
              <w:rPr>
                <w:snapToGrid w:val="0"/>
                <w:kern w:val="0"/>
                <w:sz w:val="18"/>
                <w:szCs w:val="18"/>
              </w:rPr>
            </w:pPr>
            <w:r>
              <w:rPr>
                <w:rFonts w:hAnsi="宋体"/>
                <w:snapToGrid w:val="0"/>
                <w:kern w:val="0"/>
                <w:sz w:val="18"/>
                <w:szCs w:val="18"/>
              </w:rPr>
              <w:t>设防烈度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vMerge w:val="continue"/>
          </w:tcPr>
          <w:p>
            <w:pPr>
              <w:spacing w:line="360" w:lineRule="auto"/>
              <w:jc w:val="center"/>
              <w:rPr>
                <w:snapToGrid w:val="0"/>
                <w:kern w:val="0"/>
                <w:sz w:val="18"/>
                <w:szCs w:val="18"/>
              </w:rPr>
            </w:pPr>
          </w:p>
        </w:tc>
        <w:tc>
          <w:tcPr>
            <w:tcW w:w="1569" w:type="dxa"/>
          </w:tcPr>
          <w:p>
            <w:pPr>
              <w:spacing w:line="360" w:lineRule="auto"/>
              <w:jc w:val="center"/>
              <w:rPr>
                <w:snapToGrid w:val="0"/>
                <w:kern w:val="0"/>
                <w:sz w:val="18"/>
                <w:szCs w:val="18"/>
              </w:rPr>
            </w:pPr>
            <w:r>
              <w:rPr>
                <w:snapToGrid w:val="0"/>
                <w:kern w:val="0"/>
                <w:sz w:val="18"/>
                <w:szCs w:val="18"/>
              </w:rPr>
              <w:t>8</w:t>
            </w:r>
            <w:r>
              <w:rPr>
                <w:rFonts w:hAnsi="宋体"/>
                <w:snapToGrid w:val="0"/>
                <w:kern w:val="0"/>
                <w:sz w:val="18"/>
                <w:szCs w:val="18"/>
              </w:rPr>
              <w:t>度</w:t>
            </w:r>
          </w:p>
        </w:tc>
        <w:tc>
          <w:tcPr>
            <w:tcW w:w="1358" w:type="dxa"/>
          </w:tcPr>
          <w:p>
            <w:pPr>
              <w:spacing w:line="360" w:lineRule="auto"/>
              <w:jc w:val="center"/>
              <w:rPr>
                <w:snapToGrid w:val="0"/>
                <w:kern w:val="0"/>
                <w:sz w:val="18"/>
                <w:szCs w:val="18"/>
              </w:rPr>
            </w:pPr>
            <w:r>
              <w:rPr>
                <w:snapToGrid w:val="0"/>
                <w:kern w:val="0"/>
                <w:sz w:val="18"/>
                <w:szCs w:val="18"/>
              </w:rPr>
              <w:t>9</w:t>
            </w:r>
            <w:r>
              <w:rPr>
                <w:rFonts w:hAnsi="宋体"/>
                <w:snapToGrid w:val="0"/>
                <w:kern w:val="0"/>
                <w:sz w:val="18"/>
                <w:szCs w:val="18"/>
              </w:rPr>
              <w:t>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tcPr>
          <w:p>
            <w:pPr>
              <w:spacing w:line="360" w:lineRule="auto"/>
              <w:jc w:val="center"/>
              <w:rPr>
                <w:snapToGrid w:val="0"/>
                <w:kern w:val="0"/>
                <w:sz w:val="18"/>
                <w:szCs w:val="18"/>
              </w:rPr>
            </w:pPr>
            <w:r>
              <w:rPr>
                <w:rFonts w:hAnsi="宋体"/>
                <w:snapToGrid w:val="0"/>
                <w:kern w:val="0"/>
                <w:sz w:val="18"/>
                <w:szCs w:val="18"/>
              </w:rPr>
              <w:t>人工合成地震波或实震记录</w:t>
            </w:r>
          </w:p>
        </w:tc>
        <w:tc>
          <w:tcPr>
            <w:tcW w:w="1569" w:type="dxa"/>
          </w:tcPr>
          <w:p>
            <w:pPr>
              <w:spacing w:line="360" w:lineRule="auto"/>
              <w:jc w:val="center"/>
              <w:rPr>
                <w:snapToGrid w:val="0"/>
                <w:kern w:val="0"/>
                <w:sz w:val="18"/>
                <w:szCs w:val="18"/>
              </w:rPr>
            </w:pPr>
            <w:r>
              <w:rPr>
                <w:snapToGrid w:val="0"/>
                <w:kern w:val="0"/>
                <w:sz w:val="18"/>
                <w:szCs w:val="18"/>
              </w:rPr>
              <w:t>0.25g</w:t>
            </w:r>
          </w:p>
        </w:tc>
        <w:tc>
          <w:tcPr>
            <w:tcW w:w="1358" w:type="dxa"/>
          </w:tcPr>
          <w:p>
            <w:pPr>
              <w:spacing w:line="360" w:lineRule="auto"/>
              <w:jc w:val="center"/>
              <w:rPr>
                <w:snapToGrid w:val="0"/>
                <w:kern w:val="0"/>
                <w:sz w:val="18"/>
                <w:szCs w:val="18"/>
              </w:rPr>
            </w:pPr>
            <w:r>
              <w:rPr>
                <w:snapToGrid w:val="0"/>
                <w:kern w:val="0"/>
                <w:sz w:val="18"/>
                <w:szCs w:val="18"/>
              </w:rPr>
              <w:t>0.5g</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tcPr>
          <w:p>
            <w:pPr>
              <w:spacing w:line="360" w:lineRule="auto"/>
              <w:jc w:val="center"/>
              <w:rPr>
                <w:snapToGrid w:val="0"/>
                <w:kern w:val="0"/>
                <w:sz w:val="18"/>
                <w:szCs w:val="18"/>
              </w:rPr>
            </w:pPr>
            <w:r>
              <w:rPr>
                <w:rFonts w:hAnsi="宋体"/>
                <w:snapToGrid w:val="0"/>
                <w:kern w:val="0"/>
                <w:sz w:val="18"/>
                <w:szCs w:val="18"/>
              </w:rPr>
              <w:t>正弦共振拍波</w:t>
            </w:r>
          </w:p>
        </w:tc>
        <w:tc>
          <w:tcPr>
            <w:tcW w:w="1569" w:type="dxa"/>
          </w:tcPr>
          <w:p>
            <w:pPr>
              <w:spacing w:line="360" w:lineRule="auto"/>
              <w:jc w:val="center"/>
              <w:rPr>
                <w:snapToGrid w:val="0"/>
                <w:kern w:val="0"/>
                <w:sz w:val="18"/>
                <w:szCs w:val="18"/>
              </w:rPr>
            </w:pPr>
            <w:r>
              <w:rPr>
                <w:snapToGrid w:val="0"/>
                <w:kern w:val="0"/>
                <w:sz w:val="18"/>
                <w:szCs w:val="18"/>
              </w:rPr>
              <w:t>0.15g</w:t>
            </w:r>
          </w:p>
        </w:tc>
        <w:tc>
          <w:tcPr>
            <w:tcW w:w="1358" w:type="dxa"/>
          </w:tcPr>
          <w:p>
            <w:pPr>
              <w:spacing w:line="360" w:lineRule="auto"/>
              <w:jc w:val="center"/>
              <w:rPr>
                <w:snapToGrid w:val="0"/>
                <w:kern w:val="0"/>
                <w:sz w:val="18"/>
                <w:szCs w:val="18"/>
              </w:rPr>
            </w:pPr>
            <w:r>
              <w:rPr>
                <w:snapToGrid w:val="0"/>
                <w:kern w:val="0"/>
                <w:sz w:val="18"/>
                <w:szCs w:val="18"/>
              </w:rPr>
              <w:t>0.3g</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528" w:type="dxa"/>
            <w:gridSpan w:val="3"/>
          </w:tcPr>
          <w:p>
            <w:pPr>
              <w:spacing w:line="360" w:lineRule="auto"/>
              <w:rPr>
                <w:snapToGrid w:val="0"/>
                <w:kern w:val="0"/>
                <w:sz w:val="18"/>
                <w:szCs w:val="18"/>
              </w:rPr>
            </w:pPr>
            <w:r>
              <w:rPr>
                <w:rFonts w:hAnsi="宋体"/>
                <w:snapToGrid w:val="0"/>
                <w:kern w:val="0"/>
                <w:sz w:val="18"/>
                <w:szCs w:val="18"/>
              </w:rPr>
              <w:t>注：</w:t>
            </w:r>
            <w:r>
              <w:rPr>
                <w:snapToGrid w:val="0"/>
                <w:kern w:val="0"/>
                <w:sz w:val="18"/>
                <w:szCs w:val="18"/>
              </w:rPr>
              <w:t>g</w:t>
            </w:r>
            <w:r>
              <w:rPr>
                <w:rFonts w:hAnsi="宋体"/>
                <w:snapToGrid w:val="0"/>
                <w:kern w:val="0"/>
                <w:sz w:val="18"/>
                <w:szCs w:val="18"/>
              </w:rPr>
              <w:t>为地心引力加速度，</w:t>
            </w:r>
            <w:r>
              <w:rPr>
                <w:snapToGrid w:val="0"/>
                <w:kern w:val="0"/>
                <w:sz w:val="18"/>
                <w:szCs w:val="18"/>
              </w:rPr>
              <w:t>g=9.8m/s</w:t>
            </w:r>
            <w:r>
              <w:rPr>
                <w:snapToGrid w:val="0"/>
                <w:kern w:val="0"/>
                <w:sz w:val="18"/>
                <w:szCs w:val="18"/>
                <w:vertAlign w:val="superscript"/>
              </w:rPr>
              <w:t>2</w:t>
            </w:r>
          </w:p>
        </w:tc>
      </w:tr>
    </w:tbl>
    <w:p>
      <w:pPr>
        <w:spacing w:line="360" w:lineRule="auto"/>
        <w:ind w:firstLine="420" w:firstLineChars="200"/>
        <w:rPr>
          <w:snapToGrid w:val="0"/>
          <w:kern w:val="0"/>
        </w:rPr>
      </w:pPr>
      <w:r>
        <w:rPr>
          <w:rFonts w:hint="eastAsia"/>
          <w:snapToGrid w:val="0"/>
          <w:kern w:val="0"/>
        </w:rPr>
        <w:t>试验方法按GB/T 13540进行。</w:t>
      </w:r>
    </w:p>
    <w:p>
      <w:pPr>
        <w:spacing w:line="360" w:lineRule="auto"/>
        <w:ind w:firstLine="420" w:firstLineChars="200"/>
      </w:pPr>
      <w:r>
        <w:rPr>
          <w:rFonts w:hint="eastAsia"/>
        </w:rPr>
        <w:t>厂家应提供耐受地震烈度的试验报告或计算报告。</w:t>
      </w:r>
    </w:p>
    <w:p>
      <w:pPr>
        <w:adjustRightInd w:val="0"/>
        <w:snapToGrid w:val="0"/>
        <w:spacing w:line="360" w:lineRule="auto"/>
      </w:pPr>
      <w:r>
        <w:rPr>
          <w:rFonts w:hint="eastAsia"/>
        </w:rPr>
        <w:t>4.1.6 污秽等级</w:t>
      </w:r>
    </w:p>
    <w:p>
      <w:pPr>
        <w:adjustRightInd w:val="0"/>
        <w:snapToGrid w:val="0"/>
        <w:spacing w:line="360" w:lineRule="auto"/>
        <w:ind w:firstLine="420" w:firstLineChars="200"/>
      </w:pPr>
      <w:r>
        <w:rPr>
          <w:rFonts w:hint="eastAsia"/>
        </w:rPr>
        <w:t>对于d级以下</w:t>
      </w:r>
      <w:r>
        <w:t>污</w:t>
      </w:r>
      <w:r>
        <w:rPr>
          <w:rFonts w:hint="eastAsia"/>
        </w:rPr>
        <w:t>秽等级的地区统一按d级防污选取设备的统一爬电比距。d级污秽地区及以上</w:t>
      </w:r>
      <w:r>
        <w:t>污</w:t>
      </w:r>
      <w:r>
        <w:rPr>
          <w:rFonts w:hint="eastAsia"/>
        </w:rPr>
        <w:t>秽等级的地区统一按e级防污选取设备的统一爬电比距。</w:t>
      </w:r>
      <w:r>
        <w:rPr>
          <w:rFonts w:hint="eastAsia" w:ascii="TimesNewRomanPSMT" w:hAnsi="TimesNewRomanPSMT"/>
          <w:sz w:val="22"/>
          <w:szCs w:val="22"/>
        </w:rPr>
        <w:t>d</w:t>
      </w:r>
      <w:r>
        <w:rPr>
          <w:rFonts w:ascii="宋体" w:hAnsi="宋体"/>
          <w:sz w:val="22"/>
          <w:szCs w:val="22"/>
        </w:rPr>
        <w:t xml:space="preserve">级设防的电气设备外绝缘统一爬电比距按不小于 </w:t>
      </w:r>
      <w:r>
        <w:rPr>
          <w:rFonts w:ascii="TimesNewRomanPSMT" w:hAnsi="TimesNewRomanPSMT"/>
          <w:sz w:val="22"/>
          <w:szCs w:val="22"/>
        </w:rPr>
        <w:t>43.3mm/kV</w:t>
      </w:r>
      <w:r>
        <w:rPr>
          <w:rFonts w:ascii="宋体" w:hAnsi="宋体"/>
          <w:sz w:val="22"/>
          <w:szCs w:val="22"/>
        </w:rPr>
        <w:t>（最高相电压）考虑，</w:t>
      </w:r>
      <w:r>
        <w:rPr>
          <w:rFonts w:ascii="TimesNewRomanPSMT" w:hAnsi="TimesNewRomanPSMT"/>
          <w:sz w:val="22"/>
          <w:szCs w:val="22"/>
        </w:rPr>
        <w:t xml:space="preserve">e </w:t>
      </w:r>
      <w:r>
        <w:rPr>
          <w:rFonts w:ascii="宋体" w:hAnsi="宋体"/>
          <w:sz w:val="22"/>
          <w:szCs w:val="22"/>
        </w:rPr>
        <w:t xml:space="preserve">级设防的电气设备外绝缘统一爬电比距按不小于 </w:t>
      </w:r>
      <w:r>
        <w:rPr>
          <w:rFonts w:ascii="TimesNewRomanPSMT" w:hAnsi="TimesNewRomanPSMT"/>
          <w:sz w:val="22"/>
          <w:szCs w:val="22"/>
        </w:rPr>
        <w:t>53.7mm/kV</w:t>
      </w:r>
      <w:r>
        <w:rPr>
          <w:rFonts w:ascii="宋体" w:hAnsi="宋体"/>
          <w:sz w:val="22"/>
          <w:szCs w:val="22"/>
        </w:rPr>
        <w:t>（最高相电压）考虑。</w:t>
      </w:r>
    </w:p>
    <w:p>
      <w:pPr>
        <w:adjustRightInd w:val="0"/>
        <w:snapToGrid w:val="0"/>
        <w:spacing w:line="360" w:lineRule="auto"/>
      </w:pPr>
      <w:r>
        <w:rPr>
          <w:rFonts w:hint="eastAsia"/>
        </w:rPr>
        <w:t>4.1.7 风速</w:t>
      </w:r>
    </w:p>
    <w:p>
      <w:pPr>
        <w:adjustRightInd w:val="0"/>
        <w:snapToGrid w:val="0"/>
        <w:spacing w:line="360" w:lineRule="auto"/>
        <w:ind w:firstLine="420" w:firstLineChars="200"/>
      </w:pPr>
      <w:r>
        <w:rPr>
          <w:snapToGrid w:val="0"/>
          <w:kern w:val="0"/>
        </w:rPr>
        <w:t>不超过34m/s（相应于圆柱表面上的700Pa）</w:t>
      </w:r>
      <w:r>
        <w:rPr>
          <w:rFonts w:hint="eastAsia"/>
        </w:rPr>
        <w:t xml:space="preserve">。 </w:t>
      </w:r>
    </w:p>
    <w:p>
      <w:pPr>
        <w:adjustRightInd w:val="0"/>
        <w:snapToGrid w:val="0"/>
        <w:spacing w:line="360" w:lineRule="auto"/>
      </w:pPr>
      <w:r>
        <w:rPr>
          <w:rFonts w:hint="eastAsia"/>
        </w:rPr>
        <w:t>4.1.8  覆冰厚度</w:t>
      </w:r>
    </w:p>
    <w:p>
      <w:pPr>
        <w:spacing w:line="360" w:lineRule="auto"/>
        <w:ind w:firstLine="420" w:firstLineChars="200"/>
      </w:pPr>
      <w:r>
        <w:rPr>
          <w:snapToGrid w:val="0"/>
          <w:kern w:val="0"/>
        </w:rPr>
        <w:t>不超过</w:t>
      </w:r>
      <w:r>
        <w:rPr>
          <w:rFonts w:hint="eastAsia"/>
          <w:snapToGrid w:val="0"/>
          <w:kern w:val="0"/>
        </w:rPr>
        <w:t>1</w:t>
      </w:r>
      <w:r>
        <w:rPr>
          <w:snapToGrid w:val="0"/>
          <w:kern w:val="0"/>
        </w:rPr>
        <w:t>0mm</w:t>
      </w:r>
      <w:r>
        <w:rPr>
          <w:rFonts w:hint="eastAsia"/>
        </w:rPr>
        <w:t>。</w:t>
      </w:r>
    </w:p>
    <w:p>
      <w:pPr>
        <w:adjustRightInd w:val="0"/>
        <w:snapToGrid w:val="0"/>
        <w:spacing w:line="360" w:lineRule="auto"/>
      </w:pPr>
      <w:bookmarkStart w:id="43" w:name="_Toc388566223"/>
      <w:bookmarkStart w:id="44" w:name="_Toc386156383"/>
      <w:bookmarkStart w:id="45" w:name="_Toc386042651"/>
      <w:bookmarkStart w:id="46" w:name="_Toc386042769"/>
      <w:bookmarkStart w:id="47" w:name="_Toc386154265"/>
      <w:bookmarkStart w:id="48" w:name="_Toc277597165"/>
      <w:r>
        <w:t>4.1.</w:t>
      </w:r>
      <w:r>
        <w:rPr>
          <w:rFonts w:hint="eastAsia"/>
        </w:rPr>
        <w:t>9</w:t>
      </w:r>
      <w:r>
        <w:t xml:space="preserve"> 降</w:t>
      </w:r>
      <w:r>
        <w:rPr>
          <w:rFonts w:hint="eastAsia"/>
        </w:rPr>
        <w:t>雨强度</w:t>
      </w:r>
      <w:bookmarkEnd w:id="43"/>
      <w:bookmarkEnd w:id="44"/>
      <w:bookmarkEnd w:id="45"/>
      <w:bookmarkEnd w:id="46"/>
      <w:bookmarkEnd w:id="47"/>
      <w:bookmarkEnd w:id="48"/>
    </w:p>
    <w:p>
      <w:pPr>
        <w:pStyle w:val="25"/>
      </w:pPr>
      <w:r>
        <w:rPr>
          <w:rFonts w:hint="eastAsia"/>
        </w:rPr>
        <w:t xml:space="preserve">    </w:t>
      </w:r>
      <w:r>
        <w:rPr>
          <w:rFonts w:hint="eastAsia"/>
          <w:snapToGrid w:val="0"/>
          <w:kern w:val="0"/>
        </w:rPr>
        <w:t>10mm/min。</w:t>
      </w:r>
    </w:p>
    <w:p>
      <w:pPr>
        <w:adjustRightInd w:val="0"/>
        <w:snapToGrid w:val="0"/>
        <w:spacing w:line="360" w:lineRule="auto"/>
      </w:pPr>
      <w:r>
        <w:rPr>
          <w:rFonts w:hint="eastAsia"/>
        </w:rPr>
        <w:t>4.1.10  安装方式：</w:t>
      </w:r>
      <w:r>
        <w:rPr>
          <w:rFonts w:hint="eastAsia"/>
          <w:lang w:val="en-US" w:eastAsia="zh-CN"/>
        </w:rPr>
        <w:t>直</w:t>
      </w:r>
      <w:bookmarkStart w:id="235" w:name="_GoBack"/>
      <w:r>
        <w:rPr>
          <w:rFonts w:hint="eastAsia"/>
          <w:highlight w:val="none"/>
          <w:lang w:val="en-US" w:eastAsia="zh-CN"/>
        </w:rPr>
        <w:t>立</w:t>
      </w:r>
      <w:r>
        <w:rPr>
          <w:rFonts w:hint="eastAsia"/>
          <w:highlight w:val="none"/>
        </w:rPr>
        <w:t>。</w:t>
      </w:r>
      <w:bookmarkEnd w:id="235"/>
    </w:p>
    <w:p>
      <w:pPr>
        <w:pStyle w:val="3"/>
        <w:numPr>
          <w:ilvl w:val="0"/>
          <w:numId w:val="0"/>
        </w:numPr>
        <w:adjustRightInd w:val="0"/>
        <w:snapToGrid w:val="0"/>
        <w:spacing w:line="360" w:lineRule="auto"/>
      </w:pPr>
      <w:bookmarkStart w:id="49" w:name="_Toc279695715"/>
      <w:bookmarkEnd w:id="49"/>
      <w:bookmarkStart w:id="50" w:name="_Toc278728920"/>
      <w:bookmarkEnd w:id="50"/>
      <w:bookmarkStart w:id="51" w:name="_Toc278728919"/>
      <w:bookmarkEnd w:id="51"/>
      <w:bookmarkStart w:id="52" w:name="_Toc278728921"/>
      <w:bookmarkEnd w:id="52"/>
      <w:bookmarkStart w:id="53" w:name="_Toc279695714"/>
      <w:bookmarkEnd w:id="53"/>
      <w:bookmarkStart w:id="54" w:name="_Toc279695716"/>
      <w:bookmarkEnd w:id="54"/>
      <w:bookmarkStart w:id="55" w:name="_Toc279695712"/>
      <w:bookmarkEnd w:id="55"/>
      <w:bookmarkStart w:id="56" w:name="_Toc279695713"/>
      <w:bookmarkEnd w:id="56"/>
      <w:bookmarkStart w:id="57" w:name="_Toc282993252"/>
      <w:bookmarkStart w:id="58" w:name="_Toc279695717"/>
      <w:bookmarkStart w:id="59" w:name="_Toc22386031"/>
      <w:bookmarkStart w:id="60" w:name="_Toc384340983"/>
      <w:r>
        <w:rPr>
          <w:rFonts w:hint="eastAsia" w:ascii="黑体" w:hAnsi="黑体"/>
        </w:rPr>
        <w:t>4.2特殊</w:t>
      </w:r>
      <w:r>
        <w:rPr>
          <w:rFonts w:hint="eastAsia"/>
        </w:rPr>
        <w:t>使用条件</w:t>
      </w:r>
      <w:bookmarkEnd w:id="57"/>
      <w:bookmarkEnd w:id="58"/>
      <w:bookmarkEnd w:id="59"/>
      <w:bookmarkEnd w:id="60"/>
    </w:p>
    <w:p>
      <w:pPr>
        <w:adjustRightInd w:val="0"/>
        <w:snapToGrid w:val="0"/>
        <w:spacing w:line="360" w:lineRule="auto"/>
        <w:ind w:firstLine="420" w:firstLineChars="200"/>
      </w:pPr>
      <w:r>
        <w:rPr>
          <w:rFonts w:hint="eastAsia"/>
        </w:rPr>
        <w:t>支柱</w:t>
      </w:r>
      <w:r>
        <w:t>绝缘子</w:t>
      </w:r>
      <w:r>
        <w:rPr>
          <w:rFonts w:hint="eastAsia"/>
        </w:rPr>
        <w:t>可以在不同于4.1中规定的正常使用条件下使用，这时用户的要求应当在下述特殊使用条件的规定选取。</w:t>
      </w:r>
    </w:p>
    <w:p>
      <w:pPr>
        <w:adjustRightInd w:val="0"/>
        <w:snapToGrid w:val="0"/>
        <w:spacing w:line="360" w:lineRule="auto"/>
        <w:ind w:firstLine="420" w:firstLineChars="200"/>
      </w:pPr>
      <w:r>
        <w:rPr>
          <w:rFonts w:hint="eastAsia"/>
        </w:rPr>
        <w:t>特殊使用条件按如下规定。</w:t>
      </w:r>
    </w:p>
    <w:p>
      <w:pPr>
        <w:adjustRightInd w:val="0"/>
        <w:snapToGrid w:val="0"/>
        <w:spacing w:line="360" w:lineRule="auto"/>
      </w:pPr>
      <w:bookmarkStart w:id="61" w:name="OLE_LINK2"/>
      <w:r>
        <w:rPr>
          <w:rFonts w:hint="eastAsia"/>
        </w:rPr>
        <w:t>4.2.1 湿热型环境条件</w:t>
      </w:r>
    </w:p>
    <w:p>
      <w:pPr>
        <w:adjustRightInd w:val="0"/>
        <w:snapToGrid w:val="0"/>
        <w:spacing w:line="360" w:lineRule="auto"/>
        <w:ind w:firstLine="420" w:firstLineChars="200"/>
      </w:pPr>
      <w:r>
        <w:t>最高温度</w:t>
      </w:r>
      <w:r>
        <w:rPr>
          <w:rFonts w:hint="eastAsia"/>
        </w:rPr>
        <w:t>：+55</w:t>
      </w:r>
      <w:r>
        <w:t>℃</w:t>
      </w:r>
      <w:r>
        <w:rPr>
          <w:rFonts w:hint="eastAsia"/>
        </w:rPr>
        <w:t>（户外）</w:t>
      </w:r>
    </w:p>
    <w:p>
      <w:pPr>
        <w:adjustRightInd w:val="0"/>
        <w:snapToGrid w:val="0"/>
        <w:spacing w:line="360" w:lineRule="auto"/>
        <w:ind w:firstLine="420" w:firstLineChars="200"/>
      </w:pPr>
      <w:r>
        <w:t>最</w:t>
      </w:r>
      <w:r>
        <w:rPr>
          <w:rFonts w:hint="eastAsia"/>
        </w:rPr>
        <w:t>低温度：-25</w:t>
      </w:r>
      <w:r>
        <w:t>℃</w:t>
      </w:r>
      <w:r>
        <w:rPr>
          <w:rFonts w:hint="eastAsia"/>
        </w:rPr>
        <w:t>（户外）</w:t>
      </w:r>
    </w:p>
    <w:bookmarkEnd w:id="61"/>
    <w:p>
      <w:pPr>
        <w:adjustRightInd w:val="0"/>
        <w:snapToGrid w:val="0"/>
        <w:spacing w:line="360" w:lineRule="auto"/>
      </w:pPr>
      <w:r>
        <w:rPr>
          <w:rFonts w:hint="eastAsia"/>
        </w:rPr>
        <w:t xml:space="preserve">4.2.2 海拔高度与外绝缘 </w:t>
      </w:r>
    </w:p>
    <w:p>
      <w:pPr>
        <w:adjustRightInd w:val="0"/>
        <w:snapToGrid w:val="0"/>
        <w:spacing w:line="360" w:lineRule="auto"/>
        <w:ind w:firstLine="420" w:firstLineChars="200"/>
      </w:pPr>
      <w:r>
        <w:rPr>
          <w:rFonts w:hint="eastAsia"/>
        </w:rPr>
        <w:t xml:space="preserve">海拔高度高于1000m时，工频耐受电压、雷电冲击耐受电压、操作冲击耐受电压按下列要求确定： </w:t>
      </w:r>
    </w:p>
    <w:p>
      <w:pPr>
        <w:adjustRightInd w:val="0"/>
        <w:snapToGrid w:val="0"/>
        <w:spacing w:line="360" w:lineRule="auto"/>
        <w:ind w:firstLine="420" w:firstLineChars="200"/>
        <w:jc w:val="center"/>
      </w:pPr>
      <w:r>
        <w:rPr>
          <w:rFonts w:hint="eastAsia"/>
        </w:rPr>
        <w:t>表1 海拔修正系数</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276"/>
        <w:gridCol w:w="2858"/>
        <w:gridCol w:w="2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526" w:type="dxa"/>
            <w:vMerge w:val="restart"/>
            <w:vAlign w:val="center"/>
          </w:tcPr>
          <w:p>
            <w:pPr>
              <w:spacing w:line="360" w:lineRule="auto"/>
              <w:jc w:val="center"/>
              <w:rPr>
                <w:snapToGrid w:val="0"/>
                <w:kern w:val="0"/>
                <w:sz w:val="18"/>
                <w:szCs w:val="18"/>
              </w:rPr>
            </w:pPr>
            <w:r>
              <w:rPr>
                <w:rFonts w:hAnsi="宋体"/>
                <w:snapToGrid w:val="0"/>
                <w:kern w:val="0"/>
                <w:sz w:val="18"/>
                <w:szCs w:val="18"/>
              </w:rPr>
              <w:t>海拔</w:t>
            </w:r>
            <w:r>
              <w:rPr>
                <w:snapToGrid w:val="0"/>
                <w:kern w:val="0"/>
                <w:sz w:val="18"/>
                <w:szCs w:val="18"/>
              </w:rPr>
              <w:t>(m)</w:t>
            </w:r>
          </w:p>
        </w:tc>
        <w:tc>
          <w:tcPr>
            <w:tcW w:w="1276" w:type="dxa"/>
            <w:vMerge w:val="restart"/>
            <w:vAlign w:val="center"/>
          </w:tcPr>
          <w:p>
            <w:pPr>
              <w:spacing w:line="360" w:lineRule="auto"/>
              <w:jc w:val="center"/>
              <w:rPr>
                <w:snapToGrid w:val="0"/>
                <w:kern w:val="0"/>
                <w:sz w:val="18"/>
                <w:szCs w:val="18"/>
              </w:rPr>
            </w:pPr>
            <w:r>
              <w:rPr>
                <w:rFonts w:hAnsi="宋体"/>
                <w:snapToGrid w:val="0"/>
                <w:kern w:val="0"/>
                <w:sz w:val="18"/>
                <w:szCs w:val="18"/>
              </w:rPr>
              <w:t>修正海拔</w:t>
            </w:r>
            <w:r>
              <w:rPr>
                <w:snapToGrid w:val="0"/>
                <w:kern w:val="0"/>
                <w:sz w:val="18"/>
                <w:szCs w:val="18"/>
              </w:rPr>
              <w:t>(m)</w:t>
            </w:r>
          </w:p>
        </w:tc>
        <w:tc>
          <w:tcPr>
            <w:tcW w:w="5716" w:type="dxa"/>
            <w:gridSpan w:val="2"/>
            <w:vAlign w:val="center"/>
          </w:tcPr>
          <w:p>
            <w:pPr>
              <w:spacing w:line="360" w:lineRule="auto"/>
              <w:jc w:val="center"/>
              <w:rPr>
                <w:snapToGrid w:val="0"/>
                <w:kern w:val="0"/>
                <w:sz w:val="18"/>
                <w:szCs w:val="18"/>
                <w:vertAlign w:val="superscript"/>
              </w:rPr>
            </w:pPr>
            <w:r>
              <w:rPr>
                <w:rFonts w:hAnsi="宋体"/>
                <w:snapToGrid w:val="0"/>
                <w:kern w:val="0"/>
                <w:sz w:val="18"/>
                <w:szCs w:val="18"/>
              </w:rPr>
              <w:t>修正系数</w:t>
            </w:r>
            <w:r>
              <w:rPr>
                <w:snapToGrid w:val="0"/>
                <w:kern w:val="0"/>
                <w:sz w:val="18"/>
                <w:szCs w:val="18"/>
              </w:rPr>
              <w:t>Ka</w:t>
            </w:r>
            <w:r>
              <w:rPr>
                <w:rFonts w:hint="eastAsia"/>
                <w:snapToGrid w:val="0"/>
                <w:kern w:val="0"/>
                <w:sz w:val="18"/>
                <w:szCs w:val="18"/>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Merge w:val="continue"/>
            <w:vAlign w:val="center"/>
          </w:tcPr>
          <w:p>
            <w:pPr>
              <w:spacing w:line="360" w:lineRule="auto"/>
              <w:jc w:val="center"/>
              <w:rPr>
                <w:snapToGrid w:val="0"/>
                <w:kern w:val="0"/>
                <w:sz w:val="18"/>
                <w:szCs w:val="18"/>
              </w:rPr>
            </w:pPr>
          </w:p>
        </w:tc>
        <w:tc>
          <w:tcPr>
            <w:tcW w:w="1276" w:type="dxa"/>
            <w:vMerge w:val="continue"/>
            <w:vAlign w:val="center"/>
          </w:tcPr>
          <w:p>
            <w:pPr>
              <w:spacing w:line="360" w:lineRule="auto"/>
              <w:jc w:val="center"/>
              <w:rPr>
                <w:snapToGrid w:val="0"/>
                <w:kern w:val="0"/>
                <w:sz w:val="18"/>
                <w:szCs w:val="18"/>
              </w:rPr>
            </w:pPr>
          </w:p>
        </w:tc>
        <w:tc>
          <w:tcPr>
            <w:tcW w:w="2858" w:type="dxa"/>
            <w:vAlign w:val="center"/>
          </w:tcPr>
          <w:p>
            <w:pPr>
              <w:spacing w:line="360" w:lineRule="auto"/>
              <w:jc w:val="center"/>
              <w:rPr>
                <w:snapToGrid w:val="0"/>
                <w:kern w:val="0"/>
                <w:sz w:val="18"/>
                <w:szCs w:val="18"/>
              </w:rPr>
            </w:pPr>
            <w:r>
              <w:rPr>
                <w:rFonts w:hAnsi="宋体"/>
                <w:snapToGrid w:val="0"/>
                <w:kern w:val="0"/>
                <w:sz w:val="18"/>
                <w:szCs w:val="18"/>
              </w:rPr>
              <w:t>工频、雷电冲击电压</w:t>
            </w:r>
          </w:p>
        </w:tc>
        <w:tc>
          <w:tcPr>
            <w:tcW w:w="2858" w:type="dxa"/>
            <w:vAlign w:val="center"/>
          </w:tcPr>
          <w:p>
            <w:pPr>
              <w:spacing w:line="360" w:lineRule="auto"/>
              <w:jc w:val="center"/>
              <w:rPr>
                <w:snapToGrid w:val="0"/>
                <w:kern w:val="0"/>
                <w:sz w:val="18"/>
                <w:szCs w:val="18"/>
              </w:rPr>
            </w:pPr>
            <w:r>
              <w:rPr>
                <w:rFonts w:hAnsi="宋体"/>
                <w:snapToGrid w:val="0"/>
                <w:kern w:val="0"/>
                <w:sz w:val="18"/>
                <w:szCs w:val="18"/>
              </w:rPr>
              <w:t>操作冲击电压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pPr>
              <w:spacing w:line="360" w:lineRule="auto"/>
              <w:jc w:val="center"/>
              <w:rPr>
                <w:snapToGrid w:val="0"/>
                <w:kern w:val="0"/>
                <w:sz w:val="18"/>
                <w:szCs w:val="18"/>
              </w:rPr>
            </w:pPr>
            <w:r>
              <w:rPr>
                <w:snapToGrid w:val="0"/>
                <w:kern w:val="0"/>
                <w:sz w:val="18"/>
                <w:szCs w:val="18"/>
              </w:rPr>
              <w:t>1000-2000</w:t>
            </w:r>
          </w:p>
        </w:tc>
        <w:tc>
          <w:tcPr>
            <w:tcW w:w="1276" w:type="dxa"/>
            <w:vAlign w:val="center"/>
          </w:tcPr>
          <w:p>
            <w:pPr>
              <w:spacing w:line="360" w:lineRule="auto"/>
              <w:jc w:val="center"/>
              <w:rPr>
                <w:snapToGrid w:val="0"/>
                <w:kern w:val="0"/>
                <w:sz w:val="18"/>
                <w:szCs w:val="18"/>
              </w:rPr>
            </w:pPr>
            <w:r>
              <w:rPr>
                <w:snapToGrid w:val="0"/>
                <w:kern w:val="0"/>
                <w:sz w:val="18"/>
                <w:szCs w:val="18"/>
              </w:rPr>
              <w:t>2000</w:t>
            </w:r>
          </w:p>
        </w:tc>
        <w:tc>
          <w:tcPr>
            <w:tcW w:w="2858" w:type="dxa"/>
            <w:vAlign w:val="center"/>
          </w:tcPr>
          <w:p>
            <w:pPr>
              <w:spacing w:line="360" w:lineRule="auto"/>
              <w:jc w:val="center"/>
              <w:rPr>
                <w:snapToGrid w:val="0"/>
                <w:kern w:val="0"/>
                <w:sz w:val="18"/>
                <w:szCs w:val="18"/>
              </w:rPr>
            </w:pPr>
            <w:r>
              <w:rPr>
                <w:snapToGrid w:val="0"/>
                <w:kern w:val="0"/>
                <w:sz w:val="18"/>
                <w:szCs w:val="18"/>
              </w:rPr>
              <w:t>1.13</w:t>
            </w:r>
          </w:p>
        </w:tc>
        <w:tc>
          <w:tcPr>
            <w:tcW w:w="2858" w:type="dxa"/>
            <w:vAlign w:val="center"/>
          </w:tcPr>
          <w:p>
            <w:pPr>
              <w:spacing w:line="360" w:lineRule="auto"/>
              <w:jc w:val="center"/>
              <w:rPr>
                <w:snapToGrid w:val="0"/>
                <w:kern w:val="0"/>
                <w:sz w:val="18"/>
                <w:szCs w:val="18"/>
              </w:rPr>
            </w:pPr>
            <w:r>
              <w:rPr>
                <w:snapToGrid w:val="0"/>
                <w:kern w:val="0"/>
                <w:sz w:val="18"/>
                <w:szCs w:val="18"/>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pPr>
              <w:spacing w:line="360" w:lineRule="auto"/>
              <w:jc w:val="center"/>
              <w:rPr>
                <w:snapToGrid w:val="0"/>
                <w:kern w:val="0"/>
                <w:sz w:val="18"/>
                <w:szCs w:val="18"/>
              </w:rPr>
            </w:pPr>
            <w:r>
              <w:rPr>
                <w:snapToGrid w:val="0"/>
                <w:kern w:val="0"/>
                <w:sz w:val="18"/>
                <w:szCs w:val="18"/>
              </w:rPr>
              <w:t>2000-2500</w:t>
            </w:r>
          </w:p>
        </w:tc>
        <w:tc>
          <w:tcPr>
            <w:tcW w:w="1276" w:type="dxa"/>
            <w:vAlign w:val="center"/>
          </w:tcPr>
          <w:p>
            <w:pPr>
              <w:spacing w:line="360" w:lineRule="auto"/>
              <w:jc w:val="center"/>
              <w:rPr>
                <w:snapToGrid w:val="0"/>
                <w:kern w:val="0"/>
                <w:sz w:val="18"/>
                <w:szCs w:val="18"/>
              </w:rPr>
            </w:pPr>
            <w:r>
              <w:rPr>
                <w:snapToGrid w:val="0"/>
                <w:kern w:val="0"/>
                <w:sz w:val="18"/>
                <w:szCs w:val="18"/>
              </w:rPr>
              <w:t>2500</w:t>
            </w:r>
          </w:p>
        </w:tc>
        <w:tc>
          <w:tcPr>
            <w:tcW w:w="2858" w:type="dxa"/>
            <w:vAlign w:val="center"/>
          </w:tcPr>
          <w:p>
            <w:pPr>
              <w:spacing w:line="360" w:lineRule="auto"/>
              <w:jc w:val="center"/>
              <w:rPr>
                <w:snapToGrid w:val="0"/>
                <w:kern w:val="0"/>
                <w:sz w:val="18"/>
                <w:szCs w:val="18"/>
              </w:rPr>
            </w:pPr>
            <w:r>
              <w:rPr>
                <w:snapToGrid w:val="0"/>
                <w:kern w:val="0"/>
                <w:sz w:val="18"/>
                <w:szCs w:val="18"/>
              </w:rPr>
              <w:t>1.20</w:t>
            </w:r>
          </w:p>
        </w:tc>
        <w:tc>
          <w:tcPr>
            <w:tcW w:w="2858" w:type="dxa"/>
            <w:vAlign w:val="center"/>
          </w:tcPr>
          <w:p>
            <w:pPr>
              <w:spacing w:line="360" w:lineRule="auto"/>
              <w:jc w:val="center"/>
              <w:rPr>
                <w:snapToGrid w:val="0"/>
                <w:kern w:val="0"/>
                <w:sz w:val="18"/>
                <w:szCs w:val="18"/>
              </w:rPr>
            </w:pPr>
            <w:r>
              <w:rPr>
                <w:snapToGrid w:val="0"/>
                <w:kern w:val="0"/>
                <w:sz w:val="18"/>
                <w:szCs w:val="18"/>
              </w:rP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pPr>
              <w:spacing w:line="360" w:lineRule="auto"/>
              <w:jc w:val="center"/>
              <w:rPr>
                <w:snapToGrid w:val="0"/>
                <w:kern w:val="0"/>
                <w:sz w:val="18"/>
                <w:szCs w:val="18"/>
              </w:rPr>
            </w:pPr>
            <w:r>
              <w:rPr>
                <w:snapToGrid w:val="0"/>
                <w:kern w:val="0"/>
                <w:sz w:val="18"/>
                <w:szCs w:val="18"/>
              </w:rPr>
              <w:t>2500-3000</w:t>
            </w:r>
          </w:p>
        </w:tc>
        <w:tc>
          <w:tcPr>
            <w:tcW w:w="1276" w:type="dxa"/>
            <w:vAlign w:val="center"/>
          </w:tcPr>
          <w:p>
            <w:pPr>
              <w:spacing w:line="360" w:lineRule="auto"/>
              <w:jc w:val="center"/>
              <w:rPr>
                <w:snapToGrid w:val="0"/>
                <w:kern w:val="0"/>
                <w:sz w:val="18"/>
                <w:szCs w:val="18"/>
              </w:rPr>
            </w:pPr>
            <w:r>
              <w:rPr>
                <w:snapToGrid w:val="0"/>
                <w:kern w:val="0"/>
                <w:sz w:val="18"/>
                <w:szCs w:val="18"/>
              </w:rPr>
              <w:t>3000</w:t>
            </w:r>
          </w:p>
        </w:tc>
        <w:tc>
          <w:tcPr>
            <w:tcW w:w="2858" w:type="dxa"/>
            <w:vAlign w:val="center"/>
          </w:tcPr>
          <w:p>
            <w:pPr>
              <w:spacing w:line="360" w:lineRule="auto"/>
              <w:jc w:val="center"/>
              <w:rPr>
                <w:snapToGrid w:val="0"/>
                <w:kern w:val="0"/>
                <w:sz w:val="18"/>
                <w:szCs w:val="18"/>
              </w:rPr>
            </w:pPr>
            <w:r>
              <w:rPr>
                <w:snapToGrid w:val="0"/>
                <w:kern w:val="0"/>
                <w:sz w:val="18"/>
                <w:szCs w:val="18"/>
              </w:rPr>
              <w:t>1.28</w:t>
            </w:r>
          </w:p>
        </w:tc>
        <w:tc>
          <w:tcPr>
            <w:tcW w:w="2858" w:type="dxa"/>
            <w:vAlign w:val="center"/>
          </w:tcPr>
          <w:p>
            <w:pPr>
              <w:spacing w:line="360" w:lineRule="auto"/>
              <w:jc w:val="center"/>
              <w:rPr>
                <w:snapToGrid w:val="0"/>
                <w:kern w:val="0"/>
                <w:sz w:val="18"/>
                <w:szCs w:val="18"/>
              </w:rPr>
            </w:pPr>
            <w:r>
              <w:rPr>
                <w:snapToGrid w:val="0"/>
                <w:kern w:val="0"/>
                <w:sz w:val="18"/>
                <w:szCs w:val="18"/>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pPr>
              <w:spacing w:line="360" w:lineRule="auto"/>
              <w:jc w:val="center"/>
              <w:rPr>
                <w:snapToGrid w:val="0"/>
                <w:kern w:val="0"/>
                <w:sz w:val="18"/>
                <w:szCs w:val="18"/>
              </w:rPr>
            </w:pPr>
            <w:r>
              <w:rPr>
                <w:rFonts w:hAnsi="宋体"/>
                <w:snapToGrid w:val="0"/>
                <w:kern w:val="0"/>
                <w:sz w:val="18"/>
                <w:szCs w:val="18"/>
              </w:rPr>
              <w:t>＞</w:t>
            </w:r>
            <w:r>
              <w:rPr>
                <w:snapToGrid w:val="0"/>
                <w:kern w:val="0"/>
                <w:sz w:val="18"/>
                <w:szCs w:val="18"/>
              </w:rPr>
              <w:t>3000</w:t>
            </w:r>
          </w:p>
        </w:tc>
        <w:tc>
          <w:tcPr>
            <w:tcW w:w="6992" w:type="dxa"/>
            <w:gridSpan w:val="3"/>
            <w:vAlign w:val="center"/>
          </w:tcPr>
          <w:p>
            <w:pPr>
              <w:spacing w:line="360" w:lineRule="auto"/>
              <w:jc w:val="center"/>
              <w:rPr>
                <w:snapToGrid w:val="0"/>
                <w:kern w:val="0"/>
                <w:sz w:val="18"/>
                <w:szCs w:val="18"/>
              </w:rPr>
            </w:pPr>
            <w:r>
              <w:rPr>
                <w:rFonts w:hAnsi="宋体"/>
                <w:snapToGrid w:val="0"/>
                <w:kern w:val="0"/>
                <w:sz w:val="18"/>
                <w:szCs w:val="18"/>
              </w:rPr>
              <w:t>考虑实际运行地点的环境，经专题研究后确定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18" w:type="dxa"/>
            <w:gridSpan w:val="4"/>
            <w:vAlign w:val="center"/>
          </w:tcPr>
          <w:p>
            <w:pPr>
              <w:spacing w:line="360" w:lineRule="auto"/>
              <w:rPr>
                <w:snapToGrid w:val="0"/>
                <w:kern w:val="0"/>
                <w:sz w:val="18"/>
                <w:szCs w:val="18"/>
              </w:rPr>
            </w:pPr>
            <w:r>
              <w:rPr>
                <w:snapToGrid w:val="0"/>
                <w:kern w:val="0"/>
                <w:sz w:val="18"/>
                <w:szCs w:val="18"/>
              </w:rPr>
              <w:t>a</w:t>
            </w:r>
            <w:r>
              <w:rPr>
                <w:rFonts w:hAnsi="宋体"/>
                <w:snapToGrid w:val="0"/>
                <w:kern w:val="0"/>
                <w:sz w:val="18"/>
                <w:szCs w:val="18"/>
              </w:rPr>
              <w:t>：海拔修正系数</w:t>
            </w:r>
            <w:r>
              <w:rPr>
                <w:snapToGrid w:val="0"/>
                <w:kern w:val="0"/>
                <w:sz w:val="18"/>
                <w:szCs w:val="18"/>
              </w:rPr>
              <w:t xml:space="preserve">Ka </w:t>
            </w:r>
            <w:r>
              <w:rPr>
                <w:rFonts w:hAnsi="宋体"/>
                <w:snapToGrid w:val="0"/>
                <w:kern w:val="0"/>
                <w:sz w:val="18"/>
                <w:szCs w:val="18"/>
              </w:rPr>
              <w:t>按照下式计算</w:t>
            </w:r>
            <w:r>
              <w:rPr>
                <w:position w:val="-14"/>
              </w:rPr>
              <w:object>
                <v:shape id="_x0000_i1025" o:spt="75" type="#_x0000_t75" style="height:17.25pt;width:85.3pt;" o:ole="t" filled="f" o:preferrelative="t" stroked="f" coordsize="21600,21600">
                  <v:path/>
                  <v:fill on="f" focussize="0,0"/>
                  <v:stroke on="f" joinstyle="miter"/>
                  <v:imagedata r:id="rId12" o:title=""/>
                  <o:lock v:ext="edit" aspectratio="t"/>
                  <w10:wrap type="none"/>
                  <w10:anchorlock/>
                </v:shape>
                <o:OLEObject Type="Embed" ProgID="Equation.DSMT4" ShapeID="_x0000_i1025" DrawAspect="Content" ObjectID="_1468075725" r:id="rId11">
                  <o:LockedField>false</o:LockedField>
                </o:OLEObject>
              </w:object>
            </w:r>
          </w:p>
          <w:p>
            <w:pPr>
              <w:spacing w:line="360" w:lineRule="auto"/>
              <w:ind w:firstLine="360" w:firstLineChars="200"/>
              <w:rPr>
                <w:snapToGrid w:val="0"/>
                <w:kern w:val="0"/>
                <w:sz w:val="18"/>
                <w:szCs w:val="18"/>
              </w:rPr>
            </w:pPr>
            <w:r>
              <w:rPr>
                <w:rFonts w:hAnsi="宋体"/>
                <w:snapToGrid w:val="0"/>
                <w:kern w:val="0"/>
                <w:sz w:val="18"/>
                <w:szCs w:val="18"/>
              </w:rPr>
              <w:t>式中：</w:t>
            </w:r>
            <w:r>
              <w:rPr>
                <w:snapToGrid w:val="0"/>
                <w:kern w:val="0"/>
                <w:sz w:val="18"/>
                <w:szCs w:val="18"/>
              </w:rPr>
              <w:t>H</w:t>
            </w:r>
            <w:r>
              <w:rPr>
                <w:rFonts w:hAnsi="宋体"/>
                <w:snapToGrid w:val="0"/>
                <w:kern w:val="0"/>
                <w:sz w:val="18"/>
                <w:szCs w:val="18"/>
              </w:rPr>
              <w:t>－海拔；</w:t>
            </w:r>
            <w:r>
              <w:rPr>
                <w:snapToGrid w:val="0"/>
                <w:kern w:val="0"/>
                <w:sz w:val="18"/>
                <w:szCs w:val="18"/>
              </w:rPr>
              <w:t xml:space="preserve">m </w:t>
            </w:r>
            <w:r>
              <w:rPr>
                <w:rFonts w:hAnsi="宋体"/>
                <w:snapToGrid w:val="0"/>
                <w:kern w:val="0"/>
                <w:sz w:val="18"/>
                <w:szCs w:val="18"/>
              </w:rPr>
              <w:t>取下述确定值：对于工频、雷电冲击和相间操作冲击电压，</w:t>
            </w:r>
            <w:r>
              <w:rPr>
                <w:snapToGrid w:val="0"/>
                <w:kern w:val="0"/>
                <w:sz w:val="18"/>
                <w:szCs w:val="18"/>
              </w:rPr>
              <w:t>m=1</w:t>
            </w:r>
            <w:r>
              <w:rPr>
                <w:rFonts w:hAnsi="宋体"/>
                <w:snapToGrid w:val="0"/>
                <w:kern w:val="0"/>
                <w:sz w:val="18"/>
                <w:szCs w:val="18"/>
              </w:rPr>
              <w:t>；对于纵绝</w:t>
            </w:r>
          </w:p>
          <w:p>
            <w:pPr>
              <w:spacing w:line="360" w:lineRule="auto"/>
              <w:ind w:firstLine="360" w:firstLineChars="200"/>
              <w:rPr>
                <w:snapToGrid w:val="0"/>
                <w:kern w:val="0"/>
                <w:sz w:val="18"/>
                <w:szCs w:val="18"/>
              </w:rPr>
            </w:pPr>
            <w:r>
              <w:rPr>
                <w:rFonts w:hAnsi="宋体"/>
                <w:snapToGrid w:val="0"/>
                <w:kern w:val="0"/>
                <w:sz w:val="18"/>
                <w:szCs w:val="18"/>
              </w:rPr>
              <w:t>缘操作冲击电压，</w:t>
            </w:r>
            <w:r>
              <w:rPr>
                <w:snapToGrid w:val="0"/>
                <w:kern w:val="0"/>
                <w:sz w:val="18"/>
                <w:szCs w:val="18"/>
              </w:rPr>
              <w:t>m=0.9</w:t>
            </w:r>
            <w:r>
              <w:rPr>
                <w:rFonts w:hAnsi="宋体"/>
                <w:snapToGrid w:val="0"/>
                <w:kern w:val="0"/>
                <w:sz w:val="18"/>
                <w:szCs w:val="18"/>
              </w:rPr>
              <w:t>；对于相对地操作冲击电压，</w:t>
            </w:r>
            <w:r>
              <w:rPr>
                <w:snapToGrid w:val="0"/>
                <w:kern w:val="0"/>
                <w:sz w:val="18"/>
                <w:szCs w:val="18"/>
              </w:rPr>
              <w:t>m=0.75</w:t>
            </w:r>
            <w:r>
              <w:rPr>
                <w:rFonts w:hAnsi="宋体"/>
                <w:snapToGrid w:val="0"/>
                <w:kern w:val="0"/>
                <w:sz w:val="18"/>
                <w:szCs w:val="18"/>
              </w:rPr>
              <w:t>。</w:t>
            </w:r>
          </w:p>
        </w:tc>
      </w:tr>
    </w:tbl>
    <w:p>
      <w:pPr>
        <w:adjustRightInd w:val="0"/>
        <w:snapToGrid w:val="0"/>
        <w:spacing w:line="360" w:lineRule="auto"/>
      </w:pPr>
      <w:r>
        <w:rPr>
          <w:rFonts w:hint="eastAsia"/>
        </w:rPr>
        <w:t>4.2.3 污秽等级</w:t>
      </w:r>
    </w:p>
    <w:p>
      <w:pPr>
        <w:adjustRightInd w:val="0"/>
        <w:snapToGrid w:val="0"/>
        <w:spacing w:line="360" w:lineRule="auto"/>
        <w:ind w:firstLine="420" w:firstLineChars="200"/>
        <w:rPr>
          <w:szCs w:val="21"/>
        </w:rPr>
      </w:pPr>
      <w:r>
        <w:rPr>
          <w:rFonts w:hint="eastAsia"/>
          <w:szCs w:val="21"/>
        </w:rPr>
        <w:t>严重污秽地区，考虑到未来调整爬距困难，统一爬电比距可取更高值，如</w:t>
      </w:r>
      <w:r>
        <w:rPr>
          <w:szCs w:val="21"/>
        </w:rPr>
        <w:t>60mm/kV</w:t>
      </w:r>
      <w:r>
        <w:rPr>
          <w:rFonts w:hint="eastAsia"/>
          <w:szCs w:val="21"/>
        </w:rPr>
        <w:t>。</w:t>
      </w:r>
    </w:p>
    <w:p>
      <w:pPr>
        <w:adjustRightInd w:val="0"/>
        <w:snapToGrid w:val="0"/>
        <w:spacing w:line="360" w:lineRule="auto"/>
      </w:pPr>
      <w:r>
        <w:rPr>
          <w:rFonts w:hint="eastAsia"/>
        </w:rPr>
        <w:t>4.2.4 覆冰厚度</w:t>
      </w:r>
    </w:p>
    <w:p>
      <w:pPr>
        <w:spacing w:line="360" w:lineRule="auto"/>
        <w:ind w:firstLine="420" w:firstLineChars="200"/>
      </w:pPr>
      <w:r>
        <w:rPr>
          <w:snapToGrid w:val="0"/>
          <w:kern w:val="0"/>
        </w:rPr>
        <w:t>覆冰</w:t>
      </w:r>
      <w:r>
        <w:rPr>
          <w:rFonts w:hint="eastAsia"/>
          <w:snapToGrid w:val="0"/>
          <w:kern w:val="0"/>
        </w:rPr>
        <w:t>厚度按2</w:t>
      </w:r>
      <w:r>
        <w:rPr>
          <w:snapToGrid w:val="0"/>
          <w:kern w:val="0"/>
        </w:rPr>
        <w:t>0mm</w:t>
      </w:r>
      <w:r>
        <w:rPr>
          <w:rFonts w:hint="eastAsia"/>
          <w:snapToGrid w:val="0"/>
          <w:kern w:val="0"/>
        </w:rPr>
        <w:t>设计，超过20mm由招标方和投标方协商</w:t>
      </w:r>
      <w:r>
        <w:t>。</w:t>
      </w:r>
    </w:p>
    <w:p>
      <w:pPr>
        <w:pStyle w:val="2"/>
        <w:numPr>
          <w:ilvl w:val="0"/>
          <w:numId w:val="0"/>
        </w:numPr>
        <w:rPr>
          <w:rFonts w:ascii="黑体" w:hAnsi="黑体" w:eastAsia="黑体"/>
          <w:b/>
          <w:sz w:val="21"/>
          <w:szCs w:val="21"/>
        </w:rPr>
      </w:pPr>
      <w:bookmarkStart w:id="62" w:name="_Toc22386032"/>
      <w:bookmarkStart w:id="63" w:name="_Toc384340984"/>
      <w:bookmarkStart w:id="64" w:name="_Toc282993253"/>
      <w:r>
        <w:rPr>
          <w:rFonts w:hint="eastAsia" w:ascii="黑体" w:hAnsi="黑体" w:eastAsia="黑体"/>
          <w:b/>
          <w:sz w:val="21"/>
          <w:szCs w:val="21"/>
        </w:rPr>
        <w:t>5 技术要求</w:t>
      </w:r>
      <w:bookmarkEnd w:id="62"/>
      <w:bookmarkEnd w:id="63"/>
      <w:bookmarkEnd w:id="64"/>
    </w:p>
    <w:p>
      <w:pPr>
        <w:pStyle w:val="3"/>
        <w:numPr>
          <w:ilvl w:val="0"/>
          <w:numId w:val="0"/>
        </w:numPr>
        <w:adjustRightInd w:val="0"/>
        <w:snapToGrid w:val="0"/>
        <w:spacing w:line="360" w:lineRule="auto"/>
      </w:pPr>
      <w:bookmarkStart w:id="65" w:name="_Toc22386033"/>
      <w:bookmarkStart w:id="66" w:name="_Toc276490903"/>
      <w:bookmarkStart w:id="67" w:name="_Toc276492375"/>
      <w:bookmarkStart w:id="68" w:name="_Toc279695719"/>
      <w:bookmarkStart w:id="69" w:name="_Toc384340985"/>
      <w:bookmarkStart w:id="70" w:name="_Toc282993254"/>
      <w:r>
        <w:rPr>
          <w:rFonts w:hint="eastAsia" w:ascii="黑体" w:hAnsi="黑体"/>
        </w:rPr>
        <w:t>5.1</w:t>
      </w:r>
      <w:r>
        <w:rPr>
          <w:rFonts w:hint="eastAsia"/>
        </w:rPr>
        <w:t>尺寸特性</w:t>
      </w:r>
      <w:bookmarkEnd w:id="65"/>
    </w:p>
    <w:p>
      <w:pPr>
        <w:spacing w:line="360" w:lineRule="auto"/>
        <w:ind w:firstLine="420" w:firstLineChars="200"/>
      </w:pPr>
      <w:r>
        <w:rPr>
          <w:rFonts w:hint="eastAsia"/>
        </w:rPr>
        <w:t>支柱绝缘子的尺寸特性应满足GB/T 8287.1、GB/T 8287.2的要求，如供需双方另有更高要求的协议，按高要求进行。尺寸特性规定如下：</w:t>
      </w:r>
    </w:p>
    <w:p>
      <w:pPr>
        <w:numPr>
          <w:ilvl w:val="0"/>
          <w:numId w:val="19"/>
        </w:numPr>
        <w:spacing w:line="360" w:lineRule="auto"/>
      </w:pPr>
      <w:r>
        <w:rPr>
          <w:rFonts w:hint="eastAsia"/>
        </w:rPr>
        <w:t>总高度；</w:t>
      </w:r>
    </w:p>
    <w:p>
      <w:pPr>
        <w:numPr>
          <w:ilvl w:val="0"/>
          <w:numId w:val="19"/>
        </w:numPr>
        <w:spacing w:line="360" w:lineRule="auto"/>
      </w:pPr>
      <w:r>
        <w:rPr>
          <w:rFonts w:hint="eastAsia"/>
        </w:rPr>
        <w:t>绝缘子的最大公称直径；</w:t>
      </w:r>
    </w:p>
    <w:p>
      <w:pPr>
        <w:numPr>
          <w:ilvl w:val="0"/>
          <w:numId w:val="19"/>
        </w:numPr>
        <w:spacing w:line="360" w:lineRule="auto"/>
      </w:pPr>
      <w:r>
        <w:rPr>
          <w:rFonts w:hint="eastAsia"/>
        </w:rPr>
        <w:t>最小公称爬电距离；</w:t>
      </w:r>
    </w:p>
    <w:p>
      <w:pPr>
        <w:numPr>
          <w:ilvl w:val="0"/>
          <w:numId w:val="19"/>
        </w:numPr>
        <w:spacing w:line="360" w:lineRule="auto"/>
      </w:pPr>
      <w:r>
        <w:rPr>
          <w:rFonts w:hint="eastAsia"/>
        </w:rPr>
        <w:t>安装结构；</w:t>
      </w:r>
    </w:p>
    <w:p>
      <w:pPr>
        <w:numPr>
          <w:ilvl w:val="0"/>
          <w:numId w:val="19"/>
        </w:numPr>
        <w:spacing w:line="360" w:lineRule="auto"/>
      </w:pPr>
      <w:r>
        <w:rPr>
          <w:rFonts w:hint="eastAsia"/>
        </w:rPr>
        <w:t>公差。</w:t>
      </w:r>
    </w:p>
    <w:p>
      <w:pPr>
        <w:pStyle w:val="3"/>
        <w:numPr>
          <w:ilvl w:val="0"/>
          <w:numId w:val="0"/>
        </w:numPr>
        <w:adjustRightInd w:val="0"/>
        <w:snapToGrid w:val="0"/>
        <w:spacing w:line="360" w:lineRule="auto"/>
        <w:rPr>
          <w:rFonts w:ascii="黑体" w:hAnsi="黑体"/>
        </w:rPr>
      </w:pPr>
      <w:bookmarkStart w:id="71" w:name="_Toc22386034"/>
      <w:r>
        <w:rPr>
          <w:rFonts w:hint="eastAsia" w:ascii="黑体" w:hAnsi="黑体"/>
        </w:rPr>
        <w:t>5.2技术参数</w:t>
      </w:r>
      <w:bookmarkEnd w:id="66"/>
      <w:bookmarkEnd w:id="67"/>
      <w:bookmarkEnd w:id="68"/>
      <w:bookmarkEnd w:id="69"/>
      <w:bookmarkEnd w:id="70"/>
      <w:bookmarkEnd w:id="71"/>
    </w:p>
    <w:p>
      <w:pPr>
        <w:spacing w:line="360" w:lineRule="auto"/>
        <w:rPr>
          <w:rFonts w:ascii="黑体" w:hAnsi="黑体"/>
        </w:rPr>
      </w:pPr>
      <w:bookmarkStart w:id="72" w:name="_Toc491875134"/>
      <w:r>
        <w:rPr>
          <w:rFonts w:hint="eastAsia" w:ascii="黑体" w:hAnsi="黑体"/>
        </w:rPr>
        <w:t>5</w:t>
      </w:r>
      <w:r>
        <w:rPr>
          <w:rFonts w:ascii="黑体" w:hAnsi="黑体"/>
        </w:rPr>
        <w:t>.</w:t>
      </w:r>
      <w:r>
        <w:rPr>
          <w:rFonts w:hint="eastAsia" w:ascii="黑体" w:hAnsi="黑体"/>
        </w:rPr>
        <w:t>2</w:t>
      </w:r>
      <w:r>
        <w:rPr>
          <w:rFonts w:ascii="黑体" w:hAnsi="黑体"/>
        </w:rPr>
        <w:t xml:space="preserve">.1 </w:t>
      </w:r>
      <w:r>
        <w:rPr>
          <w:rFonts w:hint="eastAsia" w:ascii="黑体" w:hAnsi="黑体"/>
        </w:rPr>
        <w:t>瓷</w:t>
      </w:r>
      <w:r>
        <w:rPr>
          <w:rFonts w:ascii="黑体" w:hAnsi="黑体"/>
        </w:rPr>
        <w:t>件</w:t>
      </w:r>
      <w:bookmarkEnd w:id="72"/>
    </w:p>
    <w:p>
      <w:pPr>
        <w:spacing w:line="360" w:lineRule="auto"/>
        <w:ind w:firstLine="420" w:firstLineChars="200"/>
      </w:pPr>
      <w:r>
        <w:rPr>
          <w:rFonts w:hint="eastAsia"/>
        </w:rPr>
        <w:t>1）支柱绝缘子的瓷件均应是实心的铝质瓷，当绝缘子弯曲强度≥30kNm时，应采用C130高强度铝质瓷。瓷材料的性能应符合GB/T 8411.1和GB/T 8411.3的规定，胶装部位采用上砂结构。</w:t>
      </w:r>
    </w:p>
    <w:p>
      <w:pPr>
        <w:adjustRightInd w:val="0"/>
        <w:snapToGrid w:val="0"/>
        <w:spacing w:line="360" w:lineRule="auto"/>
        <w:ind w:firstLine="420" w:firstLineChars="200"/>
      </w:pPr>
      <w:r>
        <w:rPr>
          <w:rFonts w:hint="eastAsia"/>
        </w:rPr>
        <w:t>2）支柱</w:t>
      </w:r>
      <w:r>
        <w:t>绝缘子的伞裙应为不等径的大小伞，伞型设计应符合</w:t>
      </w:r>
      <w:r>
        <w:rPr>
          <w:rStyle w:val="89"/>
          <w:rFonts w:hint="eastAsia"/>
          <w:i w:val="0"/>
          <w:szCs w:val="21"/>
        </w:rPr>
        <w:t>GB/T 26218</w:t>
      </w:r>
      <w:r>
        <w:t>的要求，两裙伸出之差（P1-P2）</w:t>
      </w:r>
      <w:r>
        <w:rPr>
          <w:rFonts w:hint="eastAsia"/>
        </w:rPr>
        <w:t>≥</w:t>
      </w:r>
      <w:r>
        <w:t>15mm，相邻裙间高（S）与裙伸出长度（P1）之比应大于0.9。应有良好的抗污秽能力和运行特性，其有效爬电距离应考虑伞裙直径的影响。</w:t>
      </w:r>
    </w:p>
    <w:p>
      <w:pPr>
        <w:tabs>
          <w:tab w:val="left" w:pos="2202"/>
        </w:tabs>
        <w:adjustRightInd w:val="0"/>
        <w:snapToGrid w:val="0"/>
        <w:spacing w:line="360" w:lineRule="auto"/>
        <w:ind w:firstLine="420" w:firstLineChars="200"/>
      </w:pPr>
      <w:r>
        <w:t>3</w:t>
      </w:r>
      <w:r>
        <w:rPr>
          <w:rFonts w:hint="eastAsia"/>
        </w:rPr>
        <w:t>）绝缘子的未胶装法兰的瓷件满足打击试验要求。</w:t>
      </w:r>
    </w:p>
    <w:p>
      <w:pPr>
        <w:tabs>
          <w:tab w:val="left" w:pos="2202"/>
        </w:tabs>
        <w:adjustRightInd w:val="0"/>
        <w:snapToGrid w:val="0"/>
        <w:spacing w:line="360" w:lineRule="auto"/>
        <w:ind w:firstLine="420" w:firstLineChars="200"/>
      </w:pPr>
      <w:r>
        <w:t>4</w:t>
      </w:r>
      <w:r>
        <w:rPr>
          <w:rFonts w:hint="eastAsia"/>
        </w:rPr>
        <w:t>）</w:t>
      </w:r>
      <w:r>
        <w:t>绝缘子的瓷件按</w:t>
      </w:r>
      <w:r>
        <w:rPr>
          <w:rFonts w:hint="eastAsia"/>
        </w:rPr>
        <w:t>JB/T 9674的</w:t>
      </w:r>
      <w:r>
        <w:t>规定逐个进行超声波探伤检测。</w:t>
      </w:r>
    </w:p>
    <w:p>
      <w:pPr>
        <w:adjustRightInd w:val="0"/>
        <w:snapToGrid w:val="0"/>
        <w:spacing w:line="360" w:lineRule="auto"/>
        <w:ind w:firstLine="420" w:firstLineChars="200"/>
      </w:pPr>
      <w:r>
        <w:rPr>
          <w:rFonts w:hint="eastAsia"/>
        </w:rPr>
        <w:t>5) 釉面</w:t>
      </w:r>
      <w:r>
        <w:t>的外观质量符合</w:t>
      </w:r>
      <w:r>
        <w:rPr>
          <w:rFonts w:hint="eastAsia"/>
        </w:rPr>
        <w:t>DL</w:t>
      </w:r>
      <w:r>
        <w:t>/</w:t>
      </w:r>
      <w:r>
        <w:rPr>
          <w:rFonts w:hint="eastAsia"/>
        </w:rPr>
        <w:t>T 2452-</w:t>
      </w:r>
      <w:r>
        <w:t>2021</w:t>
      </w:r>
      <w:r>
        <w:rPr>
          <w:rFonts w:hint="eastAsia"/>
        </w:rPr>
        <w:t>中4</w:t>
      </w:r>
      <w:r>
        <w:t>.3</w:t>
      </w:r>
      <w:r>
        <w:rPr>
          <w:rFonts w:hint="eastAsia"/>
        </w:rPr>
        <w:t>.</w:t>
      </w:r>
      <w:r>
        <w:t>1</w:t>
      </w:r>
      <w:r>
        <w:rPr>
          <w:rFonts w:hint="eastAsia"/>
        </w:rPr>
        <w:t>的</w:t>
      </w:r>
      <w:r>
        <w:t>要求。在</w:t>
      </w:r>
      <w:r>
        <w:rPr>
          <w:rFonts w:hint="eastAsia"/>
        </w:rPr>
        <w:t>正常</w:t>
      </w:r>
      <w:r>
        <w:t>的使用</w:t>
      </w:r>
      <w:r>
        <w:rPr>
          <w:rFonts w:hint="eastAsia"/>
        </w:rPr>
        <w:t>条件</w:t>
      </w:r>
      <w:r>
        <w:t>下不产生裂纹和</w:t>
      </w:r>
      <w:r>
        <w:rPr>
          <w:rFonts w:hint="eastAsia"/>
        </w:rPr>
        <w:t>碎</w:t>
      </w:r>
      <w:r>
        <w:t>裂，也不因温度的突变、环境中的臭氧、酸、碱和灰尘等受影响。</w:t>
      </w:r>
    </w:p>
    <w:p>
      <w:pPr>
        <w:tabs>
          <w:tab w:val="left" w:pos="2202"/>
        </w:tabs>
        <w:adjustRightInd w:val="0"/>
        <w:snapToGrid w:val="0"/>
        <w:spacing w:line="360" w:lineRule="auto"/>
      </w:pPr>
      <w:r>
        <w:t>5.</w:t>
      </w:r>
      <w:r>
        <w:rPr>
          <w:rFonts w:hint="eastAsia"/>
        </w:rPr>
        <w:t>2</w:t>
      </w:r>
      <w:r>
        <w:t xml:space="preserve">.2  </w:t>
      </w:r>
      <w:r>
        <w:rPr>
          <w:rFonts w:hint="eastAsia"/>
        </w:rPr>
        <w:t>水泥</w:t>
      </w:r>
      <w:r>
        <w:t>胶合剂</w:t>
      </w:r>
    </w:p>
    <w:p>
      <w:pPr>
        <w:tabs>
          <w:tab w:val="left" w:pos="2202"/>
        </w:tabs>
        <w:adjustRightInd w:val="0"/>
        <w:snapToGrid w:val="0"/>
        <w:spacing w:line="360" w:lineRule="auto"/>
        <w:ind w:firstLine="420" w:firstLineChars="200"/>
      </w:pPr>
      <w:r>
        <w:rPr>
          <w:rFonts w:hint="eastAsia"/>
        </w:rPr>
        <w:t>绝缘子</w:t>
      </w:r>
      <w:r>
        <w:t>使用</w:t>
      </w:r>
      <w:r>
        <w:rPr>
          <w:rFonts w:hint="eastAsia"/>
        </w:rPr>
        <w:t>JB/</w:t>
      </w:r>
      <w:r>
        <w:t>T 4307</w:t>
      </w:r>
      <w:r>
        <w:rPr>
          <w:rFonts w:hint="eastAsia"/>
        </w:rPr>
        <w:t>规定</w:t>
      </w:r>
      <w:r>
        <w:t>的</w:t>
      </w:r>
      <w:r>
        <w:rPr>
          <w:rFonts w:hint="eastAsia"/>
        </w:rPr>
        <w:t>42</w:t>
      </w:r>
      <w:r>
        <w:t>.5R</w:t>
      </w:r>
      <w:r>
        <w:rPr>
          <w:rFonts w:hint="eastAsia"/>
        </w:rPr>
        <w:t>强度</w:t>
      </w:r>
      <w:r>
        <w:t>等级及以上的硅酸盐水泥，或特制的高</w:t>
      </w:r>
      <w:r>
        <w:rPr>
          <w:rFonts w:hint="eastAsia"/>
        </w:rPr>
        <w:t>强度</w:t>
      </w:r>
      <w:r>
        <w:t>低膨胀水泥配置成的胶合剂进行胶</w:t>
      </w:r>
      <w:r>
        <w:rPr>
          <w:rFonts w:hint="eastAsia"/>
        </w:rPr>
        <w:t>装</w:t>
      </w:r>
      <w:r>
        <w:t>。</w:t>
      </w:r>
    </w:p>
    <w:p>
      <w:pPr>
        <w:tabs>
          <w:tab w:val="left" w:pos="2202"/>
        </w:tabs>
        <w:adjustRightInd w:val="0"/>
        <w:snapToGrid w:val="0"/>
        <w:spacing w:line="360" w:lineRule="auto"/>
        <w:ind w:firstLine="420" w:firstLineChars="200"/>
      </w:pPr>
      <w:r>
        <w:t>水泥</w:t>
      </w:r>
      <w:r>
        <w:rPr>
          <w:rFonts w:hint="eastAsia"/>
        </w:rPr>
        <w:t>胶合剂</w:t>
      </w:r>
      <w:r>
        <w:t>满足</w:t>
      </w:r>
      <w:r>
        <w:rPr>
          <w:rFonts w:hint="eastAsia"/>
        </w:rPr>
        <w:t>JB/T 4307的</w:t>
      </w:r>
      <w:r>
        <w:t>要求，</w:t>
      </w:r>
      <w:r>
        <w:rPr>
          <w:rFonts w:hint="eastAsia"/>
        </w:rPr>
        <w:t>其</w:t>
      </w:r>
      <w:r>
        <w:t>压膨胀率小于</w:t>
      </w:r>
      <w:r>
        <w:rPr>
          <w:rFonts w:hint="eastAsia"/>
        </w:rPr>
        <w:t>0</w:t>
      </w:r>
      <w:r>
        <w:t>.1%。</w:t>
      </w:r>
      <w:r>
        <w:rPr>
          <w:rFonts w:hint="eastAsia"/>
        </w:rPr>
        <w:t>水泥</w:t>
      </w:r>
      <w:r>
        <w:t>不引起金属</w:t>
      </w:r>
      <w:r>
        <w:rPr>
          <w:rFonts w:hint="eastAsia"/>
        </w:rPr>
        <w:t>部件</w:t>
      </w:r>
      <w:r>
        <w:t>的化学反应。</w:t>
      </w:r>
    </w:p>
    <w:p>
      <w:pPr>
        <w:tabs>
          <w:tab w:val="left" w:pos="2202"/>
        </w:tabs>
        <w:adjustRightInd w:val="0"/>
        <w:snapToGrid w:val="0"/>
        <w:spacing w:line="360" w:lineRule="auto"/>
        <w:ind w:firstLine="420" w:firstLineChars="200"/>
      </w:pPr>
      <w:r>
        <w:t>绝缘件和附件与水泥胶合剂表面接触部分均匀涂覆的沥青缓冲层</w:t>
      </w:r>
      <w:r>
        <w:rPr>
          <w:rFonts w:hint="eastAsia"/>
        </w:rPr>
        <w:t>，</w:t>
      </w:r>
      <w:r>
        <w:t>其沥青应符合</w:t>
      </w:r>
      <w:r>
        <w:rPr>
          <w:rFonts w:hint="eastAsia"/>
        </w:rPr>
        <w:t>GB/T 494的规定。</w:t>
      </w:r>
    </w:p>
    <w:p>
      <w:pPr>
        <w:autoSpaceDE w:val="0"/>
        <w:autoSpaceDN w:val="0"/>
        <w:adjustRightInd w:val="0"/>
        <w:spacing w:line="360" w:lineRule="auto"/>
        <w:ind w:firstLine="420" w:firstLineChars="200"/>
        <w:jc w:val="left"/>
      </w:pPr>
      <w:r>
        <w:t>绝缘子金属附件采用上砂水泥胶装，胶装处胶合剂外露表面应平整，无水泥残渣</w:t>
      </w:r>
      <w:r>
        <w:rPr>
          <w:rFonts w:hint="eastAsia"/>
        </w:rPr>
        <w:t>、</w:t>
      </w:r>
      <w:r>
        <w:t>露缝</w:t>
      </w:r>
      <w:r>
        <w:rPr>
          <w:rFonts w:hint="eastAsia"/>
        </w:rPr>
        <w:t>、</w:t>
      </w:r>
      <w:r>
        <w:t>裂纹等缺陷，胶装后露砂高度10～20mm，且不得小于10mm，胶装处应均匀涂以防水密封胶。</w:t>
      </w:r>
    </w:p>
    <w:p>
      <w:pPr>
        <w:tabs>
          <w:tab w:val="left" w:pos="2202"/>
        </w:tabs>
        <w:adjustRightInd w:val="0"/>
        <w:snapToGrid w:val="0"/>
        <w:spacing w:line="360" w:lineRule="auto"/>
      </w:pPr>
      <w:r>
        <w:rPr>
          <w:rFonts w:hint="eastAsia"/>
        </w:rPr>
        <w:t>5.2.</w:t>
      </w:r>
      <w:r>
        <w:t>3</w:t>
      </w:r>
      <w:r>
        <w:rPr>
          <w:rFonts w:hint="eastAsia"/>
        </w:rPr>
        <w:t xml:space="preserve"> 金属附件</w:t>
      </w:r>
    </w:p>
    <w:p>
      <w:pPr>
        <w:tabs>
          <w:tab w:val="left" w:pos="2202"/>
        </w:tabs>
        <w:adjustRightInd w:val="0"/>
        <w:snapToGrid w:val="0"/>
        <w:spacing w:line="360" w:lineRule="auto"/>
        <w:ind w:firstLine="420" w:firstLineChars="200"/>
      </w:pPr>
      <w:r>
        <w:rPr>
          <w:rFonts w:hint="eastAsia"/>
        </w:rPr>
        <w:t>金属附件应满足JB/T 5891的规定。</w:t>
      </w:r>
    </w:p>
    <w:p>
      <w:pPr>
        <w:pStyle w:val="3"/>
        <w:numPr>
          <w:ilvl w:val="0"/>
          <w:numId w:val="0"/>
        </w:numPr>
        <w:adjustRightInd w:val="0"/>
        <w:snapToGrid w:val="0"/>
        <w:spacing w:line="360" w:lineRule="auto"/>
        <w:rPr>
          <w:rFonts w:ascii="黑体" w:hAnsi="黑体"/>
        </w:rPr>
      </w:pPr>
      <w:bookmarkStart w:id="73" w:name="_Toc22386035"/>
      <w:r>
        <w:rPr>
          <w:rFonts w:hint="eastAsia" w:ascii="黑体" w:hAnsi="黑体"/>
        </w:rPr>
        <w:t>5.3 标准特性</w:t>
      </w:r>
      <w:bookmarkEnd w:id="73"/>
    </w:p>
    <w:p>
      <w:pPr>
        <w:jc w:val="center"/>
      </w:pPr>
      <w:r>
        <w:rPr>
          <w:rFonts w:hint="eastAsia"/>
        </w:rPr>
        <w:t>表2 支柱绝缘子标准特性</w:t>
      </w:r>
    </w:p>
    <w:tbl>
      <w:tblPr>
        <w:tblStyle w:val="83"/>
        <w:tblW w:w="8721" w:type="dxa"/>
        <w:tblInd w:w="97" w:type="dxa"/>
        <w:tblLayout w:type="fixed"/>
        <w:tblCellMar>
          <w:top w:w="0" w:type="dxa"/>
          <w:left w:w="108" w:type="dxa"/>
          <w:bottom w:w="0" w:type="dxa"/>
          <w:right w:w="108" w:type="dxa"/>
        </w:tblCellMar>
      </w:tblPr>
      <w:tblGrid>
        <w:gridCol w:w="770"/>
        <w:gridCol w:w="801"/>
        <w:gridCol w:w="1021"/>
        <w:gridCol w:w="821"/>
        <w:gridCol w:w="738"/>
        <w:gridCol w:w="709"/>
        <w:gridCol w:w="708"/>
        <w:gridCol w:w="851"/>
        <w:gridCol w:w="1134"/>
        <w:gridCol w:w="1168"/>
      </w:tblGrid>
      <w:tr>
        <w:tblPrEx>
          <w:tblCellMar>
            <w:top w:w="0" w:type="dxa"/>
            <w:left w:w="108" w:type="dxa"/>
            <w:bottom w:w="0" w:type="dxa"/>
            <w:right w:w="108" w:type="dxa"/>
          </w:tblCellMar>
        </w:tblPrEx>
        <w:trPr>
          <w:trHeight w:val="695" w:hRule="atLeast"/>
        </w:trPr>
        <w:tc>
          <w:tcPr>
            <w:tcW w:w="77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型号</w:t>
            </w:r>
          </w:p>
        </w:tc>
        <w:tc>
          <w:tcPr>
            <w:tcW w:w="80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雷电冲击耐受电压/kV</w:t>
            </w:r>
          </w:p>
        </w:tc>
        <w:tc>
          <w:tcPr>
            <w:tcW w:w="102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湿耐受电压/kV</w:t>
            </w:r>
          </w:p>
        </w:tc>
        <w:tc>
          <w:tcPr>
            <w:tcW w:w="82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高度h/mm</w:t>
            </w:r>
          </w:p>
        </w:tc>
        <w:tc>
          <w:tcPr>
            <w:tcW w:w="738"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最小公称爬电距离/mm</w:t>
            </w:r>
          </w:p>
        </w:tc>
        <w:tc>
          <w:tcPr>
            <w:tcW w:w="70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绝缘件最大公称直径D/mm</w:t>
            </w:r>
          </w:p>
        </w:tc>
        <w:tc>
          <w:tcPr>
            <w:tcW w:w="1559"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机械破坏负荷</w:t>
            </w:r>
          </w:p>
        </w:tc>
        <w:tc>
          <w:tcPr>
            <w:tcW w:w="113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顶部金属附件安装孔中心圆直径/mm</w:t>
            </w:r>
          </w:p>
        </w:tc>
        <w:tc>
          <w:tcPr>
            <w:tcW w:w="1168"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底部金属附件安装孔中心圆直径/mm</w:t>
            </w:r>
          </w:p>
        </w:tc>
      </w:tr>
      <w:tr>
        <w:tblPrEx>
          <w:tblCellMar>
            <w:top w:w="0" w:type="dxa"/>
            <w:left w:w="108" w:type="dxa"/>
            <w:bottom w:w="0" w:type="dxa"/>
            <w:right w:w="108" w:type="dxa"/>
          </w:tblCellMar>
        </w:tblPrEx>
        <w:trPr>
          <w:trHeight w:val="672" w:hRule="atLeast"/>
        </w:trPr>
        <w:tc>
          <w:tcPr>
            <w:tcW w:w="77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102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82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738"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70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弯曲P0/kN</w:t>
            </w:r>
          </w:p>
        </w:tc>
        <w:tc>
          <w:tcPr>
            <w:tcW w:w="85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扭转/（kN.m)</w:t>
            </w: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c>
          <w:tcPr>
            <w:tcW w:w="1168"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p>
        </w:tc>
      </w:tr>
      <w:tr>
        <w:tblPrEx>
          <w:tblCellMar>
            <w:top w:w="0" w:type="dxa"/>
            <w:left w:w="108" w:type="dxa"/>
            <w:bottom w:w="0" w:type="dxa"/>
            <w:right w:w="108" w:type="dxa"/>
          </w:tblCellMar>
        </w:tblPrEx>
        <w:trPr>
          <w:trHeight w:val="576" w:hRule="atLeast"/>
        </w:trPr>
        <w:tc>
          <w:tcPr>
            <w:tcW w:w="7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C8-450</w:t>
            </w:r>
          </w:p>
        </w:tc>
        <w:tc>
          <w:tcPr>
            <w:tcW w:w="80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450</w:t>
            </w:r>
          </w:p>
        </w:tc>
        <w:tc>
          <w:tcPr>
            <w:tcW w:w="10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工频230</w:t>
            </w:r>
          </w:p>
        </w:tc>
        <w:tc>
          <w:tcPr>
            <w:tcW w:w="8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1220±1</w:t>
            </w:r>
          </w:p>
        </w:tc>
        <w:tc>
          <w:tcPr>
            <w:tcW w:w="73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：3150；</w:t>
            </w:r>
          </w:p>
          <w:p>
            <w:pPr>
              <w:widowControl/>
              <w:jc w:val="center"/>
              <w:rPr>
                <w:rFonts w:ascii="宋体" w:hAnsi="宋体" w:cs="宋体"/>
                <w:kern w:val="0"/>
                <w:sz w:val="18"/>
                <w:szCs w:val="18"/>
              </w:rPr>
            </w:pPr>
            <w:r>
              <w:rPr>
                <w:rFonts w:hint="eastAsia" w:ascii="宋体" w:hAnsi="宋体" w:cs="宋体"/>
                <w:kern w:val="0"/>
                <w:sz w:val="18"/>
                <w:szCs w:val="18"/>
              </w:rPr>
              <w:t>e级：3910</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300</w:t>
            </w:r>
          </w:p>
        </w:tc>
        <w:tc>
          <w:tcPr>
            <w:tcW w:w="70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w:t>
            </w:r>
          </w:p>
        </w:tc>
        <w:tc>
          <w:tcPr>
            <w:tcW w:w="85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6</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127</w:t>
            </w:r>
          </w:p>
        </w:tc>
        <w:tc>
          <w:tcPr>
            <w:tcW w:w="116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127；</w:t>
            </w:r>
          </w:p>
          <w:p>
            <w:pPr>
              <w:widowControl/>
              <w:jc w:val="center"/>
              <w:rPr>
                <w:rFonts w:ascii="宋体" w:hAnsi="宋体" w:cs="宋体"/>
                <w:kern w:val="0"/>
                <w:sz w:val="18"/>
                <w:szCs w:val="18"/>
              </w:rPr>
            </w:pPr>
            <w:r>
              <w:rPr>
                <w:rFonts w:hint="eastAsia" w:ascii="宋体" w:hAnsi="宋体" w:cs="宋体"/>
                <w:kern w:val="0"/>
                <w:sz w:val="18"/>
                <w:szCs w:val="18"/>
              </w:rPr>
              <w:t>200</w:t>
            </w:r>
          </w:p>
        </w:tc>
      </w:tr>
      <w:tr>
        <w:tblPrEx>
          <w:tblCellMar>
            <w:top w:w="0" w:type="dxa"/>
            <w:left w:w="108" w:type="dxa"/>
            <w:bottom w:w="0" w:type="dxa"/>
            <w:right w:w="108" w:type="dxa"/>
          </w:tblCellMar>
        </w:tblPrEx>
        <w:trPr>
          <w:trHeight w:val="576" w:hRule="atLeast"/>
        </w:trPr>
        <w:tc>
          <w:tcPr>
            <w:tcW w:w="77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C8-950</w:t>
            </w:r>
          </w:p>
        </w:tc>
        <w:tc>
          <w:tcPr>
            <w:tcW w:w="80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950</w:t>
            </w:r>
          </w:p>
        </w:tc>
        <w:tc>
          <w:tcPr>
            <w:tcW w:w="10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工频395</w:t>
            </w:r>
          </w:p>
        </w:tc>
        <w:tc>
          <w:tcPr>
            <w:tcW w:w="8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2300±3.5</w:t>
            </w:r>
          </w:p>
        </w:tc>
        <w:tc>
          <w:tcPr>
            <w:tcW w:w="73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：6300；</w:t>
            </w:r>
          </w:p>
          <w:p>
            <w:pPr>
              <w:widowControl/>
              <w:jc w:val="center"/>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级</w:t>
            </w:r>
            <w:r>
              <w:rPr>
                <w:rFonts w:hint="eastAsia" w:ascii="宋体" w:hAnsi="宋体" w:cs="宋体"/>
                <w:kern w:val="0"/>
                <w:sz w:val="18"/>
                <w:szCs w:val="18"/>
              </w:rPr>
              <w:t>：7820</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450</w:t>
            </w:r>
          </w:p>
        </w:tc>
        <w:tc>
          <w:tcPr>
            <w:tcW w:w="70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w:t>
            </w:r>
          </w:p>
        </w:tc>
        <w:tc>
          <w:tcPr>
            <w:tcW w:w="85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6</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127；</w:t>
            </w:r>
          </w:p>
          <w:p>
            <w:pPr>
              <w:widowControl/>
              <w:jc w:val="center"/>
              <w:rPr>
                <w:rFonts w:ascii="宋体" w:hAnsi="宋体" w:cs="宋体"/>
                <w:kern w:val="0"/>
                <w:sz w:val="18"/>
                <w:szCs w:val="18"/>
              </w:rPr>
            </w:pPr>
            <w:r>
              <w:rPr>
                <w:rFonts w:hint="eastAsia" w:ascii="宋体" w:hAnsi="宋体" w:cs="宋体"/>
                <w:kern w:val="0"/>
                <w:sz w:val="18"/>
                <w:szCs w:val="18"/>
              </w:rPr>
              <w:t>225</w:t>
            </w:r>
          </w:p>
        </w:tc>
        <w:tc>
          <w:tcPr>
            <w:tcW w:w="116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254</w:t>
            </w:r>
          </w:p>
        </w:tc>
      </w:tr>
      <w:tr>
        <w:tblPrEx>
          <w:tblCellMar>
            <w:top w:w="0" w:type="dxa"/>
            <w:left w:w="108" w:type="dxa"/>
            <w:bottom w:w="0" w:type="dxa"/>
            <w:right w:w="108" w:type="dxa"/>
          </w:tblCellMar>
        </w:tblPrEx>
        <w:trPr>
          <w:trHeight w:val="576" w:hRule="atLeast"/>
        </w:trPr>
        <w:tc>
          <w:tcPr>
            <w:tcW w:w="77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C12.5-950</w:t>
            </w:r>
          </w:p>
        </w:tc>
        <w:tc>
          <w:tcPr>
            <w:tcW w:w="80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950</w:t>
            </w:r>
          </w:p>
        </w:tc>
        <w:tc>
          <w:tcPr>
            <w:tcW w:w="10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工频395</w:t>
            </w:r>
          </w:p>
        </w:tc>
        <w:tc>
          <w:tcPr>
            <w:tcW w:w="8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2300±3.5</w:t>
            </w:r>
          </w:p>
        </w:tc>
        <w:tc>
          <w:tcPr>
            <w:tcW w:w="73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：6300；</w:t>
            </w:r>
          </w:p>
          <w:p>
            <w:pPr>
              <w:widowControl/>
              <w:jc w:val="center"/>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级</w:t>
            </w:r>
            <w:r>
              <w:rPr>
                <w:rFonts w:hint="eastAsia" w:ascii="宋体" w:hAnsi="宋体" w:cs="宋体"/>
                <w:kern w:val="0"/>
                <w:sz w:val="18"/>
                <w:szCs w:val="18"/>
              </w:rPr>
              <w:t>：7820</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450</w:t>
            </w:r>
          </w:p>
        </w:tc>
        <w:tc>
          <w:tcPr>
            <w:tcW w:w="70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12.5</w:t>
            </w:r>
          </w:p>
        </w:tc>
        <w:tc>
          <w:tcPr>
            <w:tcW w:w="85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127；</w:t>
            </w:r>
          </w:p>
          <w:p>
            <w:pPr>
              <w:widowControl/>
              <w:jc w:val="center"/>
              <w:rPr>
                <w:rFonts w:ascii="宋体" w:hAnsi="宋体" w:cs="宋体"/>
                <w:kern w:val="0"/>
                <w:sz w:val="18"/>
                <w:szCs w:val="18"/>
              </w:rPr>
            </w:pPr>
            <w:r>
              <w:rPr>
                <w:rFonts w:hint="eastAsia" w:ascii="宋体" w:hAnsi="宋体" w:cs="宋体"/>
                <w:kern w:val="0"/>
                <w:sz w:val="18"/>
                <w:szCs w:val="18"/>
              </w:rPr>
              <w:t>225；</w:t>
            </w:r>
          </w:p>
          <w:p>
            <w:pPr>
              <w:widowControl/>
              <w:jc w:val="center"/>
              <w:rPr>
                <w:rFonts w:ascii="宋体" w:hAnsi="宋体" w:cs="宋体"/>
                <w:kern w:val="0"/>
                <w:sz w:val="18"/>
                <w:szCs w:val="18"/>
              </w:rPr>
            </w:pPr>
            <w:r>
              <w:rPr>
                <w:rFonts w:hint="eastAsia" w:ascii="宋体" w:hAnsi="宋体" w:cs="宋体"/>
                <w:kern w:val="0"/>
                <w:sz w:val="18"/>
                <w:szCs w:val="18"/>
              </w:rPr>
              <w:t>254</w:t>
            </w:r>
          </w:p>
        </w:tc>
        <w:tc>
          <w:tcPr>
            <w:tcW w:w="116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275</w:t>
            </w:r>
          </w:p>
        </w:tc>
      </w:tr>
      <w:tr>
        <w:tblPrEx>
          <w:tblCellMar>
            <w:top w:w="0" w:type="dxa"/>
            <w:left w:w="108" w:type="dxa"/>
            <w:bottom w:w="0" w:type="dxa"/>
            <w:right w:w="108" w:type="dxa"/>
          </w:tblCellMar>
        </w:tblPrEx>
        <w:trPr>
          <w:trHeight w:val="576" w:hRule="atLeast"/>
        </w:trPr>
        <w:tc>
          <w:tcPr>
            <w:tcW w:w="77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C12.5-1675</w:t>
            </w:r>
          </w:p>
        </w:tc>
        <w:tc>
          <w:tcPr>
            <w:tcW w:w="80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1675</w:t>
            </w:r>
          </w:p>
        </w:tc>
        <w:tc>
          <w:tcPr>
            <w:tcW w:w="10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操作冲击1050</w:t>
            </w:r>
          </w:p>
        </w:tc>
        <w:tc>
          <w:tcPr>
            <w:tcW w:w="82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4700±5.5</w:t>
            </w:r>
          </w:p>
        </w:tc>
        <w:tc>
          <w:tcPr>
            <w:tcW w:w="73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：13750；</w:t>
            </w:r>
          </w:p>
          <w:p>
            <w:pPr>
              <w:widowControl/>
              <w:jc w:val="center"/>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级</w:t>
            </w:r>
            <w:r>
              <w:rPr>
                <w:rFonts w:hint="eastAsia" w:ascii="宋体" w:hAnsi="宋体" w:cs="宋体"/>
                <w:kern w:val="0"/>
                <w:sz w:val="18"/>
                <w:szCs w:val="18"/>
              </w:rPr>
              <w:t>：17050</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450</w:t>
            </w:r>
          </w:p>
        </w:tc>
        <w:tc>
          <w:tcPr>
            <w:tcW w:w="70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12.5</w:t>
            </w:r>
          </w:p>
        </w:tc>
        <w:tc>
          <w:tcPr>
            <w:tcW w:w="851"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225；</w:t>
            </w:r>
          </w:p>
          <w:p>
            <w:pPr>
              <w:widowControl/>
              <w:jc w:val="center"/>
              <w:rPr>
                <w:rFonts w:ascii="宋体" w:hAnsi="宋体" w:cs="宋体"/>
                <w:kern w:val="0"/>
                <w:sz w:val="18"/>
                <w:szCs w:val="18"/>
              </w:rPr>
            </w:pPr>
            <w:r>
              <w:rPr>
                <w:rFonts w:hint="eastAsia" w:ascii="宋体" w:hAnsi="宋体" w:cs="宋体"/>
                <w:kern w:val="0"/>
                <w:sz w:val="18"/>
                <w:szCs w:val="18"/>
              </w:rPr>
              <w:t>254</w:t>
            </w:r>
          </w:p>
        </w:tc>
        <w:tc>
          <w:tcPr>
            <w:tcW w:w="1168"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356</w:t>
            </w:r>
          </w:p>
        </w:tc>
      </w:tr>
    </w:tbl>
    <w:p>
      <w:pPr>
        <w:pStyle w:val="3"/>
        <w:numPr>
          <w:ilvl w:val="0"/>
          <w:numId w:val="0"/>
        </w:numPr>
        <w:adjustRightInd w:val="0"/>
        <w:snapToGrid w:val="0"/>
        <w:spacing w:line="360" w:lineRule="auto"/>
        <w:rPr>
          <w:rFonts w:ascii="黑体" w:hAnsi="黑体"/>
        </w:rPr>
      </w:pPr>
      <w:bookmarkStart w:id="74" w:name="_Toc22386036"/>
      <w:r>
        <w:rPr>
          <w:rFonts w:hint="eastAsia" w:ascii="黑体" w:hAnsi="黑体"/>
        </w:rPr>
        <w:t>5.4 质量追溯</w:t>
      </w:r>
      <w:bookmarkEnd w:id="74"/>
    </w:p>
    <w:p>
      <w:pPr>
        <w:tabs>
          <w:tab w:val="left" w:pos="2202"/>
        </w:tabs>
        <w:adjustRightInd w:val="0"/>
        <w:snapToGrid w:val="0"/>
        <w:spacing w:line="360" w:lineRule="auto"/>
        <w:ind w:firstLine="420" w:firstLineChars="200"/>
      </w:pPr>
      <w:r>
        <w:rPr>
          <w:rFonts w:hint="eastAsia"/>
        </w:rPr>
        <w:t>产品制造过程中的重要环节应有详细记录，便于质量过程可追溯。</w:t>
      </w:r>
    </w:p>
    <w:p>
      <w:pPr>
        <w:pStyle w:val="3"/>
        <w:numPr>
          <w:ilvl w:val="0"/>
          <w:numId w:val="0"/>
        </w:numPr>
        <w:spacing w:line="360" w:lineRule="auto"/>
      </w:pPr>
      <w:bookmarkStart w:id="75" w:name="_Toc22386037"/>
      <w:r>
        <w:rPr>
          <w:rFonts w:hint="eastAsia"/>
        </w:rPr>
        <w:t>5.5 关于对检修的要求</w:t>
      </w:r>
      <w:bookmarkEnd w:id="75"/>
    </w:p>
    <w:p>
      <w:pPr>
        <w:spacing w:line="360" w:lineRule="auto"/>
      </w:pPr>
      <w:r>
        <w:rPr>
          <w:rFonts w:hint="eastAsia"/>
        </w:rPr>
        <w:t>5.5.1 投标方对设备及部件的检修周期要求不得短于南方电网公司《电力设备检修规程》要求的周期。</w:t>
      </w:r>
    </w:p>
    <w:p>
      <w:pPr>
        <w:spacing w:line="360" w:lineRule="auto"/>
        <w:ind w:firstLine="420" w:firstLineChars="200"/>
      </w:pPr>
      <w:r>
        <w:rPr>
          <w:rFonts w:hint="eastAsia"/>
        </w:rPr>
        <w:t>检修要求不是要求投标方开展检修，但其提供的标的物与检修的要求不得相悖。</w:t>
      </w:r>
    </w:p>
    <w:p>
      <w:pPr>
        <w:spacing w:line="360" w:lineRule="auto"/>
      </w:pPr>
      <w:r>
        <w:rPr>
          <w:rFonts w:hint="eastAsia"/>
        </w:rPr>
        <w:t>5.5.2 投标方应提供本体及主要部件的检修项目、检修工艺和检修周期。按照南方电网公司提供的维护检修手册模板，提供维护检修手册。</w:t>
      </w:r>
    </w:p>
    <w:p>
      <w:pPr>
        <w:spacing w:line="360" w:lineRule="auto"/>
        <w:ind w:firstLine="420" w:firstLineChars="200"/>
      </w:pPr>
      <w:r>
        <w:rPr>
          <w:rFonts w:hint="eastAsia"/>
        </w:rPr>
        <w:t>对具有固定周期的项目，投标方建议的检修周期应比南方电网公司《电力设备检修试验规程》规定的检修周期长。</w:t>
      </w:r>
    </w:p>
    <w:p>
      <w:pPr>
        <w:pStyle w:val="2"/>
        <w:numPr>
          <w:ilvl w:val="0"/>
          <w:numId w:val="0"/>
        </w:numPr>
        <w:rPr>
          <w:rFonts w:ascii="黑体" w:hAnsi="黑体" w:eastAsia="黑体"/>
          <w:b/>
          <w:sz w:val="21"/>
          <w:szCs w:val="21"/>
        </w:rPr>
      </w:pPr>
      <w:bookmarkStart w:id="76" w:name="_Toc282433752"/>
      <w:bookmarkStart w:id="77" w:name="_Toc282993296"/>
      <w:bookmarkStart w:id="78" w:name="_Toc22386038"/>
      <w:r>
        <w:rPr>
          <w:rFonts w:hint="eastAsia" w:ascii="黑体" w:hAnsi="黑体"/>
          <w:b/>
        </w:rPr>
        <w:t xml:space="preserve">6 </w:t>
      </w:r>
      <w:bookmarkEnd w:id="24"/>
      <w:bookmarkEnd w:id="25"/>
      <w:bookmarkEnd w:id="26"/>
      <w:bookmarkEnd w:id="27"/>
      <w:bookmarkEnd w:id="28"/>
      <w:bookmarkEnd w:id="29"/>
      <w:bookmarkEnd w:id="30"/>
      <w:bookmarkEnd w:id="31"/>
      <w:bookmarkEnd w:id="32"/>
      <w:bookmarkEnd w:id="33"/>
      <w:bookmarkEnd w:id="34"/>
      <w:bookmarkEnd w:id="76"/>
      <w:bookmarkEnd w:id="77"/>
      <w:bookmarkStart w:id="79" w:name="_Toc384341010"/>
      <w:bookmarkEnd w:id="79"/>
      <w:bookmarkStart w:id="80" w:name="_Toc384341008"/>
      <w:bookmarkEnd w:id="80"/>
      <w:bookmarkStart w:id="81" w:name="_Toc384340935"/>
      <w:bookmarkEnd w:id="81"/>
      <w:bookmarkStart w:id="82" w:name="_Toc384340932"/>
      <w:bookmarkEnd w:id="82"/>
      <w:bookmarkStart w:id="83" w:name="_Toc384340925"/>
      <w:bookmarkEnd w:id="83"/>
      <w:bookmarkStart w:id="84" w:name="_Toc384340931"/>
      <w:bookmarkEnd w:id="84"/>
      <w:bookmarkStart w:id="85" w:name="_Toc384340915"/>
      <w:bookmarkEnd w:id="85"/>
      <w:bookmarkStart w:id="86" w:name="_Toc384340996"/>
      <w:bookmarkEnd w:id="86"/>
      <w:bookmarkStart w:id="87" w:name="_Toc384340926"/>
      <w:bookmarkEnd w:id="87"/>
      <w:bookmarkStart w:id="88" w:name="_Toc384340914"/>
      <w:bookmarkEnd w:id="88"/>
      <w:bookmarkStart w:id="89" w:name="_Toc384340999"/>
      <w:bookmarkEnd w:id="89"/>
      <w:bookmarkStart w:id="90" w:name="_Toc384341002"/>
      <w:bookmarkEnd w:id="90"/>
      <w:bookmarkStart w:id="91" w:name="_Toc384340924"/>
      <w:bookmarkEnd w:id="91"/>
      <w:bookmarkStart w:id="92" w:name="_Toc384341004"/>
      <w:bookmarkEnd w:id="92"/>
      <w:bookmarkStart w:id="93" w:name="_Toc384340990"/>
      <w:bookmarkEnd w:id="93"/>
      <w:bookmarkStart w:id="94" w:name="_Toc384341003"/>
      <w:bookmarkEnd w:id="94"/>
      <w:bookmarkStart w:id="95" w:name="_Toc384341011"/>
      <w:bookmarkEnd w:id="95"/>
      <w:bookmarkStart w:id="96" w:name="_Toc384340919"/>
      <w:bookmarkEnd w:id="96"/>
      <w:bookmarkStart w:id="97" w:name="_Toc384340995"/>
      <w:bookmarkEnd w:id="97"/>
      <w:bookmarkStart w:id="98" w:name="_Toc384341014"/>
      <w:bookmarkEnd w:id="98"/>
      <w:bookmarkStart w:id="99" w:name="_Toc384340988"/>
      <w:bookmarkEnd w:id="99"/>
      <w:bookmarkStart w:id="100" w:name="_Toc384340997"/>
      <w:bookmarkEnd w:id="100"/>
      <w:bookmarkStart w:id="101" w:name="_Toc384340920"/>
      <w:bookmarkEnd w:id="101"/>
      <w:bookmarkStart w:id="102" w:name="_Toc384340911"/>
      <w:bookmarkEnd w:id="102"/>
      <w:bookmarkStart w:id="103" w:name="_Toc384340987"/>
      <w:bookmarkEnd w:id="103"/>
      <w:bookmarkStart w:id="104" w:name="_Toc384340937"/>
      <w:bookmarkEnd w:id="104"/>
      <w:bookmarkStart w:id="105" w:name="_Toc384340913"/>
      <w:bookmarkEnd w:id="105"/>
      <w:bookmarkStart w:id="106" w:name="_Toc384340934"/>
      <w:bookmarkEnd w:id="106"/>
      <w:bookmarkStart w:id="107" w:name="_Toc384340936"/>
      <w:bookmarkEnd w:id="107"/>
      <w:bookmarkStart w:id="108" w:name="_Toc384341015"/>
      <w:bookmarkEnd w:id="108"/>
      <w:bookmarkStart w:id="109" w:name="_Toc384340922"/>
      <w:bookmarkEnd w:id="109"/>
      <w:bookmarkStart w:id="110" w:name="_Toc384340918"/>
      <w:bookmarkEnd w:id="110"/>
      <w:bookmarkStart w:id="111" w:name="_Toc384341001"/>
      <w:bookmarkEnd w:id="111"/>
      <w:bookmarkStart w:id="112" w:name="_Toc384341012"/>
      <w:bookmarkEnd w:id="112"/>
      <w:bookmarkStart w:id="113" w:name="_Toc384341006"/>
      <w:bookmarkEnd w:id="113"/>
      <w:bookmarkStart w:id="114" w:name="_Toc384340923"/>
      <w:bookmarkEnd w:id="114"/>
      <w:bookmarkStart w:id="115" w:name="_Toc384340938"/>
      <w:bookmarkEnd w:id="115"/>
      <w:bookmarkStart w:id="116" w:name="_Toc384340939"/>
      <w:bookmarkEnd w:id="116"/>
      <w:bookmarkStart w:id="117" w:name="_Toc384341009"/>
      <w:bookmarkEnd w:id="117"/>
      <w:bookmarkStart w:id="118" w:name="_Toc384340993"/>
      <w:bookmarkEnd w:id="118"/>
      <w:bookmarkStart w:id="119" w:name="_Toc384341005"/>
      <w:bookmarkEnd w:id="119"/>
      <w:bookmarkStart w:id="120" w:name="_Toc384341007"/>
      <w:bookmarkEnd w:id="120"/>
      <w:bookmarkStart w:id="121" w:name="_Toc384340921"/>
      <w:bookmarkEnd w:id="121"/>
      <w:bookmarkStart w:id="122" w:name="_Toc384340989"/>
      <w:bookmarkEnd w:id="122"/>
      <w:bookmarkStart w:id="123" w:name="_Toc384340933"/>
      <w:bookmarkEnd w:id="123"/>
      <w:bookmarkStart w:id="124" w:name="_Toc384340998"/>
      <w:bookmarkEnd w:id="124"/>
      <w:bookmarkStart w:id="125" w:name="_Toc384340929"/>
      <w:bookmarkEnd w:id="125"/>
      <w:bookmarkStart w:id="126" w:name="_Toc384341013"/>
      <w:bookmarkEnd w:id="126"/>
      <w:bookmarkStart w:id="127" w:name="_Toc384340927"/>
      <w:bookmarkEnd w:id="127"/>
      <w:bookmarkStart w:id="128" w:name="_Toc384340994"/>
      <w:bookmarkEnd w:id="128"/>
      <w:bookmarkStart w:id="129" w:name="_Toc384341000"/>
      <w:bookmarkEnd w:id="129"/>
      <w:bookmarkStart w:id="130" w:name="_Toc384340991"/>
      <w:bookmarkEnd w:id="130"/>
      <w:bookmarkStart w:id="131" w:name="_Toc384340928"/>
      <w:bookmarkEnd w:id="131"/>
      <w:bookmarkStart w:id="132" w:name="_Toc384340917"/>
      <w:bookmarkEnd w:id="132"/>
      <w:bookmarkStart w:id="133" w:name="_Toc384340930"/>
      <w:bookmarkEnd w:id="133"/>
      <w:bookmarkStart w:id="134" w:name="_Toc384340912"/>
      <w:bookmarkEnd w:id="134"/>
      <w:bookmarkStart w:id="135" w:name="_Toc276492417"/>
      <w:bookmarkStart w:id="136" w:name="_Toc276490905"/>
      <w:bookmarkStart w:id="137" w:name="_Toc282993301"/>
      <w:bookmarkStart w:id="138" w:name="_Toc388022579"/>
      <w:bookmarkStart w:id="139" w:name="_Toc279695721"/>
      <w:bookmarkStart w:id="140" w:name="_Toc271281212"/>
      <w:bookmarkStart w:id="141" w:name="_Toc384341016"/>
      <w:r>
        <w:rPr>
          <w:rFonts w:hint="eastAsia" w:ascii="黑体" w:hAnsi="黑体" w:eastAsia="黑体"/>
          <w:b/>
          <w:sz w:val="21"/>
          <w:szCs w:val="21"/>
        </w:rPr>
        <w:t>试验</w:t>
      </w:r>
      <w:bookmarkEnd w:id="78"/>
      <w:bookmarkEnd w:id="135"/>
      <w:bookmarkEnd w:id="136"/>
      <w:bookmarkEnd w:id="137"/>
      <w:bookmarkEnd w:id="138"/>
      <w:bookmarkEnd w:id="139"/>
      <w:bookmarkEnd w:id="140"/>
      <w:bookmarkEnd w:id="141"/>
    </w:p>
    <w:p>
      <w:pPr>
        <w:adjustRightInd w:val="0"/>
        <w:snapToGrid w:val="0"/>
        <w:spacing w:line="360" w:lineRule="auto"/>
        <w:ind w:firstLine="420" w:firstLineChars="200"/>
      </w:pPr>
      <w:r>
        <w:rPr>
          <w:rFonts w:hint="eastAsia"/>
        </w:rPr>
        <w:t>支柱</w:t>
      </w:r>
      <w:r>
        <w:t>绝缘子</w:t>
      </w:r>
      <w:r>
        <w:rPr>
          <w:rFonts w:hint="eastAsia"/>
        </w:rPr>
        <w:t>试验应按照本标准和相关标准有关条款进行，并符合下列要求：试验应出具详细记载测试数据的正式试验报告。</w:t>
      </w:r>
    </w:p>
    <w:p>
      <w:pPr>
        <w:pStyle w:val="3"/>
        <w:numPr>
          <w:ilvl w:val="0"/>
          <w:numId w:val="0"/>
        </w:numPr>
        <w:adjustRightInd w:val="0"/>
        <w:snapToGrid w:val="0"/>
        <w:spacing w:line="360" w:lineRule="auto"/>
        <w:rPr>
          <w:rFonts w:ascii="黑体" w:hAnsi="黑体"/>
        </w:rPr>
      </w:pPr>
      <w:bookmarkStart w:id="142" w:name="_Toc384341017"/>
      <w:bookmarkStart w:id="143" w:name="_Toc279695722"/>
      <w:bookmarkStart w:id="144" w:name="_Toc22386039"/>
      <w:bookmarkStart w:id="145" w:name="_Toc279494181"/>
      <w:bookmarkStart w:id="146" w:name="_Toc282993302"/>
      <w:r>
        <w:rPr>
          <w:rFonts w:hint="eastAsia" w:ascii="黑体" w:hAnsi="黑体"/>
        </w:rPr>
        <w:t>6.1试验分类</w:t>
      </w:r>
      <w:bookmarkEnd w:id="142"/>
      <w:bookmarkEnd w:id="143"/>
      <w:bookmarkEnd w:id="144"/>
      <w:bookmarkEnd w:id="145"/>
      <w:bookmarkEnd w:id="146"/>
    </w:p>
    <w:p>
      <w:pPr>
        <w:adjustRightInd w:val="0"/>
        <w:snapToGrid w:val="0"/>
        <w:spacing w:line="360" w:lineRule="auto"/>
        <w:ind w:firstLine="420" w:firstLineChars="200"/>
      </w:pPr>
      <w:r>
        <w:rPr>
          <w:rFonts w:hint="eastAsia"/>
        </w:rPr>
        <w:t>试验类型包括型式试验、抽</w:t>
      </w:r>
      <w:r>
        <w:t>样</w:t>
      </w:r>
      <w:r>
        <w:rPr>
          <w:rFonts w:hint="eastAsia"/>
        </w:rPr>
        <w:t>试验、逐个试验、交接试验、送样检测、专项抽检、到货抽检。</w:t>
      </w:r>
    </w:p>
    <w:p>
      <w:pPr>
        <w:adjustRightInd w:val="0"/>
        <w:snapToGrid w:val="0"/>
        <w:spacing w:line="360" w:lineRule="auto"/>
        <w:ind w:firstLine="420" w:firstLineChars="200"/>
      </w:pPr>
      <w:r>
        <w:rPr>
          <w:rFonts w:hint="eastAsia"/>
        </w:rPr>
        <w:t>型式试验用来</w:t>
      </w:r>
      <w:r>
        <w:t>验证主要由绝缘子设计决定的主要特性，通常所有试验应在一只绝缘子上进行，并且</w:t>
      </w:r>
      <w:r>
        <w:rPr>
          <w:rFonts w:hint="eastAsia"/>
        </w:rPr>
        <w:t>对</w:t>
      </w:r>
      <w:r>
        <w:t>一种新设计</w:t>
      </w:r>
      <w:r>
        <w:rPr>
          <w:rFonts w:hint="eastAsia"/>
        </w:rPr>
        <w:t>或</w:t>
      </w:r>
      <w:r>
        <w:t>新制造工艺仅进行一次</w:t>
      </w:r>
      <w:r>
        <w:rPr>
          <w:rFonts w:hint="eastAsia"/>
        </w:rPr>
        <w:t>。仅当</w:t>
      </w:r>
      <w:r>
        <w:t>设计、材料或</w:t>
      </w:r>
      <w:r>
        <w:rPr>
          <w:rFonts w:hint="eastAsia"/>
        </w:rPr>
        <w:t>制造</w:t>
      </w:r>
      <w:r>
        <w:t>工艺改变时</w:t>
      </w:r>
      <w:r>
        <w:rPr>
          <w:rFonts w:hint="eastAsia"/>
        </w:rPr>
        <w:t>才</w:t>
      </w:r>
      <w:r>
        <w:t>重复进行。</w:t>
      </w:r>
      <w:r>
        <w:rPr>
          <w:rFonts w:hint="eastAsia"/>
        </w:rPr>
        <w:t>当改变</w:t>
      </w:r>
      <w:r>
        <w:t>仅影响某些特性时，则仅重复与这些特性有</w:t>
      </w:r>
      <w:r>
        <w:rPr>
          <w:rFonts w:hint="eastAsia"/>
        </w:rPr>
        <w:t>关</w:t>
      </w:r>
      <w:r>
        <w:t>的试验。</w:t>
      </w:r>
      <w:r>
        <w:rPr>
          <w:rFonts w:hint="eastAsia"/>
        </w:rPr>
        <w:t>若某种</w:t>
      </w:r>
      <w:r>
        <w:t>绝缘子已</w:t>
      </w:r>
      <w:r>
        <w:rPr>
          <w:rFonts w:hint="eastAsia"/>
        </w:rPr>
        <w:t>通过</w:t>
      </w:r>
      <w:r>
        <w:t>了型试</w:t>
      </w:r>
      <w:r>
        <w:rPr>
          <w:rFonts w:hint="eastAsia"/>
        </w:rPr>
        <w:t>试验</w:t>
      </w:r>
      <w:r>
        <w:t>，并且具有有效的试验报告证书（这种绝缘子称为已</w:t>
      </w:r>
      <w:r>
        <w:rPr>
          <w:rFonts w:hint="eastAsia"/>
        </w:rPr>
        <w:t>试绝缘子</w:t>
      </w:r>
      <w:r>
        <w:t>），而另一种新设计的绝缘子与之相比在机械设计上</w:t>
      </w:r>
      <w:r>
        <w:rPr>
          <w:rFonts w:hint="eastAsia"/>
        </w:rPr>
        <w:t>等</w:t>
      </w:r>
      <w:r>
        <w:t>同或在电气设计上等同的话，则不必再进行机械型式</w:t>
      </w:r>
      <w:r>
        <w:rPr>
          <w:rFonts w:hint="eastAsia"/>
        </w:rPr>
        <w:t>试验</w:t>
      </w:r>
      <w:r>
        <w:t>或电气型试</w:t>
      </w:r>
      <w:r>
        <w:rPr>
          <w:rFonts w:hint="eastAsia"/>
        </w:rPr>
        <w:t>试验</w:t>
      </w:r>
      <w:r>
        <w:t>，但对供需</w:t>
      </w:r>
      <w:r>
        <w:rPr>
          <w:rFonts w:hint="eastAsia"/>
        </w:rPr>
        <w:t>双方</w:t>
      </w:r>
      <w:r>
        <w:t>另有协议的除外。电气设计上等同的规定见</w:t>
      </w:r>
      <w:r>
        <w:rPr>
          <w:rFonts w:hint="eastAsia"/>
        </w:rPr>
        <w:t>GB</w:t>
      </w:r>
      <w:r>
        <w:t>/T</w:t>
      </w:r>
      <w:r>
        <w:rPr>
          <w:rFonts w:hint="eastAsia"/>
        </w:rPr>
        <w:t xml:space="preserve"> 8287</w:t>
      </w:r>
      <w:r>
        <w:t>.1</w:t>
      </w:r>
      <w:r>
        <w:rPr>
          <w:rFonts w:hint="eastAsia"/>
        </w:rPr>
        <w:t>-2008中</w:t>
      </w:r>
      <w:r>
        <w:t>的</w:t>
      </w:r>
      <w:r>
        <w:rPr>
          <w:rFonts w:hint="eastAsia"/>
        </w:rPr>
        <w:t>3</w:t>
      </w:r>
      <w:r>
        <w:t>.3.3</w:t>
      </w:r>
      <w:r>
        <w:rPr>
          <w:rFonts w:hint="eastAsia"/>
        </w:rPr>
        <w:t>，机械</w:t>
      </w:r>
      <w:r>
        <w:t>设计上等同的规定见</w:t>
      </w:r>
      <w:r>
        <w:rPr>
          <w:rFonts w:hint="eastAsia"/>
        </w:rPr>
        <w:t>GB</w:t>
      </w:r>
      <w:r>
        <w:t>/T</w:t>
      </w:r>
      <w:r>
        <w:rPr>
          <w:rFonts w:hint="eastAsia"/>
        </w:rPr>
        <w:t xml:space="preserve"> 8287</w:t>
      </w:r>
      <w:r>
        <w:t>.1</w:t>
      </w:r>
      <w:r>
        <w:rPr>
          <w:rFonts w:hint="eastAsia"/>
        </w:rPr>
        <w:t>-2008中3</w:t>
      </w:r>
      <w:r>
        <w:t>.3.4</w:t>
      </w:r>
      <w:r>
        <w:rPr>
          <w:rFonts w:hint="eastAsia"/>
        </w:rPr>
        <w:t>。</w:t>
      </w:r>
    </w:p>
    <w:p>
      <w:pPr>
        <w:adjustRightInd w:val="0"/>
        <w:snapToGrid w:val="0"/>
        <w:spacing w:line="360" w:lineRule="auto"/>
        <w:ind w:firstLine="420" w:firstLineChars="200"/>
      </w:pPr>
      <w:r>
        <w:rPr>
          <w:rFonts w:hint="eastAsia"/>
        </w:rPr>
        <w:t>型</w:t>
      </w:r>
      <w:r>
        <w:t>式</w:t>
      </w:r>
      <w:r>
        <w:rPr>
          <w:rFonts w:hint="eastAsia"/>
        </w:rPr>
        <w:t>试验结果</w:t>
      </w:r>
      <w:r>
        <w:t>可由买</w:t>
      </w:r>
      <w:r>
        <w:rPr>
          <w:rFonts w:hint="eastAsia"/>
        </w:rPr>
        <w:t>方</w:t>
      </w:r>
      <w:r>
        <w:t>认可的试验证书确认，也可</w:t>
      </w:r>
      <w:r>
        <w:rPr>
          <w:rFonts w:hint="eastAsia"/>
        </w:rPr>
        <w:t>由</w:t>
      </w:r>
      <w:r>
        <w:t>具有资格的机构认可的试验证书确认</w:t>
      </w:r>
      <w:r>
        <w:rPr>
          <w:rFonts w:hint="eastAsia"/>
        </w:rPr>
        <w:t>。</w:t>
      </w:r>
      <w:r>
        <w:t>机械型式</w:t>
      </w:r>
      <w:r>
        <w:rPr>
          <w:rFonts w:hint="eastAsia"/>
        </w:rPr>
        <w:t>试验证书的有效期自签发之日起为10年，电气</w:t>
      </w:r>
      <w:r>
        <w:t>机械型式</w:t>
      </w:r>
      <w:r>
        <w:rPr>
          <w:rFonts w:hint="eastAsia"/>
        </w:rPr>
        <w:t>试验证书长期有效。</w:t>
      </w:r>
    </w:p>
    <w:p>
      <w:pPr>
        <w:tabs>
          <w:tab w:val="left" w:pos="2202"/>
        </w:tabs>
        <w:adjustRightInd w:val="0"/>
        <w:snapToGrid w:val="0"/>
        <w:spacing w:line="360" w:lineRule="auto"/>
        <w:ind w:firstLine="420" w:firstLineChars="200"/>
      </w:pPr>
      <w:r>
        <w:rPr>
          <w:rFonts w:hint="eastAsia"/>
        </w:rPr>
        <w:t>抽样</w:t>
      </w:r>
      <w:r>
        <w:t>试验用来验证绝缘子随制造过程或部件材料质量变化的特性。若</w:t>
      </w:r>
      <w:r>
        <w:rPr>
          <w:rFonts w:hint="eastAsia"/>
        </w:rPr>
        <w:t>抽样</w:t>
      </w:r>
      <w:r>
        <w:t>试验作为接收试验，支柱绝缘子样品应从满足相关</w:t>
      </w:r>
      <w:r>
        <w:rPr>
          <w:rFonts w:hint="eastAsia"/>
        </w:rPr>
        <w:t>逐</w:t>
      </w:r>
      <w:r>
        <w:t>个试验要求的批中随机抽取。</w:t>
      </w:r>
    </w:p>
    <w:p>
      <w:pPr>
        <w:adjustRightInd w:val="0"/>
        <w:snapToGrid w:val="0"/>
        <w:spacing w:line="360" w:lineRule="auto"/>
        <w:ind w:firstLine="420" w:firstLineChars="200"/>
      </w:pPr>
      <w:r>
        <w:rPr>
          <w:rFonts w:hint="eastAsia"/>
        </w:rPr>
        <w:t>逐个</w:t>
      </w:r>
      <w:r>
        <w:t>试验用来剔除有缺陷的元件并在制造过程中对每个绝缘子进行。</w:t>
      </w:r>
    </w:p>
    <w:p>
      <w:pPr>
        <w:adjustRightInd w:val="0"/>
        <w:snapToGrid w:val="0"/>
        <w:spacing w:line="360" w:lineRule="auto"/>
        <w:ind w:firstLine="420" w:firstLineChars="200"/>
      </w:pPr>
      <w:r>
        <w:t>在</w:t>
      </w:r>
      <w:r>
        <w:rPr>
          <w:rFonts w:hint="eastAsia"/>
        </w:rPr>
        <w:t>某些</w:t>
      </w:r>
      <w:r>
        <w:t>情况下，也将</w:t>
      </w:r>
      <w:r>
        <w:rPr>
          <w:rFonts w:hint="eastAsia"/>
        </w:rPr>
        <w:t>型</w:t>
      </w:r>
      <w:r>
        <w:t>式</w:t>
      </w:r>
      <w:r>
        <w:rPr>
          <w:rFonts w:hint="eastAsia"/>
        </w:rPr>
        <w:t>试验、</w:t>
      </w:r>
      <w:r>
        <w:t>抽样试验和</w:t>
      </w:r>
      <w:r>
        <w:rPr>
          <w:rFonts w:hint="eastAsia"/>
        </w:rPr>
        <w:t>逐</w:t>
      </w:r>
      <w:r>
        <w:t>个试验作为整体对某一新设计的绝缘子进行试验，称为定型试验。</w:t>
      </w:r>
    </w:p>
    <w:p>
      <w:pPr>
        <w:adjustRightInd w:val="0"/>
        <w:snapToGrid w:val="0"/>
        <w:spacing w:line="360" w:lineRule="auto"/>
        <w:ind w:firstLine="420" w:firstLineChars="200"/>
      </w:pPr>
      <w:r>
        <w:rPr>
          <w:rFonts w:hint="eastAsia"/>
        </w:rPr>
        <w:t>交接试验为支柱</w:t>
      </w:r>
      <w:r>
        <w:t>绝缘子</w:t>
      </w:r>
      <w:r>
        <w:rPr>
          <w:rFonts w:hint="eastAsia"/>
        </w:rPr>
        <w:t>安装完毕后进行的现场试验。</w:t>
      </w:r>
    </w:p>
    <w:p>
      <w:pPr>
        <w:adjustRightInd w:val="0"/>
        <w:snapToGrid w:val="0"/>
        <w:spacing w:line="360" w:lineRule="auto"/>
        <w:jc w:val="center"/>
      </w:pPr>
      <w:r>
        <w:rPr>
          <w:rFonts w:hint="eastAsia"/>
        </w:rPr>
        <w:t>表4 试验项目及分类</w:t>
      </w:r>
    </w:p>
    <w:tbl>
      <w:tblPr>
        <w:tblStyle w:val="84"/>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350"/>
        <w:gridCol w:w="1102"/>
        <w:gridCol w:w="1057"/>
        <w:gridCol w:w="1103"/>
        <w:gridCol w:w="1103"/>
        <w:gridCol w:w="1103"/>
        <w:gridCol w:w="1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99" w:type="dxa"/>
            <w:vAlign w:val="center"/>
          </w:tcPr>
          <w:p>
            <w:pPr>
              <w:jc w:val="center"/>
              <w:rPr>
                <w:sz w:val="18"/>
                <w:szCs w:val="18"/>
              </w:rPr>
            </w:pPr>
            <w:r>
              <w:rPr>
                <w:rFonts w:hint="eastAsia"/>
                <w:sz w:val="18"/>
                <w:szCs w:val="18"/>
              </w:rPr>
              <w:t>序号</w:t>
            </w:r>
          </w:p>
        </w:tc>
        <w:tc>
          <w:tcPr>
            <w:tcW w:w="2350" w:type="dxa"/>
            <w:vAlign w:val="center"/>
          </w:tcPr>
          <w:p>
            <w:pPr>
              <w:jc w:val="center"/>
              <w:rPr>
                <w:sz w:val="18"/>
                <w:szCs w:val="18"/>
              </w:rPr>
            </w:pPr>
            <w:r>
              <w:rPr>
                <w:rFonts w:hint="eastAsia"/>
                <w:sz w:val="18"/>
                <w:szCs w:val="18"/>
              </w:rPr>
              <w:t>试验项目</w:t>
            </w:r>
          </w:p>
        </w:tc>
        <w:tc>
          <w:tcPr>
            <w:tcW w:w="1102" w:type="dxa"/>
            <w:vAlign w:val="center"/>
          </w:tcPr>
          <w:p>
            <w:pPr>
              <w:jc w:val="center"/>
              <w:rPr>
                <w:sz w:val="18"/>
                <w:szCs w:val="18"/>
              </w:rPr>
            </w:pPr>
            <w:r>
              <w:rPr>
                <w:rFonts w:hint="eastAsia"/>
                <w:sz w:val="18"/>
                <w:szCs w:val="18"/>
              </w:rPr>
              <w:t>型式试验</w:t>
            </w:r>
          </w:p>
        </w:tc>
        <w:tc>
          <w:tcPr>
            <w:tcW w:w="1057" w:type="dxa"/>
            <w:vAlign w:val="center"/>
          </w:tcPr>
          <w:p>
            <w:pPr>
              <w:jc w:val="center"/>
              <w:rPr>
                <w:sz w:val="18"/>
                <w:szCs w:val="18"/>
              </w:rPr>
            </w:pPr>
            <w:r>
              <w:rPr>
                <w:rFonts w:hint="eastAsia"/>
                <w:sz w:val="18"/>
                <w:szCs w:val="18"/>
              </w:rPr>
              <w:t>逐个试验试验</w:t>
            </w:r>
          </w:p>
        </w:tc>
        <w:tc>
          <w:tcPr>
            <w:tcW w:w="1103" w:type="dxa"/>
            <w:vAlign w:val="center"/>
          </w:tcPr>
          <w:p>
            <w:pPr>
              <w:jc w:val="center"/>
              <w:rPr>
                <w:sz w:val="18"/>
                <w:szCs w:val="18"/>
              </w:rPr>
            </w:pPr>
            <w:r>
              <w:rPr>
                <w:rFonts w:hint="eastAsia"/>
                <w:sz w:val="18"/>
                <w:szCs w:val="18"/>
              </w:rPr>
              <w:t>交接试验</w:t>
            </w:r>
          </w:p>
        </w:tc>
        <w:tc>
          <w:tcPr>
            <w:tcW w:w="1103" w:type="dxa"/>
            <w:vAlign w:val="center"/>
          </w:tcPr>
          <w:p>
            <w:pPr>
              <w:jc w:val="center"/>
              <w:rPr>
                <w:sz w:val="18"/>
                <w:szCs w:val="18"/>
              </w:rPr>
            </w:pPr>
            <w:r>
              <w:rPr>
                <w:rFonts w:hint="eastAsia"/>
                <w:sz w:val="18"/>
                <w:szCs w:val="18"/>
              </w:rPr>
              <w:t>送样检测</w:t>
            </w:r>
          </w:p>
        </w:tc>
        <w:tc>
          <w:tcPr>
            <w:tcW w:w="1103" w:type="dxa"/>
            <w:vAlign w:val="center"/>
          </w:tcPr>
          <w:p>
            <w:pPr>
              <w:jc w:val="center"/>
              <w:rPr>
                <w:sz w:val="18"/>
                <w:szCs w:val="18"/>
              </w:rPr>
            </w:pPr>
            <w:r>
              <w:rPr>
                <w:rFonts w:hint="eastAsia"/>
                <w:sz w:val="18"/>
                <w:szCs w:val="18"/>
              </w:rPr>
              <w:t>专项抽检</w:t>
            </w:r>
          </w:p>
        </w:tc>
        <w:tc>
          <w:tcPr>
            <w:tcW w:w="1103" w:type="dxa"/>
            <w:vAlign w:val="center"/>
          </w:tcPr>
          <w:p>
            <w:pPr>
              <w:jc w:val="center"/>
              <w:rPr>
                <w:sz w:val="18"/>
                <w:szCs w:val="18"/>
              </w:rPr>
            </w:pPr>
            <w:r>
              <w:rPr>
                <w:rFonts w:hint="eastAsia"/>
                <w:sz w:val="18"/>
                <w:szCs w:val="18"/>
              </w:rPr>
              <w:t>到货抽检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w:t>
            </w:r>
          </w:p>
        </w:tc>
        <w:tc>
          <w:tcPr>
            <w:tcW w:w="2350" w:type="dxa"/>
            <w:vAlign w:val="center"/>
          </w:tcPr>
          <w:p>
            <w:pPr>
              <w:jc w:val="left"/>
              <w:rPr>
                <w:rFonts w:ascii="宋体" w:hAnsi="宋体" w:cs="宋体"/>
                <w:sz w:val="18"/>
                <w:szCs w:val="18"/>
              </w:rPr>
            </w:pPr>
            <w:r>
              <w:rPr>
                <w:rFonts w:hint="eastAsia" w:ascii="宋体" w:hAnsi="宋体" w:cs="宋体"/>
                <w:sz w:val="18"/>
                <w:szCs w:val="18"/>
              </w:rPr>
              <w:t>雷电冲击干耐受试验</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2</w:t>
            </w:r>
          </w:p>
        </w:tc>
        <w:tc>
          <w:tcPr>
            <w:tcW w:w="2350" w:type="dxa"/>
            <w:vAlign w:val="center"/>
          </w:tcPr>
          <w:p>
            <w:pPr>
              <w:jc w:val="left"/>
              <w:rPr>
                <w:rFonts w:ascii="宋体" w:hAnsi="宋体" w:cs="宋体"/>
                <w:sz w:val="18"/>
                <w:szCs w:val="18"/>
              </w:rPr>
            </w:pPr>
            <w:r>
              <w:rPr>
                <w:rFonts w:hint="eastAsia" w:ascii="宋体" w:hAnsi="宋体" w:cs="宋体"/>
                <w:sz w:val="18"/>
                <w:szCs w:val="18"/>
              </w:rPr>
              <w:t>操作冲击干耐受试验（仅针对</w:t>
            </w:r>
            <w:r>
              <w:rPr>
                <w:rFonts w:ascii="宋体" w:hAnsi="宋体" w:cs="宋体"/>
                <w:sz w:val="18"/>
                <w:szCs w:val="18"/>
              </w:rPr>
              <w:t>500kV户内支柱绝缘子）</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3</w:t>
            </w:r>
          </w:p>
        </w:tc>
        <w:tc>
          <w:tcPr>
            <w:tcW w:w="2350" w:type="dxa"/>
            <w:vAlign w:val="center"/>
          </w:tcPr>
          <w:p>
            <w:pPr>
              <w:jc w:val="left"/>
              <w:rPr>
                <w:rFonts w:ascii="宋体" w:hAnsi="宋体" w:cs="宋体"/>
                <w:sz w:val="18"/>
                <w:szCs w:val="18"/>
              </w:rPr>
            </w:pPr>
            <w:r>
              <w:rPr>
                <w:rFonts w:hint="eastAsia" w:ascii="宋体" w:hAnsi="宋体" w:cs="宋体"/>
                <w:sz w:val="18"/>
                <w:szCs w:val="18"/>
              </w:rPr>
              <w:t>操作冲击湿耐受试验（仅针对</w:t>
            </w:r>
            <w:r>
              <w:rPr>
                <w:rFonts w:ascii="宋体" w:hAnsi="宋体" w:cs="宋体"/>
                <w:sz w:val="18"/>
                <w:szCs w:val="18"/>
              </w:rPr>
              <w:t>500kV户外支柱绝缘子）</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4</w:t>
            </w:r>
          </w:p>
        </w:tc>
        <w:tc>
          <w:tcPr>
            <w:tcW w:w="2350" w:type="dxa"/>
            <w:vAlign w:val="center"/>
          </w:tcPr>
          <w:p>
            <w:pPr>
              <w:jc w:val="left"/>
              <w:rPr>
                <w:rFonts w:ascii="宋体" w:hAnsi="宋体" w:cs="宋体"/>
                <w:sz w:val="18"/>
                <w:szCs w:val="18"/>
              </w:rPr>
            </w:pPr>
            <w:r>
              <w:rPr>
                <w:rFonts w:hint="eastAsia" w:ascii="宋体" w:hAnsi="宋体" w:cs="宋体"/>
                <w:sz w:val="18"/>
                <w:szCs w:val="18"/>
              </w:rPr>
              <w:t>工频干耐受电压试验（仅针对</w:t>
            </w:r>
            <w:r>
              <w:rPr>
                <w:rFonts w:ascii="宋体" w:hAnsi="宋体" w:cs="宋体"/>
                <w:sz w:val="18"/>
                <w:szCs w:val="18"/>
              </w:rPr>
              <w:t>110kV、220kV户内支柱绝缘子）</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5</w:t>
            </w:r>
          </w:p>
        </w:tc>
        <w:tc>
          <w:tcPr>
            <w:tcW w:w="2350" w:type="dxa"/>
            <w:vAlign w:val="center"/>
          </w:tcPr>
          <w:p>
            <w:pPr>
              <w:jc w:val="left"/>
              <w:rPr>
                <w:rFonts w:ascii="宋体" w:hAnsi="宋体" w:cs="宋体"/>
                <w:sz w:val="18"/>
                <w:szCs w:val="18"/>
              </w:rPr>
            </w:pPr>
            <w:r>
              <w:rPr>
                <w:rFonts w:hint="eastAsia" w:ascii="宋体" w:hAnsi="宋体" w:cs="宋体"/>
                <w:sz w:val="18"/>
                <w:szCs w:val="18"/>
              </w:rPr>
              <w:t>工频湿耐受电压试验（</w:t>
            </w:r>
            <w:r>
              <w:rPr>
                <w:rFonts w:ascii="宋体" w:hAnsi="宋体" w:cs="宋体"/>
                <w:sz w:val="18"/>
                <w:szCs w:val="18"/>
              </w:rPr>
              <w:t>110kV、220kV户外支柱绝缘子）</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6</w:t>
            </w:r>
          </w:p>
        </w:tc>
        <w:tc>
          <w:tcPr>
            <w:tcW w:w="2350" w:type="dxa"/>
            <w:vAlign w:val="center"/>
          </w:tcPr>
          <w:p>
            <w:pPr>
              <w:jc w:val="left"/>
              <w:rPr>
                <w:rFonts w:ascii="宋体" w:hAnsi="宋体" w:cs="宋体"/>
                <w:sz w:val="18"/>
                <w:szCs w:val="18"/>
              </w:rPr>
            </w:pPr>
            <w:r>
              <w:rPr>
                <w:rFonts w:hint="eastAsia" w:ascii="宋体" w:hAnsi="宋体" w:cs="宋体"/>
                <w:sz w:val="18"/>
                <w:szCs w:val="18"/>
              </w:rPr>
              <w:t>人工污秽耐受电压试验（户外支柱绝缘子）</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7</w:t>
            </w:r>
          </w:p>
        </w:tc>
        <w:tc>
          <w:tcPr>
            <w:tcW w:w="2350" w:type="dxa"/>
            <w:vAlign w:val="center"/>
          </w:tcPr>
          <w:p>
            <w:pPr>
              <w:jc w:val="left"/>
              <w:rPr>
                <w:rFonts w:ascii="宋体" w:hAnsi="宋体" w:cs="宋体"/>
                <w:sz w:val="18"/>
                <w:szCs w:val="18"/>
              </w:rPr>
            </w:pPr>
            <w:r>
              <w:rPr>
                <w:rFonts w:hint="eastAsia" w:ascii="宋体" w:hAnsi="宋体" w:cs="宋体"/>
                <w:sz w:val="18"/>
                <w:szCs w:val="18"/>
              </w:rPr>
              <w:t>机械破坏负荷试验</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8</w:t>
            </w:r>
          </w:p>
        </w:tc>
        <w:tc>
          <w:tcPr>
            <w:tcW w:w="2350" w:type="dxa"/>
            <w:vAlign w:val="center"/>
          </w:tcPr>
          <w:p>
            <w:pPr>
              <w:jc w:val="left"/>
              <w:rPr>
                <w:rFonts w:ascii="宋体" w:hAnsi="宋体" w:cs="宋体"/>
                <w:sz w:val="18"/>
                <w:szCs w:val="18"/>
              </w:rPr>
            </w:pPr>
            <w:r>
              <w:rPr>
                <w:rFonts w:hint="eastAsia" w:ascii="宋体" w:hAnsi="宋体" w:cs="宋体"/>
                <w:sz w:val="18"/>
                <w:szCs w:val="18"/>
              </w:rPr>
              <w:t>负荷下偏移试验</w:t>
            </w:r>
          </w:p>
        </w:tc>
        <w:tc>
          <w:tcPr>
            <w:tcW w:w="1102" w:type="dxa"/>
            <w:vAlign w:val="center"/>
          </w:tcPr>
          <w:p>
            <w:pPr>
              <w:jc w:val="center"/>
              <w:rPr>
                <w:rFonts w:ascii="宋体" w:hAnsi="宋体" w:cs="宋体"/>
                <w:sz w:val="18"/>
                <w:szCs w:val="18"/>
              </w:rPr>
            </w:pPr>
            <w:r>
              <w:rPr>
                <w:rFonts w:hint="eastAsia" w:ascii="宋体" w:hAnsi="宋体" w:cs="宋体"/>
                <w:sz w:val="18"/>
                <w:szCs w:val="18"/>
              </w:rPr>
              <w:t>可选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9</w:t>
            </w:r>
          </w:p>
        </w:tc>
        <w:tc>
          <w:tcPr>
            <w:tcW w:w="2350" w:type="dxa"/>
            <w:vAlign w:val="center"/>
          </w:tcPr>
          <w:p>
            <w:pPr>
              <w:jc w:val="left"/>
              <w:rPr>
                <w:rFonts w:ascii="宋体" w:hAnsi="宋体" w:cs="宋体"/>
                <w:sz w:val="18"/>
                <w:szCs w:val="18"/>
              </w:rPr>
            </w:pPr>
            <w:r>
              <w:rPr>
                <w:rFonts w:hint="eastAsia" w:ascii="宋体" w:hAnsi="宋体" w:cs="宋体"/>
                <w:sz w:val="18"/>
                <w:szCs w:val="18"/>
              </w:rPr>
              <w:t>无线电干扰试验</w:t>
            </w:r>
          </w:p>
        </w:tc>
        <w:tc>
          <w:tcPr>
            <w:tcW w:w="1102" w:type="dxa"/>
            <w:vAlign w:val="center"/>
          </w:tcPr>
          <w:p>
            <w:pPr>
              <w:jc w:val="center"/>
              <w:rPr>
                <w:rFonts w:ascii="宋体" w:hAnsi="宋体" w:cs="宋体"/>
                <w:sz w:val="18"/>
                <w:szCs w:val="18"/>
              </w:rPr>
            </w:pPr>
            <w:r>
              <w:rPr>
                <w:rFonts w:hint="eastAsia" w:ascii="宋体" w:hAnsi="宋体" w:cs="宋体"/>
                <w:sz w:val="18"/>
                <w:szCs w:val="18"/>
              </w:rPr>
              <w:t>可选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pPr>
              <w:jc w:val="center"/>
              <w:rPr>
                <w:rFonts w:ascii="宋体" w:hAnsi="宋体" w:cs="宋体"/>
                <w:sz w:val="18"/>
                <w:szCs w:val="18"/>
              </w:rPr>
            </w:pPr>
            <w:r>
              <w:rPr>
                <w:rFonts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10</w:t>
            </w:r>
          </w:p>
        </w:tc>
        <w:tc>
          <w:tcPr>
            <w:tcW w:w="2350" w:type="dxa"/>
            <w:vAlign w:val="center"/>
          </w:tcPr>
          <w:p>
            <w:pPr>
              <w:jc w:val="left"/>
              <w:rPr>
                <w:rFonts w:ascii="宋体" w:hAnsi="宋体" w:cs="宋体"/>
                <w:sz w:val="18"/>
                <w:szCs w:val="18"/>
              </w:rPr>
            </w:pPr>
            <w:r>
              <w:rPr>
                <w:rFonts w:hint="eastAsia" w:ascii="宋体" w:hAnsi="宋体" w:cs="宋体"/>
                <w:sz w:val="18"/>
                <w:szCs w:val="18"/>
              </w:rPr>
              <w:t>外观检测</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11</w:t>
            </w:r>
          </w:p>
        </w:tc>
        <w:tc>
          <w:tcPr>
            <w:tcW w:w="2350" w:type="dxa"/>
            <w:vAlign w:val="center"/>
          </w:tcPr>
          <w:p>
            <w:pPr>
              <w:jc w:val="left"/>
              <w:rPr>
                <w:rFonts w:ascii="宋体" w:hAnsi="宋体" w:cs="宋体"/>
                <w:sz w:val="18"/>
                <w:szCs w:val="18"/>
              </w:rPr>
            </w:pPr>
            <w:r>
              <w:rPr>
                <w:rFonts w:hint="eastAsia" w:ascii="宋体" w:hAnsi="宋体" w:cs="宋体"/>
                <w:sz w:val="18"/>
                <w:szCs w:val="18"/>
              </w:rPr>
              <w:t>尺寸检测</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12</w:t>
            </w:r>
          </w:p>
        </w:tc>
        <w:tc>
          <w:tcPr>
            <w:tcW w:w="2350" w:type="dxa"/>
            <w:vAlign w:val="center"/>
          </w:tcPr>
          <w:p>
            <w:pPr>
              <w:jc w:val="left"/>
              <w:rPr>
                <w:rFonts w:ascii="宋体" w:hAnsi="宋体" w:cs="宋体"/>
                <w:sz w:val="18"/>
                <w:szCs w:val="18"/>
              </w:rPr>
            </w:pPr>
            <w:r>
              <w:rPr>
                <w:rFonts w:hint="eastAsia" w:ascii="宋体" w:hAnsi="宋体" w:cs="宋体"/>
                <w:sz w:val="18"/>
                <w:szCs w:val="18"/>
              </w:rPr>
              <w:t>温度循环试验</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13</w:t>
            </w:r>
          </w:p>
        </w:tc>
        <w:tc>
          <w:tcPr>
            <w:tcW w:w="2350" w:type="dxa"/>
            <w:vAlign w:val="center"/>
          </w:tcPr>
          <w:p>
            <w:pPr>
              <w:jc w:val="left"/>
              <w:rPr>
                <w:rFonts w:ascii="宋体" w:hAnsi="宋体" w:cs="宋体"/>
                <w:sz w:val="18"/>
                <w:szCs w:val="18"/>
              </w:rPr>
            </w:pPr>
            <w:r>
              <w:rPr>
                <w:rFonts w:hint="eastAsia" w:ascii="宋体" w:hAnsi="宋体" w:cs="宋体"/>
                <w:sz w:val="18"/>
                <w:szCs w:val="18"/>
              </w:rPr>
              <w:t>孔隙性试验</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14</w:t>
            </w:r>
          </w:p>
        </w:tc>
        <w:tc>
          <w:tcPr>
            <w:tcW w:w="2350" w:type="dxa"/>
            <w:vAlign w:val="center"/>
          </w:tcPr>
          <w:p>
            <w:pPr>
              <w:jc w:val="left"/>
              <w:rPr>
                <w:sz w:val="18"/>
                <w:szCs w:val="18"/>
              </w:rPr>
            </w:pPr>
            <w:r>
              <w:rPr>
                <w:rFonts w:hint="eastAsia"/>
                <w:sz w:val="18"/>
                <w:szCs w:val="18"/>
              </w:rPr>
              <w:t>镀锌层试验</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15</w:t>
            </w:r>
          </w:p>
        </w:tc>
        <w:tc>
          <w:tcPr>
            <w:tcW w:w="2350" w:type="dxa"/>
            <w:vAlign w:val="center"/>
          </w:tcPr>
          <w:p>
            <w:pPr>
              <w:rPr>
                <w:sz w:val="18"/>
                <w:szCs w:val="18"/>
              </w:rPr>
            </w:pPr>
            <w:r>
              <w:rPr>
                <w:rFonts w:hint="eastAsia"/>
                <w:sz w:val="18"/>
                <w:szCs w:val="18"/>
              </w:rPr>
              <w:t>超声波探伤检测</w:t>
            </w:r>
          </w:p>
        </w:tc>
        <w:tc>
          <w:tcPr>
            <w:tcW w:w="1102" w:type="dxa"/>
            <w:vAlign w:val="center"/>
          </w:tcPr>
          <w:p>
            <w:pPr>
              <w:jc w:val="center"/>
              <w:rPr>
                <w:rFonts w:ascii="宋体" w:hAnsi="宋体" w:cs="宋体"/>
                <w:sz w:val="18"/>
                <w:szCs w:val="18"/>
              </w:rPr>
            </w:pPr>
            <w:r>
              <w:rPr>
                <w:rFonts w:ascii="宋体" w:hAnsi="宋体" w:cs="宋体"/>
                <w:sz w:val="18"/>
                <w:szCs w:val="18"/>
              </w:rPr>
              <w:t>--</w:t>
            </w:r>
          </w:p>
        </w:tc>
        <w:tc>
          <w:tcPr>
            <w:tcW w:w="1057"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99" w:type="dxa"/>
            <w:vAlign w:val="center"/>
          </w:tcPr>
          <w:p>
            <w:pPr>
              <w:jc w:val="center"/>
              <w:rPr>
                <w:rFonts w:ascii="宋体" w:hAnsi="宋体" w:cs="宋体"/>
                <w:sz w:val="18"/>
                <w:szCs w:val="18"/>
              </w:rPr>
            </w:pPr>
            <w:r>
              <w:rPr>
                <w:rFonts w:hint="eastAsia" w:ascii="宋体" w:hAnsi="宋体" w:cs="宋体"/>
                <w:sz w:val="18"/>
                <w:szCs w:val="18"/>
              </w:rPr>
              <w:t>16</w:t>
            </w:r>
          </w:p>
        </w:tc>
        <w:tc>
          <w:tcPr>
            <w:tcW w:w="2350" w:type="dxa"/>
            <w:vAlign w:val="center"/>
          </w:tcPr>
          <w:p>
            <w:pPr>
              <w:rPr>
                <w:sz w:val="18"/>
                <w:szCs w:val="18"/>
              </w:rPr>
            </w:pPr>
            <w:r>
              <w:rPr>
                <w:rFonts w:hint="eastAsia"/>
                <w:sz w:val="18"/>
                <w:szCs w:val="18"/>
              </w:rPr>
              <w:t>逐个机械试验（弯曲试验）</w:t>
            </w:r>
          </w:p>
        </w:tc>
        <w:tc>
          <w:tcPr>
            <w:tcW w:w="1102" w:type="dxa"/>
            <w:vAlign w:val="center"/>
          </w:tcPr>
          <w:p>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ascii="宋体" w:hAnsi="宋体" w:cs="宋体"/>
                <w:sz w:val="18"/>
                <w:szCs w:val="18"/>
              </w:rPr>
              <w:t>--</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pPr>
              <w:jc w:val="center"/>
              <w:rPr>
                <w:rFonts w:ascii="宋体" w:hAnsi="宋体" w:cs="宋体"/>
                <w:sz w:val="18"/>
                <w:szCs w:val="18"/>
              </w:rPr>
            </w:pPr>
            <w:r>
              <w:rPr>
                <w:rFonts w:hint="eastAsia" w:ascii="宋体" w:hAnsi="宋体" w:cs="宋体"/>
                <w:sz w:val="18"/>
                <w:szCs w:val="18"/>
              </w:rPr>
              <w:t>可选</w:t>
            </w:r>
          </w:p>
        </w:tc>
      </w:tr>
    </w:tbl>
    <w:p>
      <w:pPr>
        <w:adjustRightInd w:val="0"/>
        <w:snapToGrid w:val="0"/>
        <w:spacing w:line="360" w:lineRule="auto"/>
      </w:pPr>
    </w:p>
    <w:p>
      <w:pPr>
        <w:pStyle w:val="3"/>
        <w:numPr>
          <w:ilvl w:val="0"/>
          <w:numId w:val="0"/>
        </w:numPr>
        <w:adjustRightInd w:val="0"/>
        <w:snapToGrid w:val="0"/>
        <w:spacing w:line="360" w:lineRule="auto"/>
        <w:rPr>
          <w:rFonts w:ascii="黑体" w:hAnsi="黑体"/>
        </w:rPr>
      </w:pPr>
      <w:bookmarkStart w:id="147" w:name="_Toc279695723"/>
      <w:bookmarkEnd w:id="147"/>
      <w:bookmarkStart w:id="148" w:name="_Toc282993303"/>
      <w:bookmarkStart w:id="149" w:name="_Toc384341018"/>
      <w:bookmarkStart w:id="150" w:name="_Toc22386040"/>
      <w:bookmarkStart w:id="151" w:name="_Toc279695724"/>
      <w:r>
        <w:rPr>
          <w:rFonts w:hint="eastAsia" w:ascii="黑体" w:hAnsi="黑体"/>
        </w:rPr>
        <w:t>6.2型式试验</w:t>
      </w:r>
      <w:bookmarkEnd w:id="148"/>
      <w:bookmarkEnd w:id="149"/>
      <w:bookmarkEnd w:id="150"/>
      <w:bookmarkEnd w:id="151"/>
    </w:p>
    <w:p>
      <w:pPr>
        <w:spacing w:line="360" w:lineRule="auto"/>
      </w:pPr>
      <w:r>
        <w:rPr>
          <w:rFonts w:hint="eastAsia"/>
        </w:rPr>
        <w:t>6</w:t>
      </w:r>
      <w:r>
        <w:t xml:space="preserve">.2.1 </w:t>
      </w:r>
      <w:r>
        <w:rPr>
          <w:rFonts w:hint="eastAsia"/>
        </w:rPr>
        <w:t>试验项目</w:t>
      </w:r>
    </w:p>
    <w:p>
      <w:pPr>
        <w:adjustRightInd w:val="0"/>
        <w:snapToGrid w:val="0"/>
        <w:spacing w:line="360" w:lineRule="auto"/>
        <w:ind w:firstLine="420" w:firstLineChars="200"/>
        <w:jc w:val="center"/>
      </w:pPr>
      <w:r>
        <w:rPr>
          <w:rFonts w:hint="eastAsia"/>
        </w:rPr>
        <w:t>表5 型式试验项目及依据</w:t>
      </w:r>
    </w:p>
    <w:tbl>
      <w:tblPr>
        <w:tblStyle w:val="83"/>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5330"/>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rFonts w:hint="eastAsia"/>
                <w:sz w:val="18"/>
                <w:szCs w:val="18"/>
              </w:rPr>
              <w:t>序号</w:t>
            </w:r>
          </w:p>
        </w:tc>
        <w:tc>
          <w:tcPr>
            <w:tcW w:w="5330" w:type="dxa"/>
            <w:vAlign w:val="center"/>
          </w:tcPr>
          <w:p>
            <w:pPr>
              <w:snapToGrid w:val="0"/>
              <w:spacing w:line="360" w:lineRule="auto"/>
              <w:jc w:val="center"/>
              <w:rPr>
                <w:sz w:val="18"/>
                <w:szCs w:val="18"/>
              </w:rPr>
            </w:pPr>
            <w:r>
              <w:rPr>
                <w:rFonts w:hint="eastAsia"/>
                <w:sz w:val="18"/>
                <w:szCs w:val="18"/>
              </w:rPr>
              <w:t>试验项目</w:t>
            </w:r>
          </w:p>
        </w:tc>
        <w:tc>
          <w:tcPr>
            <w:tcW w:w="2579" w:type="dxa"/>
            <w:vAlign w:val="center"/>
          </w:tcPr>
          <w:p>
            <w:pPr>
              <w:snapToGrid w:val="0"/>
              <w:spacing w:line="360" w:lineRule="auto"/>
              <w:jc w:val="center"/>
              <w:rPr>
                <w:sz w:val="18"/>
                <w:szCs w:val="18"/>
              </w:rPr>
            </w:pPr>
            <w:r>
              <w:rPr>
                <w:rFonts w:hint="eastAsia"/>
                <w:sz w:val="18"/>
                <w:szCs w:val="18"/>
              </w:rPr>
              <w:t>依据条款号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1</w:t>
            </w:r>
          </w:p>
        </w:tc>
        <w:tc>
          <w:tcPr>
            <w:tcW w:w="5330" w:type="dxa"/>
            <w:vAlign w:val="center"/>
          </w:tcPr>
          <w:p>
            <w:pPr>
              <w:adjustRightInd w:val="0"/>
              <w:snapToGrid w:val="0"/>
              <w:spacing w:line="360" w:lineRule="auto"/>
              <w:ind w:left="2"/>
              <w:jc w:val="center"/>
              <w:rPr>
                <w:sz w:val="18"/>
                <w:szCs w:val="18"/>
              </w:rPr>
            </w:pPr>
            <w:r>
              <w:rPr>
                <w:rFonts w:hint="eastAsia"/>
                <w:sz w:val="18"/>
                <w:szCs w:val="18"/>
              </w:rPr>
              <w:t>雷电冲击干耐受试验</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2</w:t>
            </w:r>
          </w:p>
        </w:tc>
        <w:tc>
          <w:tcPr>
            <w:tcW w:w="5330" w:type="dxa"/>
            <w:vAlign w:val="center"/>
          </w:tcPr>
          <w:p>
            <w:pPr>
              <w:adjustRightInd w:val="0"/>
              <w:snapToGrid w:val="0"/>
              <w:spacing w:line="360" w:lineRule="auto"/>
              <w:ind w:left="2"/>
              <w:jc w:val="center"/>
              <w:rPr>
                <w:sz w:val="18"/>
                <w:szCs w:val="18"/>
              </w:rPr>
            </w:pPr>
            <w:r>
              <w:rPr>
                <w:rFonts w:hint="eastAsia"/>
                <w:sz w:val="18"/>
                <w:szCs w:val="18"/>
              </w:rPr>
              <w:t>操作冲击干耐受试验（仅针对</w:t>
            </w:r>
            <w:r>
              <w:rPr>
                <w:sz w:val="18"/>
                <w:szCs w:val="18"/>
              </w:rPr>
              <w:t>500kV</w:t>
            </w:r>
            <w:r>
              <w:rPr>
                <w:rFonts w:hint="eastAsia"/>
                <w:sz w:val="18"/>
                <w:szCs w:val="18"/>
              </w:rPr>
              <w:t>户内支柱绝缘子）</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3</w:t>
            </w:r>
          </w:p>
        </w:tc>
        <w:tc>
          <w:tcPr>
            <w:tcW w:w="5330" w:type="dxa"/>
            <w:vAlign w:val="center"/>
          </w:tcPr>
          <w:p>
            <w:pPr>
              <w:adjustRightInd w:val="0"/>
              <w:snapToGrid w:val="0"/>
              <w:spacing w:line="360" w:lineRule="auto"/>
              <w:ind w:left="2"/>
              <w:jc w:val="center"/>
              <w:rPr>
                <w:sz w:val="18"/>
                <w:szCs w:val="18"/>
              </w:rPr>
            </w:pPr>
            <w:r>
              <w:rPr>
                <w:rFonts w:hint="eastAsia"/>
                <w:sz w:val="18"/>
                <w:szCs w:val="18"/>
              </w:rPr>
              <w:t>操作冲击湿耐受试验（仅针对</w:t>
            </w:r>
            <w:r>
              <w:rPr>
                <w:sz w:val="18"/>
                <w:szCs w:val="18"/>
              </w:rPr>
              <w:t>500kV</w:t>
            </w:r>
            <w:r>
              <w:rPr>
                <w:rFonts w:hint="eastAsia"/>
                <w:sz w:val="18"/>
                <w:szCs w:val="18"/>
              </w:rPr>
              <w:t>户外支柱绝缘子）</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4</w:t>
            </w:r>
          </w:p>
        </w:tc>
        <w:tc>
          <w:tcPr>
            <w:tcW w:w="5330" w:type="dxa"/>
            <w:vAlign w:val="center"/>
          </w:tcPr>
          <w:p>
            <w:pPr>
              <w:adjustRightInd w:val="0"/>
              <w:snapToGrid w:val="0"/>
              <w:spacing w:line="360" w:lineRule="auto"/>
              <w:ind w:left="2"/>
              <w:jc w:val="center"/>
              <w:rPr>
                <w:sz w:val="18"/>
                <w:szCs w:val="18"/>
              </w:rPr>
            </w:pPr>
            <w:r>
              <w:rPr>
                <w:rFonts w:hint="eastAsia"/>
                <w:sz w:val="18"/>
                <w:szCs w:val="18"/>
              </w:rPr>
              <w:t>工频干耐受电压试验（仅针对</w:t>
            </w:r>
            <w:r>
              <w:rPr>
                <w:sz w:val="18"/>
                <w:szCs w:val="18"/>
              </w:rPr>
              <w:t>110kV</w:t>
            </w:r>
            <w:r>
              <w:rPr>
                <w:rFonts w:hint="eastAsia"/>
                <w:sz w:val="18"/>
                <w:szCs w:val="18"/>
              </w:rPr>
              <w:t>、</w:t>
            </w:r>
            <w:r>
              <w:rPr>
                <w:sz w:val="18"/>
                <w:szCs w:val="18"/>
              </w:rPr>
              <w:t>220kV</w:t>
            </w:r>
            <w:r>
              <w:rPr>
                <w:rFonts w:hint="eastAsia"/>
                <w:sz w:val="18"/>
                <w:szCs w:val="18"/>
              </w:rPr>
              <w:t>户内支柱绝缘子）</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5</w:t>
            </w:r>
          </w:p>
        </w:tc>
        <w:tc>
          <w:tcPr>
            <w:tcW w:w="5330" w:type="dxa"/>
            <w:vAlign w:val="center"/>
          </w:tcPr>
          <w:p>
            <w:pPr>
              <w:adjustRightInd w:val="0"/>
              <w:snapToGrid w:val="0"/>
              <w:spacing w:line="360" w:lineRule="auto"/>
              <w:ind w:left="2"/>
              <w:jc w:val="center"/>
              <w:rPr>
                <w:sz w:val="18"/>
                <w:szCs w:val="18"/>
              </w:rPr>
            </w:pPr>
            <w:r>
              <w:rPr>
                <w:rFonts w:hint="eastAsia"/>
                <w:sz w:val="18"/>
                <w:szCs w:val="18"/>
              </w:rPr>
              <w:t>工频湿耐受电压试验（</w:t>
            </w:r>
            <w:r>
              <w:rPr>
                <w:sz w:val="18"/>
                <w:szCs w:val="18"/>
              </w:rPr>
              <w:t>110kV</w:t>
            </w:r>
            <w:r>
              <w:rPr>
                <w:rFonts w:hint="eastAsia"/>
                <w:sz w:val="18"/>
                <w:szCs w:val="18"/>
              </w:rPr>
              <w:t>、</w:t>
            </w:r>
            <w:r>
              <w:rPr>
                <w:sz w:val="18"/>
                <w:szCs w:val="18"/>
              </w:rPr>
              <w:t>220kV</w:t>
            </w:r>
            <w:r>
              <w:rPr>
                <w:rFonts w:hint="eastAsia"/>
                <w:sz w:val="18"/>
                <w:szCs w:val="18"/>
              </w:rPr>
              <w:t>户外支柱绝缘子）</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6</w:t>
            </w:r>
          </w:p>
        </w:tc>
        <w:tc>
          <w:tcPr>
            <w:tcW w:w="5330" w:type="dxa"/>
            <w:vAlign w:val="center"/>
          </w:tcPr>
          <w:p>
            <w:pPr>
              <w:jc w:val="center"/>
              <w:rPr>
                <w:sz w:val="18"/>
                <w:szCs w:val="18"/>
              </w:rPr>
            </w:pPr>
            <w:r>
              <w:rPr>
                <w:rFonts w:hint="eastAsia"/>
                <w:sz w:val="18"/>
                <w:szCs w:val="18"/>
              </w:rPr>
              <w:t>人工污秽耐受电压试验（户外支柱绝缘子）</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7</w:t>
            </w:r>
          </w:p>
        </w:tc>
        <w:tc>
          <w:tcPr>
            <w:tcW w:w="5330" w:type="dxa"/>
            <w:vAlign w:val="center"/>
          </w:tcPr>
          <w:p>
            <w:pPr>
              <w:jc w:val="center"/>
              <w:rPr>
                <w:sz w:val="18"/>
                <w:szCs w:val="18"/>
              </w:rPr>
            </w:pPr>
            <w:r>
              <w:rPr>
                <w:rFonts w:hint="eastAsia"/>
                <w:sz w:val="18"/>
                <w:szCs w:val="18"/>
              </w:rPr>
              <w:t>机械破坏负荷试验</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8</w:t>
            </w:r>
          </w:p>
        </w:tc>
        <w:tc>
          <w:tcPr>
            <w:tcW w:w="5330" w:type="dxa"/>
            <w:vAlign w:val="center"/>
          </w:tcPr>
          <w:p>
            <w:pPr>
              <w:snapToGrid w:val="0"/>
              <w:spacing w:line="360" w:lineRule="auto"/>
              <w:jc w:val="center"/>
              <w:rPr>
                <w:sz w:val="18"/>
                <w:szCs w:val="18"/>
              </w:rPr>
            </w:pPr>
            <w:r>
              <w:rPr>
                <w:rFonts w:hint="eastAsia"/>
                <w:sz w:val="18"/>
                <w:szCs w:val="18"/>
              </w:rPr>
              <w:t>负荷下偏移试验（选做）</w:t>
            </w:r>
          </w:p>
        </w:tc>
        <w:tc>
          <w:tcPr>
            <w:tcW w:w="2579"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9</w:t>
            </w:r>
          </w:p>
        </w:tc>
        <w:tc>
          <w:tcPr>
            <w:tcW w:w="5330" w:type="dxa"/>
            <w:vAlign w:val="center"/>
          </w:tcPr>
          <w:p>
            <w:pPr>
              <w:adjustRightInd w:val="0"/>
              <w:snapToGrid w:val="0"/>
              <w:spacing w:line="360" w:lineRule="auto"/>
              <w:jc w:val="center"/>
              <w:rPr>
                <w:sz w:val="18"/>
                <w:szCs w:val="18"/>
              </w:rPr>
            </w:pPr>
            <w:r>
              <w:rPr>
                <w:rFonts w:hint="eastAsia"/>
                <w:sz w:val="18"/>
                <w:szCs w:val="18"/>
              </w:rPr>
              <w:t>无线电干扰试验（选做）</w:t>
            </w:r>
          </w:p>
        </w:tc>
        <w:tc>
          <w:tcPr>
            <w:tcW w:w="2579" w:type="dxa"/>
            <w:vAlign w:val="center"/>
          </w:tcPr>
          <w:p>
            <w:pPr>
              <w:snapToGrid w:val="0"/>
              <w:spacing w:line="360" w:lineRule="auto"/>
              <w:jc w:val="center"/>
              <w:rPr>
                <w:sz w:val="18"/>
                <w:szCs w:val="18"/>
              </w:rPr>
            </w:pPr>
            <w:r>
              <w:rPr>
                <w:sz w:val="18"/>
                <w:szCs w:val="18"/>
              </w:rPr>
              <w:t>GB T 24623-2009</w:t>
            </w:r>
          </w:p>
        </w:tc>
      </w:tr>
    </w:tbl>
    <w:p>
      <w:pPr>
        <w:pStyle w:val="3"/>
        <w:numPr>
          <w:ilvl w:val="0"/>
          <w:numId w:val="0"/>
        </w:numPr>
        <w:adjustRightInd w:val="0"/>
        <w:snapToGrid w:val="0"/>
        <w:spacing w:line="360" w:lineRule="auto"/>
        <w:rPr>
          <w:rFonts w:ascii="黑体" w:hAnsi="黑体"/>
        </w:rPr>
      </w:pPr>
      <w:bookmarkStart w:id="152" w:name="_Toc279695740"/>
      <w:bookmarkEnd w:id="152"/>
      <w:bookmarkStart w:id="153" w:name="_Toc279695741"/>
      <w:bookmarkStart w:id="154" w:name="_Toc22386041"/>
      <w:bookmarkStart w:id="155" w:name="_Toc384341019"/>
      <w:bookmarkStart w:id="156" w:name="_Toc282993304"/>
      <w:r>
        <w:rPr>
          <w:rFonts w:hint="eastAsia" w:ascii="黑体" w:hAnsi="黑体"/>
        </w:rPr>
        <w:t>6.3抽样试验</w:t>
      </w:r>
      <w:bookmarkEnd w:id="153"/>
      <w:bookmarkEnd w:id="154"/>
      <w:bookmarkEnd w:id="155"/>
      <w:bookmarkEnd w:id="156"/>
    </w:p>
    <w:p>
      <w:pPr>
        <w:spacing w:line="360" w:lineRule="auto"/>
      </w:pPr>
      <w:r>
        <w:rPr>
          <w:rFonts w:hint="eastAsia"/>
        </w:rPr>
        <w:t>6</w:t>
      </w:r>
      <w:r>
        <w:t xml:space="preserve">.3.1 </w:t>
      </w:r>
      <w:r>
        <w:rPr>
          <w:rFonts w:hint="eastAsia"/>
        </w:rPr>
        <w:t>抽样</w:t>
      </w:r>
      <w:r>
        <w:t>试验的抽样规程和程序</w:t>
      </w:r>
    </w:p>
    <w:p>
      <w:pPr>
        <w:adjustRightInd w:val="0"/>
        <w:snapToGrid w:val="0"/>
        <w:spacing w:line="360" w:lineRule="auto"/>
        <w:ind w:firstLine="420" w:firstLineChars="200"/>
      </w:pPr>
      <w:r>
        <w:rPr>
          <w:rFonts w:hint="eastAsia"/>
        </w:rPr>
        <w:t>试验</w:t>
      </w:r>
      <w:r>
        <w:t>抽取的支柱绝缘子的数量应符合下表的规定，买方有权从符合逐个试验要求的批中选取试</w:t>
      </w:r>
      <w:r>
        <w:rPr>
          <w:rFonts w:hint="eastAsia"/>
        </w:rPr>
        <w:t>品</w:t>
      </w:r>
      <w:r>
        <w:t>。</w:t>
      </w:r>
      <w:r>
        <w:rPr>
          <w:rFonts w:hint="eastAsia"/>
        </w:rPr>
        <w:t>经过</w:t>
      </w:r>
      <w:r>
        <w:t>抽样试验，并且这些试验可能会影响其机械和（或）电气特性的绝缘子不应再使用。</w:t>
      </w:r>
    </w:p>
    <w:p>
      <w:pPr>
        <w:adjustRightInd w:val="0"/>
        <w:snapToGrid w:val="0"/>
        <w:spacing w:line="360" w:lineRule="auto"/>
        <w:ind w:firstLine="420" w:firstLineChars="200"/>
        <w:jc w:val="center"/>
      </w:pPr>
      <w:r>
        <w:rPr>
          <w:rFonts w:hint="eastAsia"/>
        </w:rPr>
        <w:t>表6 抽样试验样本数量</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0"/>
        <w:gridCol w:w="43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pPr>
              <w:adjustRightInd w:val="0"/>
              <w:snapToGrid w:val="0"/>
              <w:spacing w:line="360" w:lineRule="auto"/>
              <w:jc w:val="center"/>
              <w:rPr>
                <w:sz w:val="18"/>
                <w:szCs w:val="18"/>
              </w:rPr>
            </w:pPr>
            <w:r>
              <w:rPr>
                <w:rFonts w:hint="eastAsia"/>
                <w:sz w:val="18"/>
                <w:szCs w:val="18"/>
              </w:rPr>
              <w:t>批量（</w:t>
            </w:r>
            <w:r>
              <w:rPr>
                <w:sz w:val="18"/>
                <w:szCs w:val="18"/>
              </w:rPr>
              <w:t>n</w:t>
            </w:r>
            <w:r>
              <w:rPr>
                <w:rFonts w:hint="eastAsia"/>
                <w:sz w:val="18"/>
                <w:szCs w:val="18"/>
              </w:rPr>
              <w:t>）</w:t>
            </w:r>
          </w:p>
        </w:tc>
        <w:tc>
          <w:tcPr>
            <w:tcW w:w="4361" w:type="dxa"/>
            <w:vAlign w:val="center"/>
          </w:tcPr>
          <w:p>
            <w:pPr>
              <w:adjustRightInd w:val="0"/>
              <w:snapToGrid w:val="0"/>
              <w:spacing w:line="360" w:lineRule="auto"/>
              <w:jc w:val="center"/>
              <w:rPr>
                <w:sz w:val="18"/>
                <w:szCs w:val="18"/>
              </w:rPr>
            </w:pPr>
            <w:r>
              <w:rPr>
                <w:rFonts w:hint="eastAsia"/>
                <w:sz w:val="18"/>
                <w:szCs w:val="18"/>
              </w:rPr>
              <w:t>样本数量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pPr>
              <w:adjustRightInd w:val="0"/>
              <w:snapToGrid w:val="0"/>
              <w:spacing w:line="360" w:lineRule="auto"/>
              <w:jc w:val="center"/>
              <w:rPr>
                <w:sz w:val="18"/>
                <w:szCs w:val="18"/>
              </w:rPr>
            </w:pPr>
            <w:r>
              <w:rPr>
                <w:sz w:val="18"/>
                <w:szCs w:val="18"/>
              </w:rPr>
              <w:t>n</w:t>
            </w:r>
            <w:r>
              <w:rPr>
                <w:rFonts w:hint="eastAsia"/>
                <w:sz w:val="18"/>
                <w:szCs w:val="18"/>
              </w:rPr>
              <w:t>≤</w:t>
            </w:r>
            <w:r>
              <w:rPr>
                <w:sz w:val="18"/>
                <w:szCs w:val="18"/>
              </w:rPr>
              <w:t>100</w:t>
            </w:r>
          </w:p>
        </w:tc>
        <w:tc>
          <w:tcPr>
            <w:tcW w:w="4361" w:type="dxa"/>
            <w:vAlign w:val="center"/>
          </w:tcPr>
          <w:p>
            <w:pPr>
              <w:adjustRightInd w:val="0"/>
              <w:snapToGrid w:val="0"/>
              <w:spacing w:line="360" w:lineRule="auto"/>
              <w:jc w:val="center"/>
              <w:rPr>
                <w:sz w:val="18"/>
                <w:szCs w:val="18"/>
              </w:rPr>
            </w:pPr>
            <w:r>
              <w:rPr>
                <w:sz w:val="18"/>
                <w:szCs w:val="18"/>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pPr>
              <w:adjustRightInd w:val="0"/>
              <w:snapToGrid w:val="0"/>
              <w:spacing w:line="360" w:lineRule="auto"/>
              <w:jc w:val="center"/>
              <w:rPr>
                <w:sz w:val="18"/>
                <w:szCs w:val="18"/>
              </w:rPr>
            </w:pPr>
            <w:r>
              <w:rPr>
                <w:sz w:val="18"/>
                <w:szCs w:val="18"/>
              </w:rPr>
              <w:t>100</w:t>
            </w:r>
            <w:r>
              <w:rPr>
                <w:rFonts w:hint="eastAsia"/>
                <w:sz w:val="18"/>
                <w:szCs w:val="18"/>
              </w:rPr>
              <w:t>＜</w:t>
            </w:r>
            <w:r>
              <w:rPr>
                <w:sz w:val="18"/>
                <w:szCs w:val="18"/>
              </w:rPr>
              <w:t>n</w:t>
            </w:r>
            <w:r>
              <w:rPr>
                <w:rFonts w:hint="eastAsia"/>
                <w:sz w:val="18"/>
                <w:szCs w:val="18"/>
              </w:rPr>
              <w:t>≤</w:t>
            </w:r>
            <w:r>
              <w:rPr>
                <w:sz w:val="18"/>
                <w:szCs w:val="18"/>
              </w:rPr>
              <w:t>500</w:t>
            </w:r>
          </w:p>
        </w:tc>
        <w:tc>
          <w:tcPr>
            <w:tcW w:w="4361" w:type="dxa"/>
            <w:vAlign w:val="center"/>
          </w:tcPr>
          <w:p>
            <w:pPr>
              <w:adjustRightInd w:val="0"/>
              <w:snapToGrid w:val="0"/>
              <w:spacing w:line="360" w:lineRule="auto"/>
              <w:jc w:val="center"/>
              <w:rPr>
                <w:sz w:val="18"/>
                <w:szCs w:val="18"/>
              </w:rPr>
            </w:pPr>
            <w:r>
              <w:rPr>
                <w:sz w:val="18"/>
                <w:szCs w:val="18"/>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pPr>
              <w:adjustRightInd w:val="0"/>
              <w:snapToGrid w:val="0"/>
              <w:spacing w:line="360" w:lineRule="auto"/>
              <w:jc w:val="center"/>
              <w:rPr>
                <w:sz w:val="18"/>
                <w:szCs w:val="18"/>
              </w:rPr>
            </w:pPr>
            <w:r>
              <w:rPr>
                <w:sz w:val="18"/>
                <w:szCs w:val="18"/>
              </w:rPr>
              <w:t>500</w:t>
            </w:r>
            <w:r>
              <w:rPr>
                <w:rFonts w:hint="eastAsia"/>
                <w:sz w:val="18"/>
                <w:szCs w:val="18"/>
              </w:rPr>
              <w:t>＜</w:t>
            </w:r>
            <w:r>
              <w:rPr>
                <w:sz w:val="18"/>
                <w:szCs w:val="18"/>
              </w:rPr>
              <w:t>n</w:t>
            </w:r>
          </w:p>
        </w:tc>
        <w:tc>
          <w:tcPr>
            <w:tcW w:w="4361" w:type="dxa"/>
            <w:vAlign w:val="center"/>
          </w:tcPr>
          <w:p>
            <w:pPr>
              <w:adjustRightInd w:val="0"/>
              <w:snapToGrid w:val="0"/>
              <w:spacing w:line="360" w:lineRule="auto"/>
              <w:jc w:val="center"/>
              <w:rPr>
                <w:sz w:val="18"/>
                <w:szCs w:val="18"/>
              </w:rPr>
            </w:pPr>
            <w:r>
              <w:rPr>
                <w:sz w:val="18"/>
                <w:szCs w:val="18"/>
              </w:rPr>
              <w:t>4+1.5n/1000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21" w:type="dxa"/>
            <w:gridSpan w:val="2"/>
            <w:vAlign w:val="center"/>
          </w:tcPr>
          <w:p>
            <w:pPr>
              <w:adjustRightInd w:val="0"/>
              <w:snapToGrid w:val="0"/>
              <w:spacing w:line="360" w:lineRule="auto"/>
              <w:jc w:val="center"/>
              <w:rPr>
                <w:sz w:val="18"/>
                <w:szCs w:val="18"/>
              </w:rPr>
            </w:pPr>
            <w:r>
              <w:rPr>
                <w:rFonts w:hint="eastAsia"/>
                <w:sz w:val="18"/>
                <w:szCs w:val="18"/>
              </w:rPr>
              <w:t>如果计算得出的数不是整数，则应选取比其大的下一个整数。</w:t>
            </w:r>
          </w:p>
        </w:tc>
      </w:tr>
    </w:tbl>
    <w:p>
      <w:pPr>
        <w:adjustRightInd w:val="0"/>
        <w:snapToGrid w:val="0"/>
        <w:spacing w:line="360" w:lineRule="auto"/>
      </w:pPr>
      <w:r>
        <w:rPr>
          <w:rFonts w:hint="eastAsia"/>
        </w:rPr>
        <w:t>6</w:t>
      </w:r>
      <w:r>
        <w:t xml:space="preserve">.3.2 </w:t>
      </w:r>
      <w:r>
        <w:rPr>
          <w:rFonts w:hint="eastAsia"/>
        </w:rPr>
        <w:t>抽样</w:t>
      </w:r>
      <w:r>
        <w:t>试验重复试验程序</w:t>
      </w:r>
    </w:p>
    <w:p>
      <w:pPr>
        <w:adjustRightInd w:val="0"/>
        <w:snapToGrid w:val="0"/>
        <w:spacing w:line="360" w:lineRule="auto"/>
      </w:pPr>
      <w:r>
        <w:rPr>
          <w:rFonts w:hint="eastAsia"/>
        </w:rPr>
        <w:t xml:space="preserve">   抽样</w:t>
      </w:r>
      <w:r>
        <w:t>试验重复试验程序应满足</w:t>
      </w:r>
      <w:r>
        <w:rPr>
          <w:rFonts w:hint="eastAsia"/>
        </w:rPr>
        <w:t>GB/T 8287</w:t>
      </w:r>
      <w:r>
        <w:t>.1</w:t>
      </w:r>
      <w:r>
        <w:rPr>
          <w:rFonts w:hint="eastAsia"/>
        </w:rPr>
        <w:t>-2008中3</w:t>
      </w:r>
      <w:r>
        <w:t>.4.2</w:t>
      </w:r>
      <w:r>
        <w:rPr>
          <w:rFonts w:hint="eastAsia"/>
        </w:rPr>
        <w:t>条</w:t>
      </w:r>
      <w:r>
        <w:t>的规定。</w:t>
      </w:r>
    </w:p>
    <w:p>
      <w:pPr>
        <w:adjustRightInd w:val="0"/>
        <w:snapToGrid w:val="0"/>
        <w:spacing w:line="360" w:lineRule="auto"/>
      </w:pPr>
      <w:r>
        <w:rPr>
          <w:rFonts w:hint="eastAsia"/>
        </w:rPr>
        <w:t>6</w:t>
      </w:r>
      <w:r>
        <w:t xml:space="preserve">.3.3 </w:t>
      </w:r>
      <w:r>
        <w:rPr>
          <w:rFonts w:hint="eastAsia"/>
        </w:rPr>
        <w:t>试验</w:t>
      </w:r>
      <w:r>
        <w:t>项目</w:t>
      </w:r>
    </w:p>
    <w:p>
      <w:pPr>
        <w:adjustRightInd w:val="0"/>
        <w:snapToGrid w:val="0"/>
        <w:spacing w:line="360" w:lineRule="auto"/>
        <w:ind w:firstLine="420" w:firstLineChars="200"/>
        <w:jc w:val="center"/>
      </w:pPr>
      <w:r>
        <w:rPr>
          <w:rFonts w:hint="eastAsia"/>
        </w:rPr>
        <w:t>表7 抽样试验项目及依据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4451"/>
        <w:gridCol w:w="3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rFonts w:hint="eastAsia"/>
                <w:sz w:val="18"/>
                <w:szCs w:val="18"/>
              </w:rPr>
              <w:t>序号</w:t>
            </w:r>
          </w:p>
        </w:tc>
        <w:tc>
          <w:tcPr>
            <w:tcW w:w="4451" w:type="dxa"/>
            <w:vAlign w:val="center"/>
          </w:tcPr>
          <w:p>
            <w:pPr>
              <w:snapToGrid w:val="0"/>
              <w:spacing w:line="360" w:lineRule="auto"/>
              <w:jc w:val="center"/>
              <w:rPr>
                <w:sz w:val="18"/>
                <w:szCs w:val="18"/>
              </w:rPr>
            </w:pPr>
            <w:r>
              <w:rPr>
                <w:rFonts w:hint="eastAsia"/>
                <w:sz w:val="18"/>
                <w:szCs w:val="18"/>
              </w:rPr>
              <w:t>试验项目</w:t>
            </w:r>
          </w:p>
        </w:tc>
        <w:tc>
          <w:tcPr>
            <w:tcW w:w="3458" w:type="dxa"/>
            <w:vAlign w:val="center"/>
          </w:tcPr>
          <w:p>
            <w:pPr>
              <w:snapToGrid w:val="0"/>
              <w:spacing w:line="360" w:lineRule="auto"/>
              <w:jc w:val="center"/>
              <w:rPr>
                <w:sz w:val="18"/>
                <w:szCs w:val="18"/>
              </w:rPr>
            </w:pPr>
            <w:r>
              <w:rPr>
                <w:rFonts w:hint="eastAsia"/>
                <w:sz w:val="18"/>
                <w:szCs w:val="18"/>
              </w:rPr>
              <w:t>依据条款号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1</w:t>
            </w:r>
          </w:p>
        </w:tc>
        <w:tc>
          <w:tcPr>
            <w:tcW w:w="4451" w:type="dxa"/>
            <w:vAlign w:val="center"/>
          </w:tcPr>
          <w:p>
            <w:pPr>
              <w:adjustRightInd w:val="0"/>
              <w:snapToGrid w:val="0"/>
              <w:spacing w:line="360" w:lineRule="auto"/>
              <w:ind w:left="2"/>
              <w:jc w:val="center"/>
              <w:rPr>
                <w:sz w:val="18"/>
                <w:szCs w:val="18"/>
              </w:rPr>
            </w:pPr>
            <w:r>
              <w:rPr>
                <w:rFonts w:hint="eastAsia"/>
                <w:sz w:val="18"/>
                <w:szCs w:val="18"/>
              </w:rPr>
              <w:t>尺寸检测</w:t>
            </w:r>
          </w:p>
        </w:tc>
        <w:tc>
          <w:tcPr>
            <w:tcW w:w="3458"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2</w:t>
            </w:r>
          </w:p>
        </w:tc>
        <w:tc>
          <w:tcPr>
            <w:tcW w:w="4451" w:type="dxa"/>
            <w:vAlign w:val="center"/>
          </w:tcPr>
          <w:p>
            <w:pPr>
              <w:adjustRightInd w:val="0"/>
              <w:snapToGrid w:val="0"/>
              <w:spacing w:line="360" w:lineRule="auto"/>
              <w:ind w:left="2"/>
              <w:jc w:val="center"/>
              <w:rPr>
                <w:sz w:val="18"/>
                <w:szCs w:val="18"/>
              </w:rPr>
            </w:pPr>
            <w:r>
              <w:rPr>
                <w:rFonts w:hint="eastAsia"/>
                <w:sz w:val="18"/>
                <w:szCs w:val="18"/>
              </w:rPr>
              <w:t>温度循环试验</w:t>
            </w:r>
          </w:p>
        </w:tc>
        <w:tc>
          <w:tcPr>
            <w:tcW w:w="3458"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3</w:t>
            </w:r>
          </w:p>
        </w:tc>
        <w:tc>
          <w:tcPr>
            <w:tcW w:w="4451" w:type="dxa"/>
            <w:vAlign w:val="center"/>
          </w:tcPr>
          <w:p>
            <w:pPr>
              <w:adjustRightInd w:val="0"/>
              <w:snapToGrid w:val="0"/>
              <w:spacing w:line="360" w:lineRule="auto"/>
              <w:ind w:left="2"/>
              <w:jc w:val="center"/>
              <w:rPr>
                <w:sz w:val="18"/>
                <w:szCs w:val="18"/>
              </w:rPr>
            </w:pPr>
            <w:r>
              <w:rPr>
                <w:rFonts w:hint="eastAsia"/>
                <w:sz w:val="18"/>
                <w:szCs w:val="18"/>
              </w:rPr>
              <w:t>机械破坏负荷试验</w:t>
            </w:r>
          </w:p>
        </w:tc>
        <w:tc>
          <w:tcPr>
            <w:tcW w:w="3458"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4</w:t>
            </w:r>
          </w:p>
        </w:tc>
        <w:tc>
          <w:tcPr>
            <w:tcW w:w="4451" w:type="dxa"/>
            <w:vAlign w:val="center"/>
          </w:tcPr>
          <w:p>
            <w:pPr>
              <w:adjustRightInd w:val="0"/>
              <w:snapToGrid w:val="0"/>
              <w:spacing w:line="360" w:lineRule="auto"/>
              <w:ind w:left="2"/>
              <w:jc w:val="center"/>
              <w:rPr>
                <w:sz w:val="18"/>
                <w:szCs w:val="18"/>
              </w:rPr>
            </w:pPr>
            <w:r>
              <w:rPr>
                <w:rFonts w:hint="eastAsia"/>
                <w:sz w:val="18"/>
                <w:szCs w:val="18"/>
              </w:rPr>
              <w:t>孔隙性试验</w:t>
            </w:r>
          </w:p>
        </w:tc>
        <w:tc>
          <w:tcPr>
            <w:tcW w:w="3458"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5</w:t>
            </w:r>
          </w:p>
        </w:tc>
        <w:tc>
          <w:tcPr>
            <w:tcW w:w="4451" w:type="dxa"/>
            <w:vAlign w:val="center"/>
          </w:tcPr>
          <w:p>
            <w:pPr>
              <w:adjustRightInd w:val="0"/>
              <w:snapToGrid w:val="0"/>
              <w:spacing w:line="360" w:lineRule="auto"/>
              <w:ind w:left="2"/>
              <w:jc w:val="center"/>
              <w:rPr>
                <w:sz w:val="18"/>
                <w:szCs w:val="18"/>
              </w:rPr>
            </w:pPr>
            <w:r>
              <w:rPr>
                <w:rFonts w:hint="eastAsia"/>
                <w:sz w:val="18"/>
                <w:szCs w:val="18"/>
              </w:rPr>
              <w:t>镀锌层试验</w:t>
            </w:r>
          </w:p>
        </w:tc>
        <w:tc>
          <w:tcPr>
            <w:tcW w:w="3458"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5.7</w:t>
            </w:r>
          </w:p>
        </w:tc>
      </w:tr>
    </w:tbl>
    <w:p>
      <w:pPr>
        <w:adjustRightInd w:val="0"/>
        <w:snapToGrid w:val="0"/>
        <w:spacing w:line="360" w:lineRule="auto"/>
      </w:pPr>
    </w:p>
    <w:p>
      <w:pPr>
        <w:pStyle w:val="3"/>
        <w:numPr>
          <w:ilvl w:val="0"/>
          <w:numId w:val="0"/>
        </w:numPr>
        <w:adjustRightInd w:val="0"/>
        <w:snapToGrid w:val="0"/>
        <w:spacing w:line="360" w:lineRule="auto"/>
        <w:rPr>
          <w:rFonts w:ascii="黑体" w:hAnsi="黑体"/>
        </w:rPr>
      </w:pPr>
      <w:bookmarkStart w:id="157" w:name="_Toc22386042"/>
      <w:r>
        <w:rPr>
          <w:rFonts w:hint="eastAsia" w:ascii="黑体" w:hAnsi="黑体"/>
        </w:rPr>
        <w:t>6.4 逐个试验</w:t>
      </w:r>
      <w:bookmarkEnd w:id="157"/>
    </w:p>
    <w:p>
      <w:r>
        <w:rPr>
          <w:rFonts w:hint="eastAsia"/>
        </w:rPr>
        <w:t>6</w:t>
      </w:r>
      <w:r>
        <w:t xml:space="preserve">.4.1 </w:t>
      </w:r>
      <w:r>
        <w:rPr>
          <w:rFonts w:hint="eastAsia"/>
        </w:rPr>
        <w:t>试验</w:t>
      </w:r>
      <w:r>
        <w:t>项目</w:t>
      </w:r>
    </w:p>
    <w:p>
      <w:pPr>
        <w:adjustRightInd w:val="0"/>
        <w:snapToGrid w:val="0"/>
        <w:spacing w:line="360" w:lineRule="auto"/>
        <w:ind w:firstLine="420" w:firstLineChars="200"/>
        <w:jc w:val="center"/>
      </w:pPr>
      <w:r>
        <w:rPr>
          <w:rFonts w:hint="eastAsia"/>
        </w:rPr>
        <w:t>表8 逐个试验项目及依据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5018"/>
        <w:gridCol w:w="2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rFonts w:hint="eastAsia"/>
                <w:sz w:val="18"/>
                <w:szCs w:val="18"/>
              </w:rPr>
              <w:t>序号</w:t>
            </w:r>
          </w:p>
        </w:tc>
        <w:tc>
          <w:tcPr>
            <w:tcW w:w="5018" w:type="dxa"/>
            <w:vAlign w:val="center"/>
          </w:tcPr>
          <w:p>
            <w:pPr>
              <w:snapToGrid w:val="0"/>
              <w:spacing w:line="360" w:lineRule="auto"/>
              <w:jc w:val="center"/>
              <w:rPr>
                <w:sz w:val="18"/>
                <w:szCs w:val="18"/>
              </w:rPr>
            </w:pPr>
            <w:r>
              <w:rPr>
                <w:rFonts w:hint="eastAsia"/>
                <w:sz w:val="18"/>
                <w:szCs w:val="18"/>
              </w:rPr>
              <w:t>试验项目</w:t>
            </w:r>
          </w:p>
        </w:tc>
        <w:tc>
          <w:tcPr>
            <w:tcW w:w="2891" w:type="dxa"/>
            <w:vAlign w:val="center"/>
          </w:tcPr>
          <w:p>
            <w:pPr>
              <w:snapToGrid w:val="0"/>
              <w:spacing w:line="360" w:lineRule="auto"/>
              <w:jc w:val="center"/>
              <w:rPr>
                <w:sz w:val="18"/>
                <w:szCs w:val="18"/>
              </w:rPr>
            </w:pPr>
            <w:r>
              <w:rPr>
                <w:rFonts w:hint="eastAsia"/>
                <w:sz w:val="18"/>
                <w:szCs w:val="18"/>
              </w:rPr>
              <w:t>依据条款号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1</w:t>
            </w:r>
          </w:p>
        </w:tc>
        <w:tc>
          <w:tcPr>
            <w:tcW w:w="5018" w:type="dxa"/>
            <w:vAlign w:val="center"/>
          </w:tcPr>
          <w:p>
            <w:pPr>
              <w:adjustRightInd w:val="0"/>
              <w:snapToGrid w:val="0"/>
              <w:spacing w:line="360" w:lineRule="auto"/>
              <w:ind w:left="2"/>
              <w:jc w:val="center"/>
              <w:rPr>
                <w:sz w:val="18"/>
                <w:szCs w:val="18"/>
              </w:rPr>
            </w:pPr>
            <w:r>
              <w:rPr>
                <w:rFonts w:hint="eastAsia"/>
                <w:sz w:val="18"/>
                <w:szCs w:val="18"/>
              </w:rPr>
              <w:t>逐个外观检测</w:t>
            </w:r>
          </w:p>
        </w:tc>
        <w:tc>
          <w:tcPr>
            <w:tcW w:w="2891"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2</w:t>
            </w:r>
          </w:p>
        </w:tc>
        <w:tc>
          <w:tcPr>
            <w:tcW w:w="5018" w:type="dxa"/>
            <w:vAlign w:val="center"/>
          </w:tcPr>
          <w:p>
            <w:pPr>
              <w:adjustRightInd w:val="0"/>
              <w:snapToGrid w:val="0"/>
              <w:spacing w:line="360" w:lineRule="auto"/>
              <w:ind w:left="2"/>
              <w:jc w:val="center"/>
              <w:rPr>
                <w:sz w:val="18"/>
                <w:szCs w:val="18"/>
              </w:rPr>
            </w:pPr>
            <w:r>
              <w:rPr>
                <w:rFonts w:hint="eastAsia"/>
                <w:sz w:val="18"/>
                <w:szCs w:val="18"/>
              </w:rPr>
              <w:t>高度检查</w:t>
            </w:r>
          </w:p>
        </w:tc>
        <w:tc>
          <w:tcPr>
            <w:tcW w:w="2891"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3</w:t>
            </w:r>
          </w:p>
        </w:tc>
        <w:tc>
          <w:tcPr>
            <w:tcW w:w="5018" w:type="dxa"/>
            <w:vAlign w:val="center"/>
          </w:tcPr>
          <w:p>
            <w:pPr>
              <w:adjustRightInd w:val="0"/>
              <w:snapToGrid w:val="0"/>
              <w:spacing w:line="360" w:lineRule="auto"/>
              <w:ind w:left="2"/>
              <w:jc w:val="center"/>
              <w:rPr>
                <w:sz w:val="18"/>
                <w:szCs w:val="18"/>
              </w:rPr>
            </w:pPr>
            <w:r>
              <w:rPr>
                <w:rFonts w:hint="eastAsia"/>
                <w:sz w:val="18"/>
                <w:szCs w:val="18"/>
              </w:rPr>
              <w:t>超声波探伤检测</w:t>
            </w:r>
          </w:p>
        </w:tc>
        <w:tc>
          <w:tcPr>
            <w:tcW w:w="2891"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snapToGrid w:val="0"/>
              <w:spacing w:line="360" w:lineRule="auto"/>
              <w:jc w:val="center"/>
              <w:rPr>
                <w:sz w:val="18"/>
                <w:szCs w:val="18"/>
              </w:rPr>
            </w:pPr>
            <w:r>
              <w:rPr>
                <w:sz w:val="18"/>
                <w:szCs w:val="18"/>
              </w:rPr>
              <w:t>4</w:t>
            </w:r>
          </w:p>
        </w:tc>
        <w:tc>
          <w:tcPr>
            <w:tcW w:w="5018" w:type="dxa"/>
            <w:vAlign w:val="center"/>
          </w:tcPr>
          <w:p>
            <w:pPr>
              <w:adjustRightInd w:val="0"/>
              <w:snapToGrid w:val="0"/>
              <w:spacing w:line="360" w:lineRule="auto"/>
              <w:ind w:left="2"/>
              <w:jc w:val="center"/>
              <w:rPr>
                <w:sz w:val="18"/>
                <w:szCs w:val="18"/>
              </w:rPr>
            </w:pPr>
            <w:r>
              <w:rPr>
                <w:rFonts w:hint="eastAsia"/>
                <w:sz w:val="18"/>
                <w:szCs w:val="18"/>
              </w:rPr>
              <w:t>逐个机械试验（弯曲试验）</w:t>
            </w:r>
          </w:p>
        </w:tc>
        <w:tc>
          <w:tcPr>
            <w:tcW w:w="2891" w:type="dxa"/>
            <w:vAlign w:val="center"/>
          </w:tcPr>
          <w:p>
            <w:pPr>
              <w:snapToGrid w:val="0"/>
              <w:spacing w:line="360" w:lineRule="auto"/>
              <w:jc w:val="center"/>
              <w:rPr>
                <w:sz w:val="18"/>
                <w:szCs w:val="18"/>
              </w:rPr>
            </w:pPr>
            <w:r>
              <w:rPr>
                <w:sz w:val="18"/>
                <w:szCs w:val="18"/>
              </w:rPr>
              <w:t>GB/T 8287.1-2008</w:t>
            </w:r>
            <w:r>
              <w:rPr>
                <w:rFonts w:hint="eastAsia"/>
                <w:sz w:val="18"/>
                <w:szCs w:val="18"/>
              </w:rPr>
              <w:t>的</w:t>
            </w:r>
            <w:r>
              <w:rPr>
                <w:sz w:val="18"/>
                <w:szCs w:val="18"/>
              </w:rPr>
              <w:t>5.9</w:t>
            </w:r>
          </w:p>
        </w:tc>
      </w:tr>
    </w:tbl>
    <w:p>
      <w:pPr>
        <w:adjustRightInd w:val="0"/>
        <w:snapToGrid w:val="0"/>
        <w:spacing w:line="360" w:lineRule="auto"/>
        <w:ind w:firstLine="420" w:firstLineChars="200"/>
      </w:pPr>
    </w:p>
    <w:p>
      <w:pPr>
        <w:pStyle w:val="3"/>
        <w:numPr>
          <w:ilvl w:val="0"/>
          <w:numId w:val="0"/>
        </w:numPr>
        <w:adjustRightInd w:val="0"/>
        <w:snapToGrid w:val="0"/>
        <w:spacing w:line="360" w:lineRule="auto"/>
        <w:rPr>
          <w:rFonts w:ascii="黑体" w:hAnsi="黑体"/>
        </w:rPr>
      </w:pPr>
      <w:bookmarkStart w:id="158" w:name="_Toc22386043"/>
      <w:r>
        <w:rPr>
          <w:rFonts w:hint="eastAsia" w:ascii="黑体" w:hAnsi="黑体"/>
        </w:rPr>
        <w:t>6.5 交接试验</w:t>
      </w:r>
      <w:bookmarkEnd w:id="158"/>
    </w:p>
    <w:p>
      <w:pPr>
        <w:adjustRightInd w:val="0"/>
        <w:snapToGrid w:val="0"/>
        <w:spacing w:line="360" w:lineRule="auto"/>
        <w:ind w:firstLine="420" w:firstLineChars="200"/>
      </w:pPr>
      <w:r>
        <w:rPr>
          <w:rFonts w:hint="eastAsia"/>
        </w:rPr>
        <w:t>支柱绝缘子的交接试验参照GB 50150-2016 中第16章</w:t>
      </w:r>
      <w:r>
        <w:t>的规定进行。</w:t>
      </w:r>
    </w:p>
    <w:p>
      <w:pPr>
        <w:pStyle w:val="2"/>
        <w:numPr>
          <w:ilvl w:val="0"/>
          <w:numId w:val="0"/>
        </w:numPr>
        <w:rPr>
          <w:rFonts w:ascii="黑体" w:hAnsi="黑体" w:eastAsia="黑体"/>
          <w:b/>
          <w:sz w:val="21"/>
          <w:szCs w:val="21"/>
        </w:rPr>
      </w:pPr>
      <w:bookmarkStart w:id="159" w:name="_Toc279696001"/>
      <w:bookmarkStart w:id="160" w:name="_Toc276492422"/>
      <w:bookmarkStart w:id="161" w:name="_Toc282993354"/>
      <w:bookmarkStart w:id="162" w:name="_Toc22386044"/>
      <w:bookmarkStart w:id="163" w:name="_Toc384341024"/>
      <w:bookmarkStart w:id="164" w:name="_Toc276490910"/>
      <w:r>
        <w:rPr>
          <w:rFonts w:hint="eastAsia" w:ascii="黑体" w:hAnsi="黑体" w:eastAsia="黑体"/>
          <w:b/>
          <w:sz w:val="21"/>
          <w:szCs w:val="21"/>
        </w:rPr>
        <w:t>7 产品对环境的影响</w:t>
      </w:r>
      <w:bookmarkEnd w:id="159"/>
      <w:bookmarkEnd w:id="160"/>
      <w:bookmarkEnd w:id="161"/>
      <w:bookmarkEnd w:id="162"/>
      <w:bookmarkEnd w:id="163"/>
      <w:bookmarkEnd w:id="164"/>
    </w:p>
    <w:p>
      <w:pPr>
        <w:adjustRightInd w:val="0"/>
        <w:snapToGrid w:val="0"/>
        <w:spacing w:line="360" w:lineRule="auto"/>
        <w:ind w:firstLine="420" w:firstLineChars="200"/>
      </w:pPr>
      <w:r>
        <w:rPr>
          <w:rFonts w:hint="eastAsia"/>
        </w:rPr>
        <w:t>1）坚持以资源节约型和环境友好型的原则，同时应考虑降低投资成本和提高运行经济性。</w:t>
      </w:r>
    </w:p>
    <w:p>
      <w:pPr>
        <w:adjustRightInd w:val="0"/>
        <w:snapToGrid w:val="0"/>
        <w:spacing w:line="360" w:lineRule="auto"/>
        <w:ind w:firstLine="420" w:firstLineChars="200"/>
      </w:pPr>
      <w:r>
        <w:rPr>
          <w:rFonts w:hint="eastAsia"/>
        </w:rPr>
        <w:t>2）应对噪声、工频电场和磁场、高频电磁波、通信干扰等方面采取必要的防治措施，并满足国家相关标准的要求。</w:t>
      </w:r>
    </w:p>
    <w:p>
      <w:pPr>
        <w:adjustRightInd w:val="0"/>
        <w:snapToGrid w:val="0"/>
        <w:spacing w:line="360" w:lineRule="auto"/>
        <w:ind w:firstLine="420" w:firstLineChars="200"/>
      </w:pPr>
      <w:r>
        <w:rPr>
          <w:rFonts w:hint="eastAsia"/>
        </w:rPr>
        <w:t>3）推广采用高可靠性、小型化和节能型设备。</w:t>
      </w:r>
    </w:p>
    <w:p>
      <w:pPr>
        <w:adjustRightInd w:val="0"/>
        <w:snapToGrid w:val="0"/>
        <w:spacing w:line="360" w:lineRule="auto"/>
        <w:ind w:firstLine="420" w:firstLineChars="200"/>
      </w:pPr>
      <w:r>
        <w:rPr>
          <w:rFonts w:hint="eastAsia"/>
        </w:rPr>
        <w:t>4）优先选用损耗低的产品。</w:t>
      </w:r>
    </w:p>
    <w:p>
      <w:pPr>
        <w:pStyle w:val="2"/>
        <w:numPr>
          <w:ilvl w:val="0"/>
          <w:numId w:val="0"/>
        </w:numPr>
        <w:rPr>
          <w:rFonts w:ascii="黑体" w:hAnsi="黑体" w:eastAsia="黑体"/>
          <w:b/>
          <w:sz w:val="21"/>
          <w:szCs w:val="21"/>
        </w:rPr>
      </w:pPr>
      <w:bookmarkStart w:id="165" w:name="_Toc282433757"/>
      <w:bookmarkStart w:id="166" w:name="_Toc282993358"/>
      <w:bookmarkStart w:id="167" w:name="_Toc279695206"/>
      <w:bookmarkStart w:id="168" w:name="_Toc384341028"/>
      <w:bookmarkStart w:id="169" w:name="_Toc22386045"/>
      <w:r>
        <w:rPr>
          <w:rFonts w:hint="eastAsia" w:ascii="黑体" w:hAnsi="黑体" w:eastAsia="黑体"/>
          <w:b/>
          <w:sz w:val="21"/>
          <w:szCs w:val="21"/>
        </w:rPr>
        <w:t>8 技术文件</w:t>
      </w:r>
      <w:bookmarkEnd w:id="165"/>
      <w:bookmarkEnd w:id="166"/>
      <w:bookmarkEnd w:id="167"/>
      <w:r>
        <w:rPr>
          <w:rFonts w:hint="eastAsia" w:ascii="黑体" w:hAnsi="黑体" w:eastAsia="黑体"/>
          <w:b/>
          <w:sz w:val="21"/>
          <w:szCs w:val="21"/>
        </w:rPr>
        <w:t>要求</w:t>
      </w:r>
      <w:bookmarkEnd w:id="168"/>
      <w:bookmarkEnd w:id="169"/>
    </w:p>
    <w:p>
      <w:pPr>
        <w:adjustRightInd w:val="0"/>
        <w:snapToGrid w:val="0"/>
        <w:spacing w:line="360" w:lineRule="auto"/>
        <w:rPr>
          <w:rFonts w:ascii="黑体" w:hAnsi="黑体" w:eastAsia="黑体"/>
        </w:rPr>
      </w:pPr>
      <w:bookmarkStart w:id="170" w:name="_Toc384341029"/>
      <w:r>
        <w:rPr>
          <w:rFonts w:hint="eastAsia" w:ascii="黑体" w:hAnsi="黑体" w:eastAsia="黑体"/>
        </w:rPr>
        <w:t>8.1一般要求</w:t>
      </w:r>
      <w:bookmarkEnd w:id="170"/>
    </w:p>
    <w:p>
      <w:pPr>
        <w:adjustRightInd w:val="0"/>
        <w:snapToGrid w:val="0"/>
        <w:spacing w:line="360" w:lineRule="auto"/>
      </w:pPr>
      <w:r>
        <w:rPr>
          <w:rFonts w:hint="eastAsia"/>
        </w:rPr>
        <w:t xml:space="preserve">8.1.1 </w:t>
      </w:r>
      <w:r>
        <w:t>投标方提供的</w:t>
      </w:r>
      <w:r>
        <w:rPr>
          <w:rFonts w:hint="eastAsia"/>
        </w:rPr>
        <w:t>图纸、</w:t>
      </w:r>
      <w:r>
        <w:t>资料</w:t>
      </w:r>
      <w:r>
        <w:rPr>
          <w:rFonts w:hint="eastAsia"/>
        </w:rPr>
        <w:t>、文件</w:t>
      </w:r>
      <w:r>
        <w:t>应使用国家法定单位制即国际单位制，语言为中文。</w:t>
      </w:r>
    </w:p>
    <w:p>
      <w:pPr>
        <w:adjustRightInd w:val="0"/>
        <w:snapToGrid w:val="0"/>
        <w:spacing w:line="360" w:lineRule="auto"/>
      </w:pPr>
      <w:r>
        <w:rPr>
          <w:rFonts w:hint="eastAsia"/>
        </w:rPr>
        <w:t>8.1.2</w:t>
      </w:r>
      <w:r>
        <w:t>资料的组织结构清晰、逻辑性强。资料内容</w:t>
      </w:r>
      <w:r>
        <w:rPr>
          <w:rFonts w:hint="eastAsia"/>
        </w:rPr>
        <w:t>要</w:t>
      </w:r>
      <w:r>
        <w:t>正确、准确、一致、清晰、完整，满足工程要求。</w:t>
      </w:r>
    </w:p>
    <w:p>
      <w:pPr>
        <w:adjustRightInd w:val="0"/>
        <w:snapToGrid w:val="0"/>
        <w:spacing w:line="360" w:lineRule="auto"/>
      </w:pPr>
      <w:r>
        <w:rPr>
          <w:rFonts w:hint="eastAsia"/>
        </w:rPr>
        <w:t>8.1.3</w:t>
      </w:r>
      <w:r>
        <w:t xml:space="preserve"> 对于其它没有列入合同技术资料清单，却是工程所必需的文件和资料，一经发现，投标方也应及时免费提供。如</w:t>
      </w:r>
      <w:r>
        <w:rPr>
          <w:rFonts w:hint="eastAsia"/>
        </w:rPr>
        <w:t>项目</w:t>
      </w:r>
      <w:r>
        <w:t>工程为多台设备构成，后续设备有改进时，投标方应及时免费提供新的技术资料。</w:t>
      </w:r>
    </w:p>
    <w:p>
      <w:pPr>
        <w:adjustRightInd w:val="0"/>
        <w:snapToGrid w:val="0"/>
        <w:spacing w:line="360" w:lineRule="auto"/>
      </w:pPr>
      <w:r>
        <w:rPr>
          <w:rFonts w:hint="eastAsia"/>
        </w:rPr>
        <w:t>8.1.4</w:t>
      </w:r>
      <w:r>
        <w:t>“工厂图纸”包括制造、装配、安装和布置图</w:t>
      </w:r>
      <w:r>
        <w:rPr>
          <w:rFonts w:hint="eastAsia"/>
        </w:rPr>
        <w:t>、</w:t>
      </w:r>
      <w:r>
        <w:t>接线图</w:t>
      </w:r>
      <w:r>
        <w:rPr>
          <w:rFonts w:hint="eastAsia"/>
        </w:rPr>
        <w:t>、</w:t>
      </w:r>
      <w:r>
        <w:t>材料和设备的清单或表格</w:t>
      </w:r>
      <w:r>
        <w:rPr>
          <w:rFonts w:hint="eastAsia"/>
        </w:rPr>
        <w:t>、</w:t>
      </w:r>
      <w:r>
        <w:t>标准图</w:t>
      </w:r>
      <w:r>
        <w:rPr>
          <w:rFonts w:hint="eastAsia"/>
        </w:rPr>
        <w:t>、</w:t>
      </w:r>
      <w:r>
        <w:t>设计计算书</w:t>
      </w:r>
      <w:r>
        <w:rPr>
          <w:rFonts w:hint="eastAsia"/>
        </w:rPr>
        <w:t>、</w:t>
      </w:r>
      <w:r>
        <w:t>说明书</w:t>
      </w:r>
      <w:r>
        <w:rPr>
          <w:rFonts w:hint="eastAsia"/>
        </w:rPr>
        <w:t>、</w:t>
      </w:r>
      <w:r>
        <w:t>样本</w:t>
      </w:r>
      <w:r>
        <w:rPr>
          <w:rFonts w:hint="eastAsia"/>
        </w:rPr>
        <w:t>、</w:t>
      </w:r>
      <w:r>
        <w:t>小册子</w:t>
      </w:r>
      <w:r>
        <w:rPr>
          <w:rFonts w:hint="eastAsia"/>
        </w:rPr>
        <w:t>、</w:t>
      </w:r>
      <w:r>
        <w:t>特性图表、试验报告</w:t>
      </w:r>
      <w:r>
        <w:rPr>
          <w:rFonts w:hint="eastAsia"/>
        </w:rPr>
        <w:t>、</w:t>
      </w:r>
      <w:r>
        <w:t>以及涉及到与材料、设备有关的图纸和说明等。</w:t>
      </w:r>
    </w:p>
    <w:p>
      <w:pPr>
        <w:adjustRightInd w:val="0"/>
        <w:snapToGrid w:val="0"/>
        <w:spacing w:line="360" w:lineRule="auto"/>
      </w:pPr>
      <w:r>
        <w:rPr>
          <w:rFonts w:hint="eastAsia"/>
        </w:rPr>
        <w:t>8.1.5</w:t>
      </w:r>
      <w:r>
        <w:t>投标方应将“工厂图纸”提交给招标方审查认可。未经审查认可, 不得进行备料和工厂生产。</w:t>
      </w:r>
    </w:p>
    <w:p>
      <w:pPr>
        <w:adjustRightInd w:val="0"/>
        <w:snapToGrid w:val="0"/>
        <w:spacing w:line="360" w:lineRule="auto"/>
      </w:pPr>
      <w:r>
        <w:rPr>
          <w:rFonts w:hint="eastAsia"/>
        </w:rPr>
        <w:t>8.1.6 投标方应在30年使用寿命期限内，提供设备所需备品备件。</w:t>
      </w:r>
    </w:p>
    <w:p>
      <w:pPr>
        <w:adjustRightInd w:val="0"/>
        <w:snapToGrid w:val="0"/>
        <w:spacing w:line="360" w:lineRule="auto"/>
        <w:rPr>
          <w:rFonts w:ascii="黑体" w:hAnsi="黑体" w:eastAsia="黑体"/>
        </w:rPr>
      </w:pPr>
      <w:bookmarkStart w:id="171" w:name="_Toc384341030"/>
      <w:r>
        <w:rPr>
          <w:rFonts w:hint="eastAsia" w:ascii="黑体" w:hAnsi="黑体" w:eastAsia="黑体"/>
        </w:rPr>
        <w:t xml:space="preserve">8.2 </w:t>
      </w:r>
      <w:r>
        <w:rPr>
          <w:rFonts w:ascii="黑体" w:hAnsi="黑体" w:eastAsia="黑体"/>
        </w:rPr>
        <w:t>投标方</w:t>
      </w:r>
      <w:r>
        <w:rPr>
          <w:rFonts w:hint="eastAsia" w:ascii="黑体" w:hAnsi="黑体" w:eastAsia="黑体"/>
        </w:rPr>
        <w:t>在投标阶段</w:t>
      </w:r>
      <w:r>
        <w:rPr>
          <w:rFonts w:ascii="黑体" w:hAnsi="黑体" w:eastAsia="黑体"/>
        </w:rPr>
        <w:t>应提交</w:t>
      </w:r>
      <w:r>
        <w:rPr>
          <w:rFonts w:hint="eastAsia" w:ascii="黑体" w:hAnsi="黑体" w:eastAsia="黑体"/>
        </w:rPr>
        <w:t>的支柱</w:t>
      </w:r>
      <w:r>
        <w:rPr>
          <w:rFonts w:ascii="黑体" w:hAnsi="黑体" w:eastAsia="黑体"/>
        </w:rPr>
        <w:t>绝缘子资料</w:t>
      </w:r>
      <w:r>
        <w:rPr>
          <w:rFonts w:hint="eastAsia" w:ascii="黑体" w:hAnsi="黑体" w:eastAsia="黑体"/>
        </w:rPr>
        <w:t>及说明</w:t>
      </w:r>
      <w:bookmarkEnd w:id="171"/>
    </w:p>
    <w:p>
      <w:pPr>
        <w:adjustRightInd w:val="0"/>
        <w:snapToGrid w:val="0"/>
        <w:spacing w:line="360" w:lineRule="auto"/>
        <w:ind w:firstLine="420" w:firstLineChars="200"/>
      </w:pPr>
      <w:r>
        <w:t>1）</w:t>
      </w:r>
      <w:r>
        <w:rPr>
          <w:rFonts w:hint="eastAsia"/>
        </w:rPr>
        <w:t>支柱</w:t>
      </w:r>
      <w:r>
        <w:t>绝缘子的一般说明, 包括</w:t>
      </w:r>
      <w:r>
        <w:rPr>
          <w:rFonts w:hint="eastAsia"/>
        </w:rPr>
        <w:t>安装示意图、连接孔尺寸等</w:t>
      </w:r>
      <w:r>
        <w:t>。</w:t>
      </w:r>
    </w:p>
    <w:p>
      <w:pPr>
        <w:adjustRightInd w:val="0"/>
        <w:snapToGrid w:val="0"/>
        <w:spacing w:line="360" w:lineRule="auto"/>
        <w:ind w:firstLine="420" w:firstLineChars="200"/>
      </w:pPr>
      <w:r>
        <w:rPr>
          <w:rFonts w:hint="eastAsia"/>
        </w:rPr>
        <w:t>2）按南网规定模版编制的对应应标支柱</w:t>
      </w:r>
      <w:r>
        <w:t>绝缘子</w:t>
      </w:r>
      <w:r>
        <w:rPr>
          <w:rFonts w:hint="eastAsia"/>
        </w:rPr>
        <w:t>的维护检修手册（提供模板）。</w:t>
      </w:r>
    </w:p>
    <w:p>
      <w:pPr>
        <w:adjustRightInd w:val="0"/>
        <w:snapToGrid w:val="0"/>
        <w:spacing w:line="360" w:lineRule="auto"/>
        <w:rPr>
          <w:rFonts w:ascii="黑体" w:hAnsi="黑体" w:eastAsia="黑体"/>
        </w:rPr>
      </w:pPr>
      <w:bookmarkStart w:id="172" w:name="_Toc384341031"/>
      <w:r>
        <w:rPr>
          <w:rFonts w:hint="eastAsia" w:ascii="黑体" w:hAnsi="黑体" w:eastAsia="黑体"/>
        </w:rPr>
        <w:t>8.3 其他文件资料</w:t>
      </w:r>
      <w:bookmarkEnd w:id="172"/>
    </w:p>
    <w:p>
      <w:pPr>
        <w:pStyle w:val="178"/>
        <w:adjustRightInd w:val="0"/>
        <w:snapToGrid w:val="0"/>
        <w:spacing w:line="360" w:lineRule="auto"/>
        <w:ind w:firstLine="420"/>
      </w:pPr>
      <w:r>
        <w:rPr>
          <w:rFonts w:hint="eastAsia"/>
        </w:rPr>
        <w:t xml:space="preserve">投标方应按照专用条款要求提供相关资料。包括： </w:t>
      </w:r>
    </w:p>
    <w:p>
      <w:pPr>
        <w:adjustRightInd w:val="0"/>
        <w:snapToGrid w:val="0"/>
        <w:spacing w:line="360" w:lineRule="auto"/>
      </w:pPr>
      <w:r>
        <w:rPr>
          <w:rFonts w:hint="eastAsia"/>
        </w:rPr>
        <w:t>8.3.1技术数据表及相关技术资料。</w:t>
      </w:r>
    </w:p>
    <w:p>
      <w:pPr>
        <w:adjustRightInd w:val="0"/>
        <w:snapToGrid w:val="0"/>
        <w:spacing w:line="360" w:lineRule="auto"/>
      </w:pPr>
      <w:r>
        <w:rPr>
          <w:rFonts w:hint="eastAsia"/>
        </w:rPr>
        <w:t>8.3.2 同型产品通过型式试验的最新说明文件。</w:t>
      </w:r>
    </w:p>
    <w:p>
      <w:pPr>
        <w:adjustRightInd w:val="0"/>
        <w:snapToGrid w:val="0"/>
        <w:spacing w:line="360" w:lineRule="auto"/>
      </w:pPr>
      <w:r>
        <w:rPr>
          <w:rFonts w:hint="eastAsia"/>
        </w:rPr>
        <w:t>8.3.3 具有类似设备安装地点名称、投运时间、运行情况的记录。</w:t>
      </w:r>
    </w:p>
    <w:p>
      <w:pPr>
        <w:adjustRightInd w:val="0"/>
        <w:snapToGrid w:val="0"/>
        <w:spacing w:line="360" w:lineRule="auto"/>
      </w:pPr>
      <w:r>
        <w:rPr>
          <w:rFonts w:hint="eastAsia"/>
        </w:rPr>
        <w:t>8.3.4 设备适用的标准说明。</w:t>
      </w:r>
    </w:p>
    <w:p>
      <w:pPr>
        <w:adjustRightInd w:val="0"/>
        <w:snapToGrid w:val="0"/>
        <w:spacing w:line="360" w:lineRule="auto"/>
      </w:pPr>
      <w:r>
        <w:rPr>
          <w:rFonts w:hint="eastAsia"/>
        </w:rPr>
        <w:t>8.3.5 提供图纸计划及生产制造、交货进度计划。</w:t>
      </w:r>
    </w:p>
    <w:p>
      <w:pPr>
        <w:adjustRightInd w:val="0"/>
        <w:snapToGrid w:val="0"/>
        <w:spacing w:line="360" w:lineRule="auto"/>
      </w:pPr>
      <w:r>
        <w:rPr>
          <w:rFonts w:hint="eastAsia"/>
        </w:rPr>
        <w:t>8.3.6 图纸和技术文件。</w:t>
      </w:r>
    </w:p>
    <w:p>
      <w:pPr>
        <w:adjustRightInd w:val="0"/>
        <w:snapToGrid w:val="0"/>
        <w:spacing w:line="360" w:lineRule="auto"/>
      </w:pPr>
      <w:r>
        <w:rPr>
          <w:rFonts w:hint="eastAsia"/>
        </w:rPr>
        <w:t>8.3.6.1 认可图。</w:t>
      </w:r>
    </w:p>
    <w:p>
      <w:pPr>
        <w:adjustRightInd w:val="0"/>
        <w:snapToGrid w:val="0"/>
        <w:spacing w:line="360" w:lineRule="auto"/>
      </w:pPr>
      <w:r>
        <w:rPr>
          <w:rFonts w:hint="eastAsia"/>
        </w:rPr>
        <w:t>8.3.6.2 最终图。</w:t>
      </w:r>
    </w:p>
    <w:p>
      <w:pPr>
        <w:adjustRightInd w:val="0"/>
        <w:snapToGrid w:val="0"/>
        <w:spacing w:line="360" w:lineRule="auto"/>
      </w:pPr>
      <w:r>
        <w:rPr>
          <w:rFonts w:hint="eastAsia"/>
        </w:rPr>
        <w:t>8.3.6.3 安装、运行、维护说明书及试验报告。</w:t>
      </w:r>
    </w:p>
    <w:p>
      <w:pPr>
        <w:adjustRightInd w:val="0"/>
        <w:snapToGrid w:val="0"/>
        <w:spacing w:line="360" w:lineRule="auto"/>
      </w:pPr>
      <w:r>
        <w:rPr>
          <w:rFonts w:hint="eastAsia"/>
        </w:rPr>
        <w:t>8.3.6.4 需要提供的支柱</w:t>
      </w:r>
      <w:r>
        <w:t>绝缘子</w:t>
      </w:r>
      <w:r>
        <w:rPr>
          <w:rFonts w:hint="eastAsia"/>
        </w:rPr>
        <w:t>图纸</w:t>
      </w:r>
    </w:p>
    <w:p>
      <w:pPr>
        <w:adjustRightInd w:val="0"/>
        <w:snapToGrid w:val="0"/>
        <w:spacing w:line="360" w:lineRule="auto"/>
        <w:ind w:firstLine="420" w:firstLineChars="200"/>
      </w:pPr>
      <w:r>
        <w:rPr>
          <w:rFonts w:hint="eastAsia"/>
        </w:rPr>
        <w:t>1）</w:t>
      </w:r>
      <w:r>
        <w:t>全套设备的初步布置、装配图，示出主要部件的结构、主要尺寸和位置及基本要求</w:t>
      </w:r>
      <w:r>
        <w:rPr>
          <w:rFonts w:hint="eastAsia"/>
        </w:rPr>
        <w:t>，应表明全部所需组、部件的数量、额定值及型号。</w:t>
      </w:r>
    </w:p>
    <w:p>
      <w:pPr>
        <w:adjustRightInd w:val="0"/>
        <w:snapToGrid w:val="0"/>
        <w:spacing w:line="360" w:lineRule="auto"/>
        <w:ind w:firstLine="420" w:firstLineChars="200"/>
      </w:pPr>
      <w:r>
        <w:rPr>
          <w:rFonts w:hint="eastAsia"/>
        </w:rPr>
        <w:t>2）铭牌图。</w:t>
      </w:r>
    </w:p>
    <w:p>
      <w:pPr>
        <w:adjustRightInd w:val="0"/>
        <w:snapToGrid w:val="0"/>
        <w:spacing w:line="360" w:lineRule="auto"/>
      </w:pPr>
      <w:r>
        <w:rPr>
          <w:rFonts w:hint="eastAsia"/>
        </w:rPr>
        <w:t xml:space="preserve">8.3.6.5 说明书 </w:t>
      </w:r>
    </w:p>
    <w:p>
      <w:pPr>
        <w:adjustRightInd w:val="0"/>
        <w:snapToGrid w:val="0"/>
        <w:spacing w:line="360" w:lineRule="auto"/>
        <w:ind w:firstLine="420" w:firstLineChars="200"/>
      </w:pPr>
      <w:r>
        <w:rPr>
          <w:rFonts w:hint="eastAsia"/>
        </w:rPr>
        <w:t>1）概述。</w:t>
      </w:r>
    </w:p>
    <w:p>
      <w:pPr>
        <w:adjustRightInd w:val="0"/>
        <w:snapToGrid w:val="0"/>
        <w:spacing w:line="360" w:lineRule="auto"/>
        <w:ind w:firstLine="420" w:firstLineChars="200"/>
      </w:pPr>
      <w:r>
        <w:rPr>
          <w:rFonts w:hint="eastAsia"/>
        </w:rPr>
        <w:t>2）安装、维护与检查说明。</w:t>
      </w:r>
    </w:p>
    <w:p>
      <w:pPr>
        <w:adjustRightInd w:val="0"/>
        <w:snapToGrid w:val="0"/>
        <w:spacing w:line="360" w:lineRule="auto"/>
        <w:ind w:firstLine="420" w:firstLineChars="200"/>
      </w:pPr>
      <w:r>
        <w:rPr>
          <w:rFonts w:hint="eastAsia"/>
        </w:rPr>
        <w:t>3）其他说明资料。</w:t>
      </w:r>
    </w:p>
    <w:p>
      <w:pPr>
        <w:adjustRightInd w:val="0"/>
        <w:snapToGrid w:val="0"/>
        <w:spacing w:line="360" w:lineRule="auto"/>
        <w:ind w:firstLine="420" w:firstLineChars="200"/>
      </w:pPr>
      <w:r>
        <w:rPr>
          <w:rFonts w:hint="eastAsia"/>
        </w:rPr>
        <w:t>4）维护检修手册。（投标方应按照南方电网公司提供的维护检修手册模板要求提供手册，应包含维护和检修的周期、项目、方法、检验标准及易损耗品的规格尺寸等。）</w:t>
      </w:r>
    </w:p>
    <w:p>
      <w:pPr>
        <w:adjustRightInd w:val="0"/>
        <w:snapToGrid w:val="0"/>
        <w:spacing w:line="360" w:lineRule="auto"/>
      </w:pPr>
      <w:r>
        <w:rPr>
          <w:rFonts w:hint="eastAsia"/>
        </w:rPr>
        <w:t>8.3.6.6试验检验报告应包括以下内容</w:t>
      </w:r>
    </w:p>
    <w:p>
      <w:pPr>
        <w:adjustRightInd w:val="0"/>
        <w:snapToGrid w:val="0"/>
        <w:spacing w:line="360" w:lineRule="auto"/>
        <w:ind w:firstLine="420" w:firstLineChars="200"/>
      </w:pPr>
      <w:r>
        <w:rPr>
          <w:rFonts w:hint="eastAsia"/>
        </w:rPr>
        <w:t>投标方应提供所选用主要附件及原材料的试验检验报告，并列出应该做的试验所遵从的标准。其中主要附件包括：</w:t>
      </w:r>
    </w:p>
    <w:p>
      <w:pPr>
        <w:adjustRightInd w:val="0"/>
        <w:snapToGrid w:val="0"/>
        <w:spacing w:line="360" w:lineRule="auto"/>
        <w:ind w:firstLine="420" w:firstLineChars="200"/>
      </w:pPr>
      <w:r>
        <w:rPr>
          <w:rFonts w:hint="eastAsia"/>
        </w:rPr>
        <w:t>1）支柱绝缘子试验报告，包括型式、逐个试验报告。</w:t>
      </w:r>
    </w:p>
    <w:p>
      <w:pPr>
        <w:adjustRightInd w:val="0"/>
        <w:snapToGrid w:val="0"/>
        <w:spacing w:line="360" w:lineRule="auto"/>
      </w:pPr>
      <w:r>
        <w:rPr>
          <w:rFonts w:hint="eastAsia"/>
        </w:rPr>
        <w:t xml:space="preserve">    2）计算报告（如耐受地震分析报告）。</w:t>
      </w:r>
    </w:p>
    <w:p>
      <w:pPr>
        <w:adjustRightInd w:val="0"/>
        <w:snapToGrid w:val="0"/>
        <w:spacing w:line="360" w:lineRule="auto"/>
      </w:pPr>
      <w:r>
        <w:rPr>
          <w:rFonts w:hint="eastAsia"/>
          <w:szCs w:val="18"/>
        </w:rPr>
        <w:t>8.3.7支柱</w:t>
      </w:r>
      <w:r>
        <w:rPr>
          <w:szCs w:val="18"/>
        </w:rPr>
        <w:t>绝缘子</w:t>
      </w:r>
      <w:r>
        <w:rPr>
          <w:rFonts w:hint="eastAsia"/>
          <w:szCs w:val="18"/>
        </w:rPr>
        <w:t>制造企业有义务对附件及原材料供应商进行质量管控及考核，并按照用户的要求对附件和原材料进行抽检，提交抽检报告。</w:t>
      </w:r>
    </w:p>
    <w:p>
      <w:pPr>
        <w:adjustRightInd w:val="0"/>
        <w:snapToGrid w:val="0"/>
        <w:spacing w:line="360" w:lineRule="auto"/>
        <w:rPr>
          <w:rFonts w:ascii="黑体" w:hAnsi="黑体" w:eastAsia="黑体"/>
        </w:rPr>
      </w:pPr>
      <w:bookmarkStart w:id="173" w:name="_Toc283011675"/>
      <w:bookmarkStart w:id="174" w:name="_Toc282428315"/>
      <w:bookmarkStart w:id="175" w:name="_Toc282433723"/>
      <w:bookmarkStart w:id="176" w:name="_Toc283142581"/>
      <w:bookmarkStart w:id="177" w:name="_Toc384341032"/>
      <w:r>
        <w:rPr>
          <w:rFonts w:hint="eastAsia" w:ascii="黑体" w:hAnsi="黑体" w:eastAsia="黑体"/>
        </w:rPr>
        <w:t>8.4</w:t>
      </w:r>
      <w:bookmarkEnd w:id="173"/>
      <w:bookmarkEnd w:id="174"/>
      <w:bookmarkEnd w:id="175"/>
      <w:bookmarkEnd w:id="176"/>
      <w:bookmarkStart w:id="178" w:name="_Toc282433724"/>
      <w:bookmarkStart w:id="179" w:name="_Toc277686885"/>
      <w:bookmarkStart w:id="180" w:name="_Toc282428316"/>
      <w:bookmarkStart w:id="181" w:name="_Toc283142582"/>
      <w:bookmarkStart w:id="182" w:name="_Toc283011676"/>
      <w:r>
        <w:rPr>
          <w:rFonts w:hint="eastAsia" w:ascii="黑体" w:hAnsi="黑体" w:eastAsia="黑体"/>
        </w:rPr>
        <w:t>设计联络</w:t>
      </w:r>
      <w:bookmarkEnd w:id="177"/>
      <w:bookmarkEnd w:id="178"/>
      <w:bookmarkEnd w:id="179"/>
      <w:bookmarkEnd w:id="180"/>
      <w:bookmarkEnd w:id="181"/>
      <w:bookmarkEnd w:id="182"/>
    </w:p>
    <w:p>
      <w:pPr>
        <w:adjustRightInd w:val="0"/>
        <w:snapToGrid w:val="0"/>
        <w:spacing w:line="360" w:lineRule="auto"/>
        <w:ind w:firstLine="420" w:firstLineChars="200"/>
      </w:pPr>
      <w:r>
        <w:rPr>
          <w:rFonts w:hint="eastAsia"/>
        </w:rPr>
        <w:t>1）供方应按设计需要随时开展设计联络工作，提供设计所需的相关资料，以保证需方工期要求。</w:t>
      </w:r>
    </w:p>
    <w:p>
      <w:pPr>
        <w:adjustRightInd w:val="0"/>
        <w:snapToGrid w:val="0"/>
        <w:spacing w:line="360" w:lineRule="auto"/>
        <w:ind w:firstLine="420" w:firstLineChars="200"/>
      </w:pPr>
      <w:r>
        <w:rPr>
          <w:rFonts w:hint="eastAsia"/>
        </w:rPr>
        <w:t>2）供方提供的图纸必须经需方代表确认。</w:t>
      </w:r>
    </w:p>
    <w:p>
      <w:pPr>
        <w:pStyle w:val="2"/>
        <w:numPr>
          <w:ilvl w:val="0"/>
          <w:numId w:val="0"/>
        </w:numPr>
        <w:rPr>
          <w:rFonts w:ascii="黑体" w:hAnsi="黑体" w:eastAsia="黑体"/>
          <w:b/>
          <w:sz w:val="21"/>
          <w:szCs w:val="21"/>
        </w:rPr>
      </w:pPr>
      <w:bookmarkStart w:id="183" w:name="_Toc276490917"/>
      <w:bookmarkStart w:id="184" w:name="_Toc276492435"/>
      <w:bookmarkStart w:id="185" w:name="_Toc279695207"/>
      <w:bookmarkStart w:id="186" w:name="_Toc22386046"/>
      <w:bookmarkStart w:id="187" w:name="_Toc282433758"/>
      <w:bookmarkStart w:id="188" w:name="_Toc384341033"/>
      <w:bookmarkStart w:id="189" w:name="_Toc282993359"/>
      <w:r>
        <w:rPr>
          <w:rFonts w:hint="eastAsia" w:ascii="黑体" w:hAnsi="黑体" w:eastAsia="黑体"/>
          <w:b/>
          <w:sz w:val="21"/>
          <w:szCs w:val="21"/>
        </w:rPr>
        <w:t>9监造、包装、储存、运输、安装</w:t>
      </w:r>
      <w:bookmarkEnd w:id="183"/>
      <w:bookmarkEnd w:id="184"/>
      <w:bookmarkEnd w:id="185"/>
      <w:r>
        <w:rPr>
          <w:rFonts w:hint="eastAsia" w:ascii="黑体" w:hAnsi="黑体" w:eastAsia="黑体"/>
          <w:b/>
          <w:sz w:val="21"/>
          <w:szCs w:val="21"/>
        </w:rPr>
        <w:t>及质量保证</w:t>
      </w:r>
      <w:bookmarkEnd w:id="186"/>
      <w:bookmarkEnd w:id="187"/>
      <w:bookmarkEnd w:id="188"/>
      <w:bookmarkEnd w:id="189"/>
    </w:p>
    <w:p>
      <w:pPr>
        <w:pStyle w:val="3"/>
        <w:numPr>
          <w:ilvl w:val="0"/>
          <w:numId w:val="0"/>
        </w:numPr>
        <w:adjustRightInd w:val="0"/>
        <w:snapToGrid w:val="0"/>
        <w:spacing w:line="360" w:lineRule="auto"/>
        <w:rPr>
          <w:rFonts w:ascii="黑体" w:hAnsi="黑体"/>
        </w:rPr>
      </w:pPr>
      <w:bookmarkStart w:id="190" w:name="_Toc384341034"/>
      <w:bookmarkStart w:id="191" w:name="_Toc279695208"/>
      <w:bookmarkStart w:id="192" w:name="_Toc276490898"/>
      <w:bookmarkStart w:id="193" w:name="_Toc282993360"/>
      <w:bookmarkStart w:id="194" w:name="_Toc276492370"/>
      <w:bookmarkStart w:id="195" w:name="_Toc22386047"/>
      <w:bookmarkStart w:id="196" w:name="_Toc282433759"/>
      <w:bookmarkStart w:id="197" w:name="_Toc471528253"/>
      <w:bookmarkStart w:id="198" w:name="_Toc53672785"/>
      <w:bookmarkStart w:id="199" w:name="_Toc472997247"/>
      <w:bookmarkStart w:id="200" w:name="_Toc200531202"/>
      <w:r>
        <w:rPr>
          <w:rFonts w:hint="eastAsia" w:ascii="黑体" w:hAnsi="黑体"/>
        </w:rPr>
        <w:t>9.1监造</w:t>
      </w:r>
      <w:bookmarkEnd w:id="190"/>
      <w:bookmarkEnd w:id="191"/>
      <w:bookmarkEnd w:id="192"/>
      <w:bookmarkEnd w:id="193"/>
      <w:bookmarkEnd w:id="194"/>
      <w:bookmarkEnd w:id="195"/>
      <w:bookmarkEnd w:id="196"/>
    </w:p>
    <w:p>
      <w:pPr>
        <w:adjustRightInd w:val="0"/>
        <w:snapToGrid w:val="0"/>
        <w:spacing w:line="360" w:lineRule="auto"/>
        <w:ind w:firstLine="420" w:firstLineChars="200"/>
      </w:pPr>
      <w:bookmarkStart w:id="201" w:name="_Toc282433760"/>
      <w:bookmarkStart w:id="202" w:name="_Toc276492436"/>
      <w:bookmarkStart w:id="203" w:name="_Toc279695209"/>
      <w:bookmarkStart w:id="204" w:name="_Toc276301528"/>
      <w:bookmarkStart w:id="205" w:name="_Toc282993364"/>
      <w:bookmarkStart w:id="206" w:name="_Toc276490918"/>
      <w:r>
        <w:t>应结合工程实际需要</w:t>
      </w:r>
      <w:r>
        <w:rPr>
          <w:rFonts w:hint="eastAsia"/>
        </w:rPr>
        <w:t>，</w:t>
      </w:r>
      <w:r>
        <w:t>根据DL/T</w:t>
      </w:r>
      <w:r>
        <w:rPr>
          <w:rFonts w:hint="eastAsia"/>
        </w:rPr>
        <w:t xml:space="preserve"> </w:t>
      </w:r>
      <w:r>
        <w:t>586《电力设备监造技术导则》编制监造大纲，决定是否进行工厂监造和检查。</w:t>
      </w:r>
    </w:p>
    <w:p>
      <w:pPr>
        <w:adjustRightInd w:val="0"/>
        <w:snapToGrid w:val="0"/>
        <w:spacing w:line="360" w:lineRule="auto"/>
        <w:ind w:firstLine="420" w:firstLineChars="200"/>
      </w:pPr>
      <w:r>
        <w:t>监造范围包括设备的设计、加工、制造、储运、材料采购、组装和试验等重要过程，关键部件的质量控制，进行见证、检验和审核，并形成完整质量记录和资料，提交监造工作总结。</w:t>
      </w:r>
    </w:p>
    <w:p>
      <w:pPr>
        <w:adjustRightInd w:val="0"/>
        <w:snapToGrid w:val="0"/>
        <w:spacing w:line="360" w:lineRule="auto"/>
        <w:ind w:firstLine="420" w:firstLineChars="200"/>
      </w:pPr>
      <w:r>
        <w:rPr>
          <w:rFonts w:hint="eastAsia"/>
        </w:rPr>
        <w:t>220kV及以上电压等级的支柱绝缘子应结合工程情况决定是否进行驻场监造。监造验收工作结束后，监造人员应提交监造报告，并作为设备原始资料存档。</w:t>
      </w:r>
    </w:p>
    <w:p>
      <w:pPr>
        <w:adjustRightInd w:val="0"/>
        <w:snapToGrid w:val="0"/>
        <w:spacing w:line="360" w:lineRule="auto"/>
        <w:ind w:firstLine="420" w:firstLineChars="200"/>
      </w:pPr>
      <w:r>
        <w:t>运行单位的工厂监造和检验工作，不减少制造厂对产品的质量责任，监造和检验人员不签署任何质量证明。</w:t>
      </w:r>
    </w:p>
    <w:p>
      <w:pPr>
        <w:pStyle w:val="3"/>
        <w:numPr>
          <w:ilvl w:val="0"/>
          <w:numId w:val="0"/>
        </w:numPr>
        <w:adjustRightInd w:val="0"/>
        <w:snapToGrid w:val="0"/>
        <w:spacing w:line="360" w:lineRule="auto"/>
        <w:rPr>
          <w:rFonts w:ascii="黑体" w:hAnsi="黑体"/>
        </w:rPr>
      </w:pPr>
      <w:bookmarkStart w:id="207" w:name="_Toc22386048"/>
      <w:bookmarkStart w:id="208" w:name="_Toc384341035"/>
      <w:r>
        <w:rPr>
          <w:rFonts w:hint="eastAsia" w:ascii="黑体" w:hAnsi="黑体"/>
        </w:rPr>
        <w:t>9.2包装</w:t>
      </w:r>
      <w:bookmarkEnd w:id="197"/>
      <w:bookmarkEnd w:id="198"/>
      <w:bookmarkEnd w:id="199"/>
      <w:bookmarkEnd w:id="200"/>
      <w:bookmarkEnd w:id="201"/>
      <w:bookmarkEnd w:id="202"/>
      <w:bookmarkEnd w:id="203"/>
      <w:bookmarkEnd w:id="204"/>
      <w:bookmarkEnd w:id="205"/>
      <w:bookmarkEnd w:id="206"/>
      <w:bookmarkEnd w:id="207"/>
      <w:bookmarkEnd w:id="208"/>
    </w:p>
    <w:p>
      <w:pPr>
        <w:adjustRightInd w:val="0"/>
        <w:snapToGrid w:val="0"/>
        <w:spacing w:line="360" w:lineRule="auto"/>
        <w:ind w:firstLine="420" w:firstLineChars="200"/>
      </w:pPr>
      <w:bookmarkStart w:id="209" w:name="_Toc276490919"/>
      <w:bookmarkStart w:id="210" w:name="_Toc276301529"/>
      <w:bookmarkStart w:id="211" w:name="_Toc276492437"/>
      <w:r>
        <w:rPr>
          <w:rFonts w:hint="eastAsia"/>
        </w:rPr>
        <w:t>1）供货方应根据双方商定好的标准和招标方的实际运输条件</w:t>
      </w:r>
      <w:r>
        <w:t>，</w:t>
      </w:r>
      <w:r>
        <w:rPr>
          <w:rFonts w:hint="eastAsia"/>
        </w:rPr>
        <w:t>将支柱绝缘子本体和所有附件包装好</w:t>
      </w:r>
      <w:r>
        <w:t>，</w:t>
      </w:r>
      <w:r>
        <w:rPr>
          <w:rFonts w:hint="eastAsia"/>
        </w:rPr>
        <w:t>并将全套安装使用说明书</w:t>
      </w:r>
      <w:r>
        <w:t>，</w:t>
      </w:r>
      <w:r>
        <w:rPr>
          <w:rFonts w:hint="eastAsia"/>
        </w:rPr>
        <w:t>产品合格证明书、出厂试验记录、产品外形尺寸图、运输尺寸图、产品拆卸件一览表、装箱单、铭牌图或铭牌标志图及备件一览表等包装好。从供货方发货至招标方收到期间</w:t>
      </w:r>
      <w:r>
        <w:t>，</w:t>
      </w:r>
      <w:r>
        <w:rPr>
          <w:rFonts w:hint="eastAsia"/>
        </w:rPr>
        <w:t>设备和资料应完好无损。</w:t>
      </w:r>
    </w:p>
    <w:p>
      <w:pPr>
        <w:adjustRightInd w:val="0"/>
        <w:snapToGrid w:val="0"/>
        <w:spacing w:line="360" w:lineRule="auto"/>
        <w:ind w:firstLine="420" w:firstLineChars="200"/>
      </w:pPr>
      <w:r>
        <w:rPr>
          <w:rFonts w:hint="eastAsia"/>
        </w:rPr>
        <w:t>2）在设备启运后一周内</w:t>
      </w:r>
      <w:r>
        <w:t>，</w:t>
      </w:r>
      <w:r>
        <w:rPr>
          <w:rFonts w:hint="eastAsia"/>
        </w:rPr>
        <w:t>供货方应以最快捷的方式通知招标方以下内容</w:t>
      </w:r>
      <w:r>
        <w:t>：</w:t>
      </w:r>
    </w:p>
    <w:p>
      <w:pPr>
        <w:adjustRightInd w:val="0"/>
        <w:snapToGrid w:val="0"/>
        <w:spacing w:line="360" w:lineRule="auto"/>
        <w:ind w:firstLine="630" w:firstLineChars="300"/>
      </w:pPr>
      <w:r>
        <w:rPr>
          <w:rFonts w:hint="eastAsia"/>
        </w:rPr>
        <w:t>a.设备名称</w:t>
      </w:r>
      <w:r>
        <w:t>；</w:t>
      </w:r>
    </w:p>
    <w:p>
      <w:pPr>
        <w:adjustRightInd w:val="0"/>
        <w:snapToGrid w:val="0"/>
        <w:spacing w:line="360" w:lineRule="auto"/>
        <w:ind w:firstLine="630" w:firstLineChars="300"/>
      </w:pPr>
      <w:r>
        <w:rPr>
          <w:rFonts w:hint="eastAsia"/>
        </w:rPr>
        <w:t>b.件数、件号、重量</w:t>
      </w:r>
      <w:r>
        <w:t>；</w:t>
      </w:r>
    </w:p>
    <w:p>
      <w:pPr>
        <w:adjustRightInd w:val="0"/>
        <w:snapToGrid w:val="0"/>
        <w:spacing w:line="360" w:lineRule="auto"/>
        <w:ind w:firstLine="630" w:firstLineChars="300"/>
      </w:pPr>
      <w:r>
        <w:rPr>
          <w:rFonts w:hint="eastAsia"/>
        </w:rPr>
        <w:t>c.合同号</w:t>
      </w:r>
      <w:r>
        <w:t>；</w:t>
      </w:r>
    </w:p>
    <w:p>
      <w:pPr>
        <w:adjustRightInd w:val="0"/>
        <w:snapToGrid w:val="0"/>
        <w:spacing w:line="360" w:lineRule="auto"/>
        <w:ind w:firstLine="630" w:firstLineChars="300"/>
      </w:pPr>
      <w:r>
        <w:rPr>
          <w:rFonts w:hint="eastAsia"/>
        </w:rPr>
        <w:t>d.货运单号</w:t>
      </w:r>
      <w:r>
        <w:t>；</w:t>
      </w:r>
    </w:p>
    <w:p>
      <w:pPr>
        <w:adjustRightInd w:val="0"/>
        <w:snapToGrid w:val="0"/>
        <w:spacing w:line="360" w:lineRule="auto"/>
        <w:ind w:firstLine="630" w:firstLineChars="300"/>
      </w:pPr>
      <w:r>
        <w:rPr>
          <w:rFonts w:hint="eastAsia"/>
        </w:rPr>
        <w:t>e.达到港</w:t>
      </w:r>
      <w:r>
        <w:t>（</w:t>
      </w:r>
      <w:r>
        <w:rPr>
          <w:rFonts w:hint="eastAsia"/>
        </w:rPr>
        <w:t>站</w:t>
      </w:r>
      <w:r>
        <w:t>）；</w:t>
      </w:r>
    </w:p>
    <w:p>
      <w:pPr>
        <w:adjustRightInd w:val="0"/>
        <w:snapToGrid w:val="0"/>
        <w:spacing w:line="360" w:lineRule="auto"/>
        <w:ind w:firstLine="630" w:firstLineChars="300"/>
      </w:pPr>
      <w:r>
        <w:rPr>
          <w:rFonts w:hint="eastAsia"/>
        </w:rPr>
        <w:t>f.设备发出日期。</w:t>
      </w:r>
    </w:p>
    <w:p>
      <w:pPr>
        <w:adjustRightInd w:val="0"/>
        <w:snapToGrid w:val="0"/>
        <w:spacing w:line="360" w:lineRule="auto"/>
        <w:ind w:firstLine="420" w:firstLineChars="200"/>
      </w:pPr>
      <w:r>
        <w:rPr>
          <w:rFonts w:hint="eastAsia"/>
        </w:rPr>
        <w:t>3）所有部件的装运方式均应便于卸货、操作和现场就位</w:t>
      </w:r>
      <w:r>
        <w:t>，</w:t>
      </w:r>
      <w:r>
        <w:rPr>
          <w:rFonts w:hint="eastAsia"/>
        </w:rPr>
        <w:t>标有起吊图和安装图</w:t>
      </w:r>
      <w:r>
        <w:t>，</w:t>
      </w:r>
      <w:r>
        <w:rPr>
          <w:rFonts w:hint="eastAsia"/>
        </w:rPr>
        <w:t>应与装运文件一起提供。</w:t>
      </w:r>
    </w:p>
    <w:p>
      <w:pPr>
        <w:adjustRightInd w:val="0"/>
        <w:snapToGrid w:val="0"/>
        <w:spacing w:line="360" w:lineRule="auto"/>
        <w:ind w:firstLine="420" w:firstLineChars="200"/>
      </w:pPr>
      <w:r>
        <w:rPr>
          <w:rFonts w:hint="eastAsia"/>
        </w:rPr>
        <w:t>4）任何在装运中可能丢失的成品应用箱式包装或捆成一束</w:t>
      </w:r>
      <w:r>
        <w:t>，</w:t>
      </w:r>
      <w:r>
        <w:rPr>
          <w:rFonts w:hint="eastAsia"/>
        </w:rPr>
        <w:t>并标志以清晰的记号以便识别。</w:t>
      </w:r>
    </w:p>
    <w:p>
      <w:pPr>
        <w:pStyle w:val="3"/>
        <w:numPr>
          <w:ilvl w:val="0"/>
          <w:numId w:val="0"/>
        </w:numPr>
        <w:adjustRightInd w:val="0"/>
        <w:snapToGrid w:val="0"/>
        <w:spacing w:line="360" w:lineRule="auto"/>
        <w:rPr>
          <w:rFonts w:ascii="黑体" w:hAnsi="黑体"/>
        </w:rPr>
      </w:pPr>
      <w:bookmarkStart w:id="212" w:name="_Toc22386049"/>
      <w:bookmarkStart w:id="213" w:name="_Toc384341036"/>
      <w:bookmarkStart w:id="214" w:name="_Toc279695210"/>
      <w:bookmarkStart w:id="215" w:name="_Toc282433761"/>
      <w:bookmarkStart w:id="216" w:name="_Toc282993365"/>
      <w:r>
        <w:rPr>
          <w:rFonts w:hint="eastAsia" w:ascii="黑体" w:hAnsi="黑体"/>
        </w:rPr>
        <w:t>9.3储存与运输</w:t>
      </w:r>
      <w:bookmarkEnd w:id="209"/>
      <w:bookmarkEnd w:id="210"/>
      <w:bookmarkEnd w:id="211"/>
      <w:bookmarkEnd w:id="212"/>
      <w:bookmarkEnd w:id="213"/>
      <w:bookmarkEnd w:id="214"/>
      <w:bookmarkEnd w:id="215"/>
      <w:bookmarkEnd w:id="216"/>
    </w:p>
    <w:p>
      <w:pPr>
        <w:spacing w:line="360" w:lineRule="auto"/>
        <w:ind w:firstLine="420" w:firstLineChars="200"/>
      </w:pPr>
      <w:r>
        <w:rPr>
          <w:rFonts w:hint="eastAsia"/>
        </w:rPr>
        <w:t>1）储存时间：从完成出厂试验开始时起计。</w:t>
      </w:r>
    </w:p>
    <w:p>
      <w:pPr>
        <w:spacing w:line="360" w:lineRule="auto"/>
        <w:ind w:firstLine="420" w:firstLineChars="200"/>
      </w:pPr>
      <w:r>
        <w:rPr>
          <w:rFonts w:hint="eastAsia"/>
        </w:rPr>
        <w:t>2）运输：绝缘子的运输应充分考虑运输途中可能受到的最大压力、冲撞等因素，绝缘子的搬运和运输必须在保证完好的情况下进行。</w:t>
      </w:r>
    </w:p>
    <w:p>
      <w:pPr>
        <w:pStyle w:val="3"/>
        <w:numPr>
          <w:ilvl w:val="0"/>
          <w:numId w:val="0"/>
        </w:numPr>
        <w:adjustRightInd w:val="0"/>
        <w:snapToGrid w:val="0"/>
        <w:spacing w:line="360" w:lineRule="auto"/>
        <w:rPr>
          <w:rFonts w:ascii="黑体" w:hAnsi="黑体"/>
        </w:rPr>
      </w:pPr>
      <w:bookmarkStart w:id="217" w:name="_Toc22386050"/>
      <w:r>
        <w:rPr>
          <w:rFonts w:hint="eastAsia" w:ascii="黑体" w:hAnsi="黑体"/>
        </w:rPr>
        <w:t>9.4</w:t>
      </w:r>
      <w:bookmarkStart w:id="218" w:name="_Toc276490920"/>
      <w:bookmarkStart w:id="219" w:name="_Toc276492438"/>
      <w:bookmarkStart w:id="220" w:name="_Toc276301530"/>
      <w:bookmarkStart w:id="221" w:name="_Toc279695211"/>
      <w:bookmarkStart w:id="222" w:name="_Toc282433762"/>
      <w:bookmarkStart w:id="223" w:name="_Toc282993366"/>
      <w:bookmarkStart w:id="224" w:name="_Toc384341037"/>
      <w:r>
        <w:rPr>
          <w:rFonts w:hint="eastAsia" w:ascii="黑体" w:hAnsi="黑体"/>
        </w:rPr>
        <w:t>安装</w:t>
      </w:r>
      <w:bookmarkEnd w:id="218"/>
      <w:bookmarkEnd w:id="219"/>
      <w:bookmarkEnd w:id="220"/>
      <w:r>
        <w:rPr>
          <w:rFonts w:hint="eastAsia" w:ascii="黑体" w:hAnsi="黑体"/>
        </w:rPr>
        <w:t>指导</w:t>
      </w:r>
      <w:bookmarkEnd w:id="217"/>
      <w:bookmarkEnd w:id="221"/>
      <w:bookmarkEnd w:id="222"/>
      <w:bookmarkEnd w:id="223"/>
      <w:bookmarkEnd w:id="224"/>
    </w:p>
    <w:p>
      <w:pPr>
        <w:adjustRightInd w:val="0"/>
        <w:snapToGrid w:val="0"/>
        <w:spacing w:line="360" w:lineRule="auto"/>
        <w:ind w:firstLine="420" w:firstLineChars="200"/>
      </w:pPr>
      <w:r>
        <w:rPr>
          <w:rFonts w:hint="eastAsia"/>
        </w:rPr>
        <w:t>制造厂在安装和启动时应安排技术人员提供现场安装指导服务，提出技术建议，并有对运行人员提供相关培训的义务。</w:t>
      </w:r>
    </w:p>
    <w:p>
      <w:pPr>
        <w:pStyle w:val="3"/>
        <w:numPr>
          <w:ilvl w:val="0"/>
          <w:numId w:val="0"/>
        </w:numPr>
        <w:adjustRightInd w:val="0"/>
        <w:snapToGrid w:val="0"/>
        <w:spacing w:line="360" w:lineRule="auto"/>
        <w:rPr>
          <w:rFonts w:ascii="黑体" w:hAnsi="黑体"/>
        </w:rPr>
      </w:pPr>
      <w:bookmarkStart w:id="225" w:name="_Toc282993367"/>
      <w:bookmarkStart w:id="226" w:name="_Toc22386051"/>
      <w:bookmarkStart w:id="227" w:name="_Toc282433763"/>
      <w:bookmarkStart w:id="228" w:name="_Toc384341038"/>
      <w:r>
        <w:rPr>
          <w:rFonts w:hint="eastAsia" w:ascii="黑体" w:hAnsi="黑体"/>
        </w:rPr>
        <w:t>9.5质量保证</w:t>
      </w:r>
      <w:bookmarkEnd w:id="225"/>
      <w:bookmarkEnd w:id="226"/>
      <w:bookmarkEnd w:id="227"/>
      <w:bookmarkEnd w:id="228"/>
    </w:p>
    <w:p>
      <w:pPr>
        <w:adjustRightInd w:val="0"/>
        <w:snapToGrid w:val="0"/>
        <w:spacing w:line="360" w:lineRule="auto"/>
        <w:ind w:firstLine="420" w:firstLineChars="200"/>
      </w:pPr>
      <w:r>
        <w:rPr>
          <w:rFonts w:hint="eastAsia"/>
        </w:rPr>
        <w:t>1）全部设备必须是全新的，持久耐用的，应满足作为一个完整产品所能满足的全部要求。投标方应保证设备在规定的使用条件下运行、并按使用说明书进行安装和维护、预期寿命应不少于30年</w:t>
      </w:r>
      <w:r>
        <w:t>。</w:t>
      </w:r>
    </w:p>
    <w:p>
      <w:pPr>
        <w:adjustRightInd w:val="0"/>
        <w:snapToGrid w:val="0"/>
        <w:spacing w:line="360" w:lineRule="auto"/>
        <w:ind w:firstLine="420" w:firstLineChars="200"/>
      </w:pPr>
      <w:r>
        <w:rPr>
          <w:rFonts w:hint="eastAsia"/>
        </w:rPr>
        <w:t>2）投标方应对其整组设备在到货后提供不少于三年的“三包”质量保证。质保期之后如发生产品质量原因导致的损坏，投标方应免费更换或检修；如发生非产品质量原因导致的损坏，投标方应及时提供维修部件，并按最近的投标价提供。</w:t>
      </w:r>
    </w:p>
    <w:p>
      <w:pPr>
        <w:adjustRightInd w:val="0"/>
        <w:snapToGrid w:val="0"/>
        <w:spacing w:line="360" w:lineRule="auto"/>
        <w:ind w:firstLine="420" w:firstLineChars="200"/>
      </w:pPr>
      <w:r>
        <w:rPr>
          <w:rFonts w:hint="eastAsia"/>
        </w:rPr>
        <w:t>3）订购的新型产品除应满足本技术规范外，投标方还应提供该产品的鉴定证书。</w:t>
      </w:r>
    </w:p>
    <w:p>
      <w:pPr>
        <w:adjustRightInd w:val="0"/>
        <w:snapToGrid w:val="0"/>
        <w:spacing w:line="360" w:lineRule="auto"/>
        <w:ind w:firstLine="420" w:firstLineChars="200"/>
      </w:pPr>
      <w:r>
        <w:rPr>
          <w:rFonts w:hint="eastAsia"/>
        </w:rPr>
        <w:t>4）投标方应保证制造过程中的所有工艺、材料试验等</w:t>
      </w:r>
      <w:r>
        <w:t>（</w:t>
      </w:r>
      <w:r>
        <w:rPr>
          <w:rFonts w:hint="eastAsia"/>
        </w:rPr>
        <w:t>包括投标方的外购件在内</w:t>
      </w:r>
      <w:r>
        <w:t>）</w:t>
      </w:r>
      <w:r>
        <w:rPr>
          <w:rFonts w:hint="eastAsia"/>
        </w:rPr>
        <w:t>均应符合本规范的规定。若需根据运行经验指定投标方提供某种外购零部件，投标方应积极配合。</w:t>
      </w:r>
    </w:p>
    <w:p>
      <w:pPr>
        <w:adjustRightInd w:val="0"/>
        <w:snapToGrid w:val="0"/>
        <w:spacing w:line="360" w:lineRule="auto"/>
        <w:ind w:firstLine="420" w:firstLineChars="200"/>
      </w:pPr>
      <w:r>
        <w:rPr>
          <w:rFonts w:hint="eastAsia"/>
        </w:rPr>
        <w:t>5）附属及配套设备必须满足有关行业标准的要求，并提供试验报告和产品合格证。</w:t>
      </w:r>
    </w:p>
    <w:p>
      <w:pPr>
        <w:adjustRightInd w:val="0"/>
        <w:snapToGrid w:val="0"/>
        <w:spacing w:line="360" w:lineRule="auto"/>
        <w:ind w:firstLine="420" w:firstLineChars="200"/>
      </w:pPr>
      <w:r>
        <w:rPr>
          <w:rFonts w:hint="eastAsia"/>
        </w:rPr>
        <w:t>6）投标方应有遵守本标准中各条款和工作项目的</w:t>
      </w:r>
      <w:r>
        <w:t>ISO900</w:t>
      </w:r>
      <w:r>
        <w:rPr>
          <w:rFonts w:hint="eastAsia"/>
        </w:rPr>
        <w:t>0-</w:t>
      </w:r>
      <w:r>
        <w:t>GB/T1900</w:t>
      </w:r>
      <w:r>
        <w:rPr>
          <w:rFonts w:hint="eastAsia"/>
        </w:rPr>
        <w:t>0质量保证体系</w:t>
      </w:r>
      <w:r>
        <w:t xml:space="preserve">, </w:t>
      </w:r>
      <w:r>
        <w:rPr>
          <w:rFonts w:hint="eastAsia"/>
        </w:rPr>
        <w:t>该质量保证体系已经通过国家认证并在正常运转。</w:t>
      </w:r>
    </w:p>
    <w:p>
      <w:pPr>
        <w:pStyle w:val="2"/>
        <w:numPr>
          <w:ilvl w:val="0"/>
          <w:numId w:val="0"/>
        </w:numPr>
      </w:pPr>
      <w:bookmarkStart w:id="229" w:name="_Toc22386052"/>
      <w:bookmarkStart w:id="230" w:name="_Toc384341039"/>
      <w:r>
        <w:rPr>
          <w:rFonts w:hint="eastAsia" w:ascii="黑体" w:hAnsi="黑体" w:eastAsia="黑体"/>
          <w:b/>
          <w:sz w:val="21"/>
          <w:szCs w:val="21"/>
        </w:rPr>
        <w:t>10 一次接口要求</w:t>
      </w:r>
      <w:bookmarkEnd w:id="229"/>
      <w:bookmarkEnd w:id="230"/>
    </w:p>
    <w:p>
      <w:pPr>
        <w:adjustRightInd w:val="0"/>
        <w:snapToGrid w:val="0"/>
        <w:spacing w:line="360" w:lineRule="auto"/>
        <w:ind w:firstLine="420" w:firstLineChars="200"/>
      </w:pPr>
      <w:r>
        <w:rPr>
          <w:rFonts w:hint="eastAsia"/>
        </w:rPr>
        <w:t>投标方应准确提供支柱</w:t>
      </w:r>
      <w:r>
        <w:t>绝缘子电气一次接口的型式</w:t>
      </w:r>
      <w:r>
        <w:rPr>
          <w:rFonts w:hint="eastAsia"/>
        </w:rPr>
        <w:t>、</w:t>
      </w:r>
      <w:r>
        <w:t>尺寸</w:t>
      </w:r>
      <w:r>
        <w:rPr>
          <w:rFonts w:hint="eastAsia"/>
        </w:rPr>
        <w:t>和示意图，</w:t>
      </w:r>
      <w:r>
        <w:t>以便于接线安装。</w:t>
      </w:r>
    </w:p>
    <w:p>
      <w:pPr>
        <w:pStyle w:val="2"/>
        <w:numPr>
          <w:ilvl w:val="0"/>
          <w:numId w:val="0"/>
        </w:numPr>
        <w:rPr>
          <w:rFonts w:ascii="黑体" w:hAnsi="黑体" w:eastAsia="黑体"/>
          <w:b/>
          <w:sz w:val="21"/>
          <w:szCs w:val="21"/>
        </w:rPr>
      </w:pPr>
      <w:bookmarkStart w:id="231" w:name="_Toc22386053"/>
      <w:bookmarkStart w:id="232" w:name="_Toc384341048"/>
      <w:r>
        <w:rPr>
          <w:rFonts w:hint="eastAsia" w:ascii="黑体" w:hAnsi="黑体" w:eastAsia="黑体"/>
          <w:b/>
          <w:sz w:val="21"/>
          <w:szCs w:val="21"/>
        </w:rPr>
        <w:t>11 LCC数据文件</w:t>
      </w:r>
      <w:bookmarkEnd w:id="231"/>
      <w:bookmarkEnd w:id="232"/>
    </w:p>
    <w:p>
      <w:pPr>
        <w:adjustRightInd w:val="0"/>
        <w:snapToGrid w:val="0"/>
        <w:spacing w:line="360" w:lineRule="auto"/>
        <w:ind w:firstLine="420" w:firstLineChars="200"/>
      </w:pPr>
      <w:r>
        <w:rPr>
          <w:rFonts w:hint="eastAsia"/>
        </w:rPr>
        <w:t>根据设备</w:t>
      </w:r>
      <w:r>
        <w:t>全生命周期成本（LCC）</w:t>
      </w:r>
      <w:r>
        <w:rPr>
          <w:rFonts w:hint="eastAsia"/>
        </w:rPr>
        <w:t>管理</w:t>
      </w:r>
      <w:r>
        <w:t>要求</w:t>
      </w:r>
      <w:r>
        <w:rPr>
          <w:rFonts w:hint="eastAsia"/>
        </w:rPr>
        <w:t>，投标方应如实填写</w:t>
      </w:r>
      <w:r>
        <w:t>表9</w:t>
      </w:r>
      <w:r>
        <w:rPr>
          <w:rFonts w:hint="eastAsia"/>
        </w:rPr>
        <w:t>：设备</w:t>
      </w:r>
      <w:r>
        <w:t>投资成本费用表</w:t>
      </w:r>
      <w:r>
        <w:rPr>
          <w:rFonts w:hint="eastAsia"/>
        </w:rPr>
        <w:t>。同时投标方还应</w:t>
      </w:r>
      <w:r>
        <w:t>提供专用工具、备品备件、在线监测装置的详细清单。</w:t>
      </w:r>
    </w:p>
    <w:p>
      <w:pPr>
        <w:jc w:val="center"/>
      </w:pPr>
      <w:r>
        <w:t>表</w:t>
      </w:r>
      <w:r>
        <w:rPr>
          <w:rFonts w:hint="eastAsia"/>
        </w:rPr>
        <w:t>9   设备</w:t>
      </w:r>
      <w:r>
        <w:t>投资成本费用表</w:t>
      </w:r>
      <w:r>
        <w:rPr>
          <w:rFonts w:hint="eastAsia"/>
        </w:rPr>
        <w:t xml:space="preserve"> （投标方填写）</w:t>
      </w:r>
    </w:p>
    <w:tbl>
      <w:tblPr>
        <w:tblStyle w:val="8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72"/>
        <w:gridCol w:w="1080"/>
        <w:gridCol w:w="531"/>
        <w:gridCol w:w="531"/>
        <w:gridCol w:w="1097"/>
        <w:gridCol w:w="898"/>
        <w:gridCol w:w="1260"/>
        <w:gridCol w:w="900"/>
        <w:gridCol w:w="900"/>
        <w:gridCol w:w="7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pPr>
              <w:autoSpaceDE w:val="0"/>
              <w:autoSpaceDN w:val="0"/>
              <w:adjustRightInd w:val="0"/>
              <w:snapToGrid w:val="0"/>
              <w:spacing w:line="360" w:lineRule="auto"/>
              <w:rPr>
                <w:kern w:val="0"/>
                <w:szCs w:val="21"/>
              </w:rPr>
            </w:pPr>
            <w:r>
              <w:rPr>
                <w:kern w:val="0"/>
                <w:szCs w:val="21"/>
              </w:rPr>
              <w:t>序号</w:t>
            </w:r>
          </w:p>
        </w:tc>
        <w:tc>
          <w:tcPr>
            <w:tcW w:w="1080" w:type="dxa"/>
            <w:vAlign w:val="center"/>
          </w:tcPr>
          <w:p>
            <w:pPr>
              <w:autoSpaceDE w:val="0"/>
              <w:autoSpaceDN w:val="0"/>
              <w:adjustRightInd w:val="0"/>
              <w:snapToGrid w:val="0"/>
              <w:spacing w:line="360" w:lineRule="auto"/>
              <w:rPr>
                <w:kern w:val="0"/>
                <w:szCs w:val="21"/>
              </w:rPr>
            </w:pPr>
            <w:r>
              <w:rPr>
                <w:rFonts w:hint="eastAsia"/>
                <w:kern w:val="0"/>
                <w:szCs w:val="21"/>
              </w:rPr>
              <w:t>设备</w:t>
            </w:r>
            <w:r>
              <w:rPr>
                <w:kern w:val="0"/>
                <w:szCs w:val="21"/>
              </w:rPr>
              <w:t>型号</w:t>
            </w:r>
          </w:p>
        </w:tc>
        <w:tc>
          <w:tcPr>
            <w:tcW w:w="531" w:type="dxa"/>
            <w:vAlign w:val="center"/>
          </w:tcPr>
          <w:p>
            <w:pPr>
              <w:autoSpaceDE w:val="0"/>
              <w:autoSpaceDN w:val="0"/>
              <w:adjustRightInd w:val="0"/>
              <w:snapToGrid w:val="0"/>
              <w:spacing w:line="360" w:lineRule="auto"/>
              <w:rPr>
                <w:kern w:val="0"/>
                <w:szCs w:val="21"/>
              </w:rPr>
            </w:pPr>
            <w:r>
              <w:rPr>
                <w:rFonts w:hint="eastAsia"/>
                <w:kern w:val="0"/>
                <w:szCs w:val="21"/>
              </w:rPr>
              <w:t>数量</w:t>
            </w:r>
          </w:p>
        </w:tc>
        <w:tc>
          <w:tcPr>
            <w:tcW w:w="531" w:type="dxa"/>
            <w:vAlign w:val="center"/>
          </w:tcPr>
          <w:p>
            <w:pPr>
              <w:autoSpaceDE w:val="0"/>
              <w:autoSpaceDN w:val="0"/>
              <w:adjustRightInd w:val="0"/>
              <w:snapToGrid w:val="0"/>
              <w:spacing w:line="360" w:lineRule="auto"/>
              <w:rPr>
                <w:kern w:val="0"/>
                <w:szCs w:val="21"/>
              </w:rPr>
            </w:pPr>
            <w:r>
              <w:rPr>
                <w:kern w:val="0"/>
                <w:szCs w:val="21"/>
              </w:rPr>
              <w:t>单价</w:t>
            </w:r>
          </w:p>
        </w:tc>
        <w:tc>
          <w:tcPr>
            <w:tcW w:w="1097" w:type="dxa"/>
            <w:vAlign w:val="center"/>
          </w:tcPr>
          <w:p>
            <w:pPr>
              <w:autoSpaceDE w:val="0"/>
              <w:autoSpaceDN w:val="0"/>
              <w:adjustRightInd w:val="0"/>
              <w:snapToGrid w:val="0"/>
              <w:spacing w:line="360" w:lineRule="auto"/>
              <w:rPr>
                <w:kern w:val="0"/>
                <w:szCs w:val="21"/>
              </w:rPr>
            </w:pPr>
            <w:r>
              <w:rPr>
                <w:kern w:val="0"/>
                <w:szCs w:val="21"/>
              </w:rPr>
              <w:t>专用工具费</w:t>
            </w:r>
          </w:p>
        </w:tc>
        <w:tc>
          <w:tcPr>
            <w:tcW w:w="898" w:type="dxa"/>
            <w:vAlign w:val="center"/>
          </w:tcPr>
          <w:p>
            <w:pPr>
              <w:autoSpaceDE w:val="0"/>
              <w:autoSpaceDN w:val="0"/>
              <w:adjustRightInd w:val="0"/>
              <w:snapToGrid w:val="0"/>
              <w:spacing w:line="360" w:lineRule="auto"/>
              <w:rPr>
                <w:kern w:val="0"/>
                <w:szCs w:val="21"/>
              </w:rPr>
            </w:pPr>
            <w:r>
              <w:rPr>
                <w:kern w:val="0"/>
                <w:szCs w:val="21"/>
              </w:rPr>
              <w:t>备品备件费</w:t>
            </w:r>
          </w:p>
        </w:tc>
        <w:tc>
          <w:tcPr>
            <w:tcW w:w="1260" w:type="dxa"/>
            <w:vAlign w:val="center"/>
          </w:tcPr>
          <w:p>
            <w:pPr>
              <w:autoSpaceDE w:val="0"/>
              <w:autoSpaceDN w:val="0"/>
              <w:adjustRightInd w:val="0"/>
              <w:snapToGrid w:val="0"/>
              <w:spacing w:line="360" w:lineRule="auto"/>
              <w:rPr>
                <w:kern w:val="0"/>
                <w:szCs w:val="21"/>
              </w:rPr>
            </w:pPr>
            <w:r>
              <w:rPr>
                <w:kern w:val="0"/>
                <w:szCs w:val="21"/>
              </w:rPr>
              <w:t>在线监测装置费</w:t>
            </w:r>
          </w:p>
        </w:tc>
        <w:tc>
          <w:tcPr>
            <w:tcW w:w="900" w:type="dxa"/>
            <w:vAlign w:val="center"/>
          </w:tcPr>
          <w:p>
            <w:pPr>
              <w:autoSpaceDE w:val="0"/>
              <w:autoSpaceDN w:val="0"/>
              <w:adjustRightInd w:val="0"/>
              <w:snapToGrid w:val="0"/>
              <w:spacing w:line="360" w:lineRule="auto"/>
              <w:rPr>
                <w:kern w:val="0"/>
                <w:szCs w:val="21"/>
              </w:rPr>
            </w:pPr>
            <w:r>
              <w:rPr>
                <w:kern w:val="0"/>
                <w:szCs w:val="21"/>
              </w:rPr>
              <w:t>现场服务费</w:t>
            </w:r>
          </w:p>
        </w:tc>
        <w:tc>
          <w:tcPr>
            <w:tcW w:w="900" w:type="dxa"/>
            <w:vAlign w:val="center"/>
          </w:tcPr>
          <w:p>
            <w:pPr>
              <w:autoSpaceDE w:val="0"/>
              <w:autoSpaceDN w:val="0"/>
              <w:adjustRightInd w:val="0"/>
              <w:snapToGrid w:val="0"/>
              <w:spacing w:line="360" w:lineRule="auto"/>
              <w:rPr>
                <w:kern w:val="0"/>
                <w:szCs w:val="21"/>
              </w:rPr>
            </w:pPr>
            <w:r>
              <w:rPr>
                <w:kern w:val="0"/>
                <w:szCs w:val="21"/>
              </w:rPr>
              <w:t>供货方运输费</w:t>
            </w:r>
          </w:p>
        </w:tc>
        <w:tc>
          <w:tcPr>
            <w:tcW w:w="740" w:type="dxa"/>
            <w:vAlign w:val="center"/>
          </w:tcPr>
          <w:p>
            <w:pPr>
              <w:autoSpaceDE w:val="0"/>
              <w:autoSpaceDN w:val="0"/>
              <w:adjustRightInd w:val="0"/>
              <w:snapToGrid w:val="0"/>
              <w:spacing w:line="360" w:lineRule="auto"/>
              <w:rPr>
                <w:kern w:val="0"/>
                <w:szCs w:val="21"/>
              </w:rPr>
            </w:pPr>
            <w:r>
              <w:rPr>
                <w:kern w:val="0"/>
                <w:szCs w:val="21"/>
              </w:rPr>
              <w:t>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pPr>
              <w:autoSpaceDE w:val="0"/>
              <w:autoSpaceDN w:val="0"/>
              <w:adjustRightInd w:val="0"/>
              <w:snapToGrid w:val="0"/>
              <w:spacing w:line="360" w:lineRule="auto"/>
              <w:jc w:val="center"/>
              <w:rPr>
                <w:kern w:val="0"/>
                <w:szCs w:val="21"/>
              </w:rPr>
            </w:pPr>
          </w:p>
        </w:tc>
        <w:tc>
          <w:tcPr>
            <w:tcW w:w="1080"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1097" w:type="dxa"/>
            <w:vAlign w:val="center"/>
          </w:tcPr>
          <w:p>
            <w:pPr>
              <w:autoSpaceDE w:val="0"/>
              <w:autoSpaceDN w:val="0"/>
              <w:adjustRightInd w:val="0"/>
              <w:snapToGrid w:val="0"/>
              <w:spacing w:line="360" w:lineRule="auto"/>
              <w:jc w:val="center"/>
              <w:rPr>
                <w:kern w:val="0"/>
                <w:szCs w:val="21"/>
              </w:rPr>
            </w:pPr>
          </w:p>
        </w:tc>
        <w:tc>
          <w:tcPr>
            <w:tcW w:w="898" w:type="dxa"/>
            <w:vAlign w:val="center"/>
          </w:tcPr>
          <w:p>
            <w:pPr>
              <w:autoSpaceDE w:val="0"/>
              <w:autoSpaceDN w:val="0"/>
              <w:adjustRightInd w:val="0"/>
              <w:snapToGrid w:val="0"/>
              <w:spacing w:line="360" w:lineRule="auto"/>
              <w:jc w:val="center"/>
              <w:rPr>
                <w:kern w:val="0"/>
                <w:szCs w:val="21"/>
              </w:rPr>
            </w:pPr>
          </w:p>
        </w:tc>
        <w:tc>
          <w:tcPr>
            <w:tcW w:w="1260"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740" w:type="dxa"/>
            <w:vAlign w:val="center"/>
          </w:tcPr>
          <w:p>
            <w:pPr>
              <w:autoSpaceDE w:val="0"/>
              <w:autoSpaceDN w:val="0"/>
              <w:adjustRightInd w:val="0"/>
              <w:snapToGrid w:val="0"/>
              <w:spacing w:line="360" w:lineRule="auto"/>
              <w:jc w:val="center"/>
              <w:rPr>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pPr>
              <w:autoSpaceDE w:val="0"/>
              <w:autoSpaceDN w:val="0"/>
              <w:adjustRightInd w:val="0"/>
              <w:snapToGrid w:val="0"/>
              <w:spacing w:line="360" w:lineRule="auto"/>
              <w:jc w:val="center"/>
              <w:rPr>
                <w:kern w:val="0"/>
                <w:szCs w:val="21"/>
              </w:rPr>
            </w:pPr>
          </w:p>
        </w:tc>
        <w:tc>
          <w:tcPr>
            <w:tcW w:w="1080"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1097" w:type="dxa"/>
            <w:vAlign w:val="center"/>
          </w:tcPr>
          <w:p>
            <w:pPr>
              <w:autoSpaceDE w:val="0"/>
              <w:autoSpaceDN w:val="0"/>
              <w:adjustRightInd w:val="0"/>
              <w:snapToGrid w:val="0"/>
              <w:spacing w:line="360" w:lineRule="auto"/>
              <w:jc w:val="center"/>
              <w:rPr>
                <w:kern w:val="0"/>
                <w:szCs w:val="21"/>
              </w:rPr>
            </w:pPr>
          </w:p>
        </w:tc>
        <w:tc>
          <w:tcPr>
            <w:tcW w:w="898" w:type="dxa"/>
            <w:vAlign w:val="center"/>
          </w:tcPr>
          <w:p>
            <w:pPr>
              <w:autoSpaceDE w:val="0"/>
              <w:autoSpaceDN w:val="0"/>
              <w:adjustRightInd w:val="0"/>
              <w:snapToGrid w:val="0"/>
              <w:spacing w:line="360" w:lineRule="auto"/>
              <w:jc w:val="center"/>
              <w:rPr>
                <w:kern w:val="0"/>
                <w:szCs w:val="21"/>
              </w:rPr>
            </w:pPr>
          </w:p>
        </w:tc>
        <w:tc>
          <w:tcPr>
            <w:tcW w:w="1260"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740" w:type="dxa"/>
            <w:vAlign w:val="center"/>
          </w:tcPr>
          <w:p>
            <w:pPr>
              <w:autoSpaceDE w:val="0"/>
              <w:autoSpaceDN w:val="0"/>
              <w:adjustRightInd w:val="0"/>
              <w:snapToGrid w:val="0"/>
              <w:spacing w:line="360" w:lineRule="auto"/>
              <w:jc w:val="center"/>
              <w:rPr>
                <w:kern w:val="0"/>
                <w:szCs w:val="21"/>
              </w:rPr>
            </w:pPr>
          </w:p>
        </w:tc>
      </w:tr>
    </w:tbl>
    <w:p>
      <w:pPr>
        <w:sectPr>
          <w:headerReference r:id="rId7" w:type="default"/>
          <w:footerReference r:id="rId8" w:type="default"/>
          <w:pgSz w:w="11907" w:h="16839"/>
          <w:pgMar w:top="1440" w:right="1701" w:bottom="1440" w:left="1701" w:header="964" w:footer="737" w:gutter="0"/>
          <w:pgNumType w:start="1"/>
          <w:cols w:space="720" w:num="1"/>
        </w:sectPr>
      </w:pPr>
    </w:p>
    <w:p>
      <w:pPr>
        <w:keepNext/>
        <w:keepLines/>
        <w:tabs>
          <w:tab w:val="left" w:pos="425"/>
        </w:tabs>
        <w:topLinePunct/>
        <w:spacing w:line="480" w:lineRule="auto"/>
        <w:textAlignment w:val="baseline"/>
        <w:outlineLvl w:val="0"/>
        <w:rPr>
          <w:rFonts w:ascii="黑体" w:hAnsi="黑体" w:eastAsia="黑体"/>
          <w:b/>
          <w:kern w:val="44"/>
          <w:szCs w:val="21"/>
        </w:rPr>
      </w:pPr>
      <w:bookmarkStart w:id="233" w:name="_Toc22386054"/>
      <w:bookmarkStart w:id="234" w:name="_Toc22212742"/>
      <w:r>
        <w:rPr>
          <w:rFonts w:hint="eastAsia" w:ascii="黑体" w:hAnsi="黑体" w:eastAsia="黑体"/>
          <w:b/>
          <w:kern w:val="44"/>
          <w:szCs w:val="21"/>
        </w:rPr>
        <w:t>附录</w:t>
      </w:r>
      <w:r>
        <w:rPr>
          <w:rFonts w:ascii="黑体" w:hAnsi="黑体" w:eastAsia="黑体"/>
          <w:b/>
          <w:kern w:val="44"/>
          <w:szCs w:val="21"/>
        </w:rPr>
        <w:t>：</w:t>
      </w:r>
      <w:r>
        <w:rPr>
          <w:rFonts w:hint="eastAsia" w:ascii="黑体" w:hAnsi="黑体" w:eastAsia="黑体"/>
          <w:b/>
          <w:kern w:val="44"/>
          <w:szCs w:val="21"/>
        </w:rPr>
        <w:t>110kV</w:t>
      </w:r>
      <w:r>
        <w:rPr>
          <w:rFonts w:eastAsia="黑体"/>
          <w:b/>
          <w:kern w:val="44"/>
          <w:szCs w:val="21"/>
        </w:rPr>
        <w:t>~</w:t>
      </w:r>
      <w:r>
        <w:rPr>
          <w:rFonts w:hint="eastAsia" w:ascii="黑体" w:hAnsi="黑体" w:eastAsia="黑体"/>
          <w:b/>
          <w:kern w:val="44"/>
          <w:szCs w:val="21"/>
        </w:rPr>
        <w:t>500kV瓷绝缘支柱绝缘子技术规范书审核表单</w:t>
      </w:r>
      <w:bookmarkEnd w:id="233"/>
      <w:bookmarkEnd w:id="234"/>
    </w:p>
    <w:p>
      <w:pPr>
        <w:snapToGrid w:val="0"/>
        <w:spacing w:line="360" w:lineRule="auto"/>
        <w:rPr>
          <w:b/>
          <w:sz w:val="22"/>
          <w:szCs w:val="28"/>
        </w:rPr>
      </w:pPr>
      <w:r>
        <w:rPr>
          <w:b/>
          <w:sz w:val="22"/>
          <w:szCs w:val="28"/>
        </w:rPr>
        <w:t>填写说明：</w:t>
      </w:r>
    </w:p>
    <w:p>
      <w:pPr>
        <w:snapToGrid w:val="0"/>
        <w:spacing w:line="360" w:lineRule="auto"/>
        <w:ind w:firstLine="440" w:firstLineChars="200"/>
        <w:rPr>
          <w:sz w:val="22"/>
          <w:szCs w:val="28"/>
        </w:rPr>
      </w:pPr>
      <w:r>
        <w:rPr>
          <w:sz w:val="22"/>
          <w:szCs w:val="28"/>
        </w:rPr>
        <w:t>审核表单作为通用部分的附表，对未开展型号审查设备在评标时进行证明文件审查。</w:t>
      </w:r>
    </w:p>
    <w:p>
      <w:pPr>
        <w:snapToGrid w:val="0"/>
        <w:spacing w:line="360" w:lineRule="auto"/>
        <w:rPr>
          <w:sz w:val="22"/>
          <w:szCs w:val="28"/>
        </w:rPr>
      </w:pPr>
      <w:r>
        <w:rPr>
          <w:sz w:val="22"/>
          <w:szCs w:val="28"/>
        </w:rPr>
        <w:t>1、投标人响应部分基本填写要求如下：</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756"/>
        <w:gridCol w:w="3799"/>
        <w:gridCol w:w="4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投标人响应</w:t>
            </w:r>
          </w:p>
        </w:tc>
        <w:tc>
          <w:tcPr>
            <w:tcW w:w="2756" w:type="dxa"/>
            <w:vAlign w:val="center"/>
          </w:tcPr>
          <w:p>
            <w:pPr>
              <w:snapToGrid w:val="0"/>
              <w:spacing w:line="360" w:lineRule="auto"/>
              <w:jc w:val="center"/>
              <w:rPr>
                <w:szCs w:val="21"/>
              </w:rPr>
            </w:pPr>
            <w:r>
              <w:rPr>
                <w:szCs w:val="21"/>
              </w:rPr>
              <w:t>投标人响应值</w:t>
            </w:r>
          </w:p>
        </w:tc>
        <w:tc>
          <w:tcPr>
            <w:tcW w:w="3799" w:type="dxa"/>
            <w:vAlign w:val="center"/>
          </w:tcPr>
          <w:p>
            <w:pPr>
              <w:snapToGrid w:val="0"/>
              <w:spacing w:line="360" w:lineRule="auto"/>
              <w:jc w:val="center"/>
              <w:rPr>
                <w:szCs w:val="21"/>
              </w:rPr>
            </w:pPr>
            <w:r>
              <w:rPr>
                <w:szCs w:val="21"/>
              </w:rPr>
              <w:t>证明材料</w:t>
            </w:r>
          </w:p>
        </w:tc>
        <w:tc>
          <w:tcPr>
            <w:tcW w:w="4553" w:type="dxa"/>
            <w:vAlign w:val="center"/>
          </w:tcPr>
          <w:p>
            <w:pPr>
              <w:snapToGrid w:val="0"/>
              <w:spacing w:line="360" w:lineRule="auto"/>
              <w:jc w:val="center"/>
              <w:rPr>
                <w:szCs w:val="21"/>
              </w:rPr>
            </w:pPr>
            <w:r>
              <w:rPr>
                <w:szCs w:val="21"/>
              </w:rPr>
              <w:t>投标人偏差说明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“优于要求”</w:t>
            </w:r>
          </w:p>
        </w:tc>
        <w:tc>
          <w:tcPr>
            <w:tcW w:w="2756" w:type="dxa"/>
            <w:vMerge w:val="restart"/>
            <w:vAlign w:val="center"/>
          </w:tcPr>
          <w:p>
            <w:pPr>
              <w:snapToGrid w:val="0"/>
              <w:spacing w:line="360" w:lineRule="auto"/>
              <w:jc w:val="center"/>
              <w:rPr>
                <w:szCs w:val="21"/>
              </w:rPr>
            </w:pPr>
            <w:r>
              <w:rPr>
                <w:szCs w:val="21"/>
              </w:rPr>
              <w:t>投标设备相应参数值</w:t>
            </w:r>
          </w:p>
        </w:tc>
        <w:tc>
          <w:tcPr>
            <w:tcW w:w="3799" w:type="dxa"/>
            <w:vMerge w:val="restart"/>
            <w:vAlign w:val="center"/>
          </w:tcPr>
          <w:p>
            <w:pPr>
              <w:snapToGrid w:val="0"/>
              <w:spacing w:line="360" w:lineRule="auto"/>
              <w:jc w:val="center"/>
              <w:rPr>
                <w:szCs w:val="21"/>
              </w:rPr>
            </w:pPr>
            <w:r>
              <w:rPr>
                <w:szCs w:val="21"/>
              </w:rPr>
              <w:t>证明文件名称、编号、相关内容起止页码</w:t>
            </w:r>
          </w:p>
        </w:tc>
        <w:tc>
          <w:tcPr>
            <w:tcW w:w="4553" w:type="dxa"/>
            <w:vAlign w:val="center"/>
          </w:tcPr>
          <w:p>
            <w:pPr>
              <w:snapToGrid w:val="0"/>
              <w:spacing w:line="360" w:lineRule="auto"/>
              <w:jc w:val="center"/>
              <w:rPr>
                <w:szCs w:val="21"/>
              </w:rPr>
            </w:pPr>
            <w:r>
              <w:rPr>
                <w:szCs w:val="21"/>
              </w:rPr>
              <w:t>投标人偏差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“全部满足要求”</w:t>
            </w:r>
          </w:p>
        </w:tc>
        <w:tc>
          <w:tcPr>
            <w:tcW w:w="2756" w:type="dxa"/>
            <w:vMerge w:val="continue"/>
            <w:vAlign w:val="center"/>
          </w:tcPr>
          <w:p>
            <w:pPr>
              <w:snapToGrid w:val="0"/>
              <w:spacing w:line="360" w:lineRule="auto"/>
              <w:jc w:val="left"/>
              <w:rPr>
                <w:color w:val="FF0000"/>
                <w:szCs w:val="21"/>
              </w:rPr>
            </w:pPr>
          </w:p>
        </w:tc>
        <w:tc>
          <w:tcPr>
            <w:tcW w:w="3799" w:type="dxa"/>
            <w:vMerge w:val="continue"/>
            <w:vAlign w:val="center"/>
          </w:tcPr>
          <w:p>
            <w:pPr>
              <w:snapToGrid w:val="0"/>
              <w:spacing w:line="360" w:lineRule="auto"/>
              <w:jc w:val="center"/>
              <w:rPr>
                <w:szCs w:val="21"/>
              </w:rPr>
            </w:pPr>
          </w:p>
        </w:tc>
        <w:tc>
          <w:tcPr>
            <w:tcW w:w="4553" w:type="dxa"/>
            <w:vAlign w:val="center"/>
          </w:tcPr>
          <w:p>
            <w:pPr>
              <w:snapToGrid w:val="0"/>
              <w:spacing w:line="360" w:lineRule="auto"/>
              <w:jc w:val="center"/>
              <w:rPr>
                <w:szCs w:val="21"/>
              </w:rPr>
            </w:pPr>
            <w:r>
              <w:rPr>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“不满足要求”</w:t>
            </w:r>
          </w:p>
        </w:tc>
        <w:tc>
          <w:tcPr>
            <w:tcW w:w="2756" w:type="dxa"/>
            <w:vMerge w:val="continue"/>
            <w:vAlign w:val="center"/>
          </w:tcPr>
          <w:p>
            <w:pPr>
              <w:snapToGrid w:val="0"/>
              <w:spacing w:line="360" w:lineRule="auto"/>
              <w:jc w:val="center"/>
              <w:rPr>
                <w:szCs w:val="21"/>
              </w:rPr>
            </w:pPr>
          </w:p>
        </w:tc>
        <w:tc>
          <w:tcPr>
            <w:tcW w:w="3799" w:type="dxa"/>
            <w:vMerge w:val="continue"/>
            <w:vAlign w:val="center"/>
          </w:tcPr>
          <w:p>
            <w:pPr>
              <w:snapToGrid w:val="0"/>
              <w:spacing w:line="360" w:lineRule="auto"/>
              <w:jc w:val="center"/>
              <w:rPr>
                <w:szCs w:val="21"/>
              </w:rPr>
            </w:pPr>
          </w:p>
        </w:tc>
        <w:tc>
          <w:tcPr>
            <w:tcW w:w="4553" w:type="dxa"/>
            <w:vAlign w:val="center"/>
          </w:tcPr>
          <w:p>
            <w:pPr>
              <w:snapToGrid w:val="0"/>
              <w:spacing w:line="360" w:lineRule="auto"/>
              <w:jc w:val="center"/>
              <w:rPr>
                <w:szCs w:val="21"/>
              </w:rPr>
            </w:pPr>
            <w:r>
              <w:rPr>
                <w:szCs w:val="21"/>
              </w:rPr>
              <w:t>投标人偏差及建议</w:t>
            </w:r>
          </w:p>
        </w:tc>
      </w:tr>
    </w:tbl>
    <w:p>
      <w:pPr>
        <w:snapToGrid w:val="0"/>
        <w:spacing w:line="360" w:lineRule="auto"/>
        <w:rPr>
          <w:b/>
          <w:sz w:val="22"/>
          <w:szCs w:val="28"/>
        </w:rPr>
      </w:pPr>
      <w:r>
        <w:rPr>
          <w:b/>
          <w:sz w:val="22"/>
          <w:szCs w:val="28"/>
        </w:rPr>
        <w:t>2、所有投标人提供的响应文件应有唯一编号，编号不少于5位，具体格式不限。</w:t>
      </w:r>
    </w:p>
    <w:p>
      <w:pPr>
        <w:snapToGrid w:val="0"/>
        <w:spacing w:line="360" w:lineRule="auto"/>
        <w:rPr>
          <w:b/>
          <w:sz w:val="22"/>
          <w:szCs w:val="28"/>
        </w:rPr>
      </w:pPr>
      <w:r>
        <w:rPr>
          <w:sz w:val="22"/>
          <w:szCs w:val="28"/>
        </w:rPr>
        <w:t>3、投标人在投标时应提供必要的条款响应支撑文件清单，</w:t>
      </w:r>
      <w:r>
        <w:rPr>
          <w:b/>
          <w:sz w:val="22"/>
          <w:szCs w:val="28"/>
        </w:rPr>
        <w:t>投标时应对下面逐条要求进行响应，并说明响应内容所在的具体文件位置（包括文件名称、文件编号、文件起止页码）。同一条款要求可对应对个支撑文件，单一支撑文件也对不同条款要求进行响应。</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6"/>
        <w:gridCol w:w="5738"/>
        <w:gridCol w:w="3487"/>
        <w:gridCol w:w="3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pPr>
              <w:snapToGrid w:val="0"/>
              <w:spacing w:line="360" w:lineRule="auto"/>
              <w:jc w:val="center"/>
              <w:rPr>
                <w:szCs w:val="21"/>
              </w:rPr>
            </w:pPr>
            <w:r>
              <w:rPr>
                <w:szCs w:val="21"/>
              </w:rPr>
              <w:t>序号</w:t>
            </w:r>
          </w:p>
        </w:tc>
        <w:tc>
          <w:tcPr>
            <w:tcW w:w="5738" w:type="dxa"/>
            <w:vAlign w:val="center"/>
          </w:tcPr>
          <w:p>
            <w:pPr>
              <w:snapToGrid w:val="0"/>
              <w:spacing w:line="360" w:lineRule="auto"/>
              <w:jc w:val="center"/>
              <w:rPr>
                <w:szCs w:val="21"/>
              </w:rPr>
            </w:pPr>
            <w:r>
              <w:rPr>
                <w:szCs w:val="21"/>
              </w:rPr>
              <w:t>报告类型</w:t>
            </w:r>
          </w:p>
        </w:tc>
        <w:tc>
          <w:tcPr>
            <w:tcW w:w="3487" w:type="dxa"/>
            <w:vAlign w:val="center"/>
          </w:tcPr>
          <w:p>
            <w:pPr>
              <w:snapToGrid w:val="0"/>
              <w:spacing w:line="360" w:lineRule="auto"/>
              <w:jc w:val="center"/>
              <w:rPr>
                <w:szCs w:val="21"/>
              </w:rPr>
            </w:pPr>
            <w:r>
              <w:rPr>
                <w:szCs w:val="21"/>
              </w:rPr>
              <w:t>文件名称</w:t>
            </w:r>
          </w:p>
        </w:tc>
        <w:tc>
          <w:tcPr>
            <w:tcW w:w="3487" w:type="dxa"/>
            <w:vAlign w:val="center"/>
          </w:tcPr>
          <w:p>
            <w:pPr>
              <w:snapToGrid w:val="0"/>
              <w:spacing w:line="360" w:lineRule="auto"/>
              <w:jc w:val="center"/>
              <w:rPr>
                <w:szCs w:val="21"/>
              </w:rPr>
            </w:pPr>
            <w:r>
              <w:rPr>
                <w:szCs w:val="21"/>
              </w:rPr>
              <w:t>文件编号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pPr>
              <w:snapToGrid w:val="0"/>
              <w:spacing w:line="360" w:lineRule="auto"/>
              <w:jc w:val="center"/>
              <w:rPr>
                <w:szCs w:val="21"/>
              </w:rPr>
            </w:pPr>
            <w:r>
              <w:rPr>
                <w:szCs w:val="21"/>
              </w:rPr>
              <w:t>1</w:t>
            </w:r>
          </w:p>
        </w:tc>
        <w:tc>
          <w:tcPr>
            <w:tcW w:w="5738" w:type="dxa"/>
            <w:vAlign w:val="center"/>
          </w:tcPr>
          <w:p>
            <w:pPr>
              <w:snapToGrid w:val="0"/>
              <w:spacing w:line="360" w:lineRule="auto"/>
              <w:jc w:val="center"/>
              <w:rPr>
                <w:szCs w:val="21"/>
              </w:rPr>
            </w:pPr>
            <w:r>
              <w:rPr>
                <w:szCs w:val="21"/>
              </w:rPr>
              <w:t>技术报告/试验报告/图纸/其他</w:t>
            </w:r>
          </w:p>
        </w:tc>
        <w:tc>
          <w:tcPr>
            <w:tcW w:w="3487" w:type="dxa"/>
            <w:vAlign w:val="center"/>
          </w:tcPr>
          <w:p>
            <w:pPr>
              <w:snapToGrid w:val="0"/>
              <w:spacing w:line="360" w:lineRule="auto"/>
              <w:jc w:val="center"/>
              <w:rPr>
                <w:szCs w:val="21"/>
              </w:rPr>
            </w:pPr>
          </w:p>
        </w:tc>
        <w:tc>
          <w:tcPr>
            <w:tcW w:w="3487" w:type="dxa"/>
            <w:vAlign w:val="center"/>
          </w:tcPr>
          <w:p>
            <w:pPr>
              <w:snapToGrid w:val="0"/>
              <w:spacing w:line="360" w:lineRule="auto"/>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tcPr>
          <w:p>
            <w:pPr>
              <w:snapToGrid w:val="0"/>
              <w:spacing w:line="360" w:lineRule="auto"/>
              <w:rPr>
                <w:szCs w:val="21"/>
              </w:rPr>
            </w:pPr>
          </w:p>
        </w:tc>
        <w:tc>
          <w:tcPr>
            <w:tcW w:w="5738" w:type="dxa"/>
          </w:tcPr>
          <w:p>
            <w:pPr>
              <w:snapToGrid w:val="0"/>
              <w:spacing w:line="360" w:lineRule="auto"/>
              <w:rPr>
                <w:szCs w:val="21"/>
              </w:rPr>
            </w:pPr>
          </w:p>
        </w:tc>
        <w:tc>
          <w:tcPr>
            <w:tcW w:w="3487" w:type="dxa"/>
          </w:tcPr>
          <w:p>
            <w:pPr>
              <w:snapToGrid w:val="0"/>
              <w:spacing w:line="360" w:lineRule="auto"/>
              <w:rPr>
                <w:szCs w:val="21"/>
              </w:rPr>
            </w:pPr>
          </w:p>
        </w:tc>
        <w:tc>
          <w:tcPr>
            <w:tcW w:w="3487" w:type="dxa"/>
          </w:tcPr>
          <w:p>
            <w:pPr>
              <w:snapToGrid w:val="0"/>
              <w:spacing w:line="360" w:lineRule="auto"/>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tcPr>
          <w:p>
            <w:pPr>
              <w:snapToGrid w:val="0"/>
              <w:spacing w:line="360" w:lineRule="auto"/>
              <w:rPr>
                <w:szCs w:val="21"/>
              </w:rPr>
            </w:pPr>
          </w:p>
        </w:tc>
        <w:tc>
          <w:tcPr>
            <w:tcW w:w="5738" w:type="dxa"/>
          </w:tcPr>
          <w:p>
            <w:pPr>
              <w:snapToGrid w:val="0"/>
              <w:spacing w:line="360" w:lineRule="auto"/>
              <w:rPr>
                <w:szCs w:val="21"/>
              </w:rPr>
            </w:pPr>
          </w:p>
        </w:tc>
        <w:tc>
          <w:tcPr>
            <w:tcW w:w="3487" w:type="dxa"/>
          </w:tcPr>
          <w:p>
            <w:pPr>
              <w:snapToGrid w:val="0"/>
              <w:spacing w:line="360" w:lineRule="auto"/>
              <w:rPr>
                <w:szCs w:val="21"/>
              </w:rPr>
            </w:pPr>
          </w:p>
        </w:tc>
        <w:tc>
          <w:tcPr>
            <w:tcW w:w="3487" w:type="dxa"/>
          </w:tcPr>
          <w:p>
            <w:pPr>
              <w:snapToGrid w:val="0"/>
              <w:spacing w:line="360" w:lineRule="auto"/>
              <w:rPr>
                <w:szCs w:val="21"/>
              </w:rPr>
            </w:pPr>
          </w:p>
        </w:tc>
      </w:tr>
    </w:tbl>
    <w:p>
      <w:pPr>
        <w:snapToGrid w:val="0"/>
        <w:spacing w:line="360" w:lineRule="auto"/>
        <w:rPr>
          <w:sz w:val="22"/>
          <w:szCs w:val="28"/>
        </w:rPr>
      </w:pPr>
    </w:p>
    <w:p>
      <w:pPr>
        <w:jc w:val="center"/>
        <w:rPr>
          <w:rFonts w:ascii="宋体" w:hAnsi="宋体"/>
          <w:sz w:val="36"/>
          <w:szCs w:val="36"/>
        </w:rPr>
      </w:pPr>
    </w:p>
    <w:p>
      <w:pPr>
        <w:jc w:val="center"/>
        <w:rPr>
          <w:rFonts w:ascii="宋体" w:hAnsi="宋体"/>
          <w:sz w:val="36"/>
          <w:szCs w:val="36"/>
        </w:rPr>
      </w:pPr>
    </w:p>
    <w:p>
      <w:pPr>
        <w:jc w:val="center"/>
        <w:rPr>
          <w:rFonts w:ascii="宋体" w:hAnsi="宋体"/>
          <w:sz w:val="36"/>
          <w:szCs w:val="36"/>
        </w:rPr>
      </w:pPr>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rPr>
      </w:pPr>
      <w:r>
        <w:rPr>
          <w:rFonts w:hint="eastAsia"/>
          <w:sz w:val="36"/>
          <w:szCs w:val="36"/>
        </w:rPr>
        <w:t>110kV~500kV瓷绝缘支柱绝缘子技术规范书审核表单</w:t>
      </w:r>
    </w:p>
    <w:p/>
    <w:tbl>
      <w:tblPr>
        <w:tblStyle w:val="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6234"/>
        <w:gridCol w:w="1203"/>
        <w:gridCol w:w="1560"/>
        <w:gridCol w:w="1490"/>
        <w:gridCol w:w="155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69" w:type="dxa"/>
            <w:gridSpan w:val="2"/>
          </w:tcPr>
          <w:p>
            <w:pPr>
              <w:jc w:val="center"/>
              <w:rPr>
                <w:rFonts w:ascii="Calibri" w:hAnsi="Calibri"/>
                <w:sz w:val="18"/>
                <w:szCs w:val="18"/>
              </w:rPr>
            </w:pPr>
            <w:r>
              <w:rPr>
                <w:rFonts w:hint="eastAsia" w:ascii="Calibri" w:hAnsi="Calibri"/>
                <w:sz w:val="18"/>
                <w:szCs w:val="18"/>
              </w:rPr>
              <w:t>招标条款要求</w:t>
            </w:r>
          </w:p>
        </w:tc>
        <w:tc>
          <w:tcPr>
            <w:tcW w:w="5812" w:type="dxa"/>
            <w:gridSpan w:val="4"/>
          </w:tcPr>
          <w:p>
            <w:pPr>
              <w:jc w:val="center"/>
              <w:rPr>
                <w:rFonts w:ascii="Calibri" w:hAnsi="Calibri"/>
                <w:sz w:val="18"/>
                <w:szCs w:val="18"/>
              </w:rPr>
            </w:pPr>
            <w:r>
              <w:rPr>
                <w:rFonts w:hint="eastAsia" w:ascii="Calibri" w:hAnsi="Calibri"/>
                <w:sz w:val="18"/>
                <w:szCs w:val="18"/>
              </w:rPr>
              <w:t>投标人响应</w:t>
            </w:r>
          </w:p>
        </w:tc>
        <w:tc>
          <w:tcPr>
            <w:tcW w:w="1276" w:type="dxa"/>
          </w:tcPr>
          <w:p>
            <w:pPr>
              <w:jc w:val="center"/>
              <w:rPr>
                <w:rFonts w:ascii="Calibri" w:hAnsi="Calibri"/>
                <w:sz w:val="18"/>
                <w:szCs w:val="18"/>
              </w:rPr>
            </w:pPr>
            <w:r>
              <w:rPr>
                <w:rFonts w:hint="eastAsia" w:ascii="Calibri" w:hAnsi="Calibri"/>
                <w:sz w:val="18"/>
                <w:szCs w:val="18"/>
              </w:rPr>
              <w:t>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restart"/>
            <w:vAlign w:val="center"/>
          </w:tcPr>
          <w:p>
            <w:pPr>
              <w:jc w:val="center"/>
              <w:rPr>
                <w:rFonts w:ascii="Calibri" w:hAnsi="Calibri"/>
                <w:sz w:val="18"/>
                <w:szCs w:val="18"/>
              </w:rPr>
            </w:pPr>
            <w:r>
              <w:rPr>
                <w:rFonts w:hint="eastAsia" w:ascii="Calibri" w:hAnsi="Calibri"/>
                <w:sz w:val="18"/>
                <w:szCs w:val="18"/>
              </w:rPr>
              <w:t>条款</w:t>
            </w:r>
            <w:r>
              <w:rPr>
                <w:rFonts w:ascii="Calibri" w:hAnsi="Calibri"/>
                <w:sz w:val="18"/>
                <w:szCs w:val="18"/>
              </w:rPr>
              <w:t>号</w:t>
            </w:r>
          </w:p>
        </w:tc>
        <w:tc>
          <w:tcPr>
            <w:tcW w:w="6234" w:type="dxa"/>
            <w:vMerge w:val="restart"/>
            <w:vAlign w:val="center"/>
          </w:tcPr>
          <w:p>
            <w:pPr>
              <w:jc w:val="center"/>
              <w:rPr>
                <w:rFonts w:ascii="Calibri" w:hAnsi="Calibri"/>
                <w:sz w:val="18"/>
                <w:szCs w:val="18"/>
              </w:rPr>
            </w:pPr>
            <w:r>
              <w:rPr>
                <w:rFonts w:hint="eastAsia" w:ascii="Calibri" w:hAnsi="Calibri"/>
                <w:sz w:val="18"/>
                <w:szCs w:val="18"/>
              </w:rPr>
              <w:t>条款基本</w:t>
            </w:r>
            <w:r>
              <w:rPr>
                <w:rFonts w:ascii="Calibri" w:hAnsi="Calibri"/>
                <w:sz w:val="18"/>
                <w:szCs w:val="18"/>
              </w:rPr>
              <w:t>内容</w:t>
            </w:r>
            <w:r>
              <w:rPr>
                <w:rFonts w:hint="eastAsia" w:ascii="Calibri" w:hAnsi="Calibri"/>
                <w:sz w:val="18"/>
                <w:szCs w:val="18"/>
              </w:rPr>
              <w:t>和</w:t>
            </w:r>
            <w:r>
              <w:rPr>
                <w:rFonts w:ascii="Calibri" w:hAnsi="Calibri"/>
                <w:sz w:val="18"/>
                <w:szCs w:val="18"/>
              </w:rPr>
              <w:t>要求</w:t>
            </w:r>
          </w:p>
        </w:tc>
        <w:tc>
          <w:tcPr>
            <w:tcW w:w="1203" w:type="dxa"/>
            <w:vMerge w:val="restart"/>
            <w:vAlign w:val="center"/>
          </w:tcPr>
          <w:p>
            <w:pPr>
              <w:jc w:val="center"/>
              <w:rPr>
                <w:rFonts w:ascii="Calibri" w:hAnsi="Calibri"/>
                <w:sz w:val="18"/>
                <w:szCs w:val="18"/>
              </w:rPr>
            </w:pPr>
            <w:r>
              <w:rPr>
                <w:rFonts w:hint="eastAsia" w:ascii="Calibri" w:hAnsi="Calibri"/>
                <w:sz w:val="18"/>
                <w:szCs w:val="18"/>
              </w:rPr>
              <w:t>投标人</w:t>
            </w:r>
            <w:r>
              <w:rPr>
                <w:rFonts w:ascii="Calibri" w:hAnsi="Calibri"/>
                <w:sz w:val="18"/>
                <w:szCs w:val="18"/>
              </w:rPr>
              <w:t>响应</w:t>
            </w:r>
          </w:p>
        </w:tc>
        <w:tc>
          <w:tcPr>
            <w:tcW w:w="1560" w:type="dxa"/>
            <w:vMerge w:val="restart"/>
            <w:vAlign w:val="center"/>
          </w:tcPr>
          <w:p>
            <w:pPr>
              <w:jc w:val="center"/>
              <w:rPr>
                <w:rFonts w:ascii="Calibri" w:hAnsi="Calibri"/>
                <w:sz w:val="18"/>
                <w:szCs w:val="18"/>
              </w:rPr>
            </w:pPr>
            <w:r>
              <w:rPr>
                <w:rFonts w:hint="eastAsia" w:ascii="Calibri" w:hAnsi="Calibri"/>
                <w:sz w:val="18"/>
                <w:szCs w:val="18"/>
              </w:rPr>
              <w:t>投标人</w:t>
            </w:r>
            <w:r>
              <w:rPr>
                <w:rFonts w:ascii="Calibri" w:hAnsi="Calibri"/>
                <w:sz w:val="18"/>
                <w:szCs w:val="18"/>
              </w:rPr>
              <w:t>响应</w:t>
            </w:r>
            <w:r>
              <w:rPr>
                <w:rFonts w:hint="eastAsia" w:ascii="Calibri" w:hAnsi="Calibri"/>
                <w:sz w:val="18"/>
                <w:szCs w:val="18"/>
              </w:rPr>
              <w:t>值</w:t>
            </w:r>
          </w:p>
        </w:tc>
        <w:tc>
          <w:tcPr>
            <w:tcW w:w="1490" w:type="dxa"/>
            <w:vMerge w:val="restart"/>
            <w:vAlign w:val="center"/>
          </w:tcPr>
          <w:p>
            <w:pPr>
              <w:jc w:val="center"/>
              <w:rPr>
                <w:rFonts w:ascii="Calibri" w:hAnsi="Calibri"/>
                <w:sz w:val="18"/>
                <w:szCs w:val="18"/>
              </w:rPr>
            </w:pPr>
            <w:r>
              <w:rPr>
                <w:rFonts w:hint="eastAsia" w:ascii="Calibri" w:hAnsi="Calibri"/>
                <w:sz w:val="18"/>
                <w:szCs w:val="18"/>
              </w:rPr>
              <w:t>证明</w:t>
            </w:r>
            <w:r>
              <w:rPr>
                <w:rFonts w:ascii="Calibri" w:hAnsi="Calibri"/>
                <w:sz w:val="18"/>
                <w:szCs w:val="18"/>
              </w:rPr>
              <w:t>材料</w:t>
            </w:r>
          </w:p>
        </w:tc>
        <w:tc>
          <w:tcPr>
            <w:tcW w:w="1559" w:type="dxa"/>
            <w:vMerge w:val="restart"/>
            <w:vAlign w:val="center"/>
          </w:tcPr>
          <w:p>
            <w:pPr>
              <w:jc w:val="center"/>
              <w:rPr>
                <w:rFonts w:ascii="Calibri" w:hAnsi="Calibri"/>
                <w:sz w:val="18"/>
                <w:szCs w:val="18"/>
              </w:rPr>
            </w:pPr>
            <w:r>
              <w:rPr>
                <w:rFonts w:hint="eastAsia" w:ascii="Calibri" w:hAnsi="Calibri"/>
                <w:sz w:val="18"/>
                <w:szCs w:val="18"/>
              </w:rPr>
              <w:t>投标人偏差</w:t>
            </w:r>
            <w:r>
              <w:rPr>
                <w:rFonts w:ascii="Calibri" w:hAnsi="Calibri"/>
                <w:sz w:val="18"/>
                <w:szCs w:val="18"/>
              </w:rPr>
              <w:t>说明</w:t>
            </w:r>
          </w:p>
        </w:tc>
        <w:tc>
          <w:tcPr>
            <w:tcW w:w="1276" w:type="dxa"/>
            <w:vMerge w:val="restart"/>
            <w:vAlign w:val="center"/>
          </w:tcPr>
          <w:p>
            <w:pPr>
              <w:jc w:val="center"/>
              <w:rPr>
                <w:rFonts w:ascii="Calibri" w:hAnsi="Calibri"/>
                <w:sz w:val="18"/>
                <w:szCs w:val="18"/>
              </w:rPr>
            </w:pPr>
            <w:r>
              <w:rPr>
                <w:rFonts w:hint="eastAsia" w:ascii="Calibri" w:hAnsi="Calibri"/>
                <w:sz w:val="18"/>
                <w:szCs w:val="18"/>
              </w:rPr>
              <w:t>评标</w:t>
            </w:r>
            <w:r>
              <w:rPr>
                <w:rFonts w:ascii="Calibri" w:hAnsi="Calibri"/>
                <w:sz w:val="18"/>
                <w:szCs w:val="18"/>
              </w:rPr>
              <w:t>专家</w:t>
            </w:r>
          </w:p>
          <w:p>
            <w:pPr>
              <w:jc w:val="center"/>
              <w:rPr>
                <w:rFonts w:ascii="Calibri" w:hAnsi="Calibri"/>
                <w:sz w:val="18"/>
                <w:szCs w:val="18"/>
              </w:rPr>
            </w:pPr>
            <w:r>
              <w:rPr>
                <w:rFonts w:ascii="Calibri" w:hAnsi="Calibri"/>
                <w:sz w:val="18"/>
                <w:szCs w:val="18"/>
              </w:rPr>
              <w:t>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continue"/>
          </w:tcPr>
          <w:p>
            <w:pPr>
              <w:rPr>
                <w:rFonts w:ascii="Calibri" w:hAnsi="Calibri"/>
                <w:sz w:val="18"/>
                <w:szCs w:val="18"/>
              </w:rPr>
            </w:pPr>
          </w:p>
        </w:tc>
        <w:tc>
          <w:tcPr>
            <w:tcW w:w="6234" w:type="dxa"/>
            <w:vMerge w:val="continue"/>
          </w:tcPr>
          <w:p>
            <w:pPr>
              <w:jc w:val="center"/>
              <w:rPr>
                <w:rFonts w:ascii="Calibri" w:hAnsi="Calibri"/>
                <w:sz w:val="18"/>
                <w:szCs w:val="18"/>
              </w:rPr>
            </w:pPr>
          </w:p>
        </w:tc>
        <w:tc>
          <w:tcPr>
            <w:tcW w:w="1203" w:type="dxa"/>
            <w:vMerge w:val="continue"/>
          </w:tcPr>
          <w:p>
            <w:pPr>
              <w:jc w:val="center"/>
              <w:rPr>
                <w:rFonts w:ascii="Calibri" w:hAnsi="Calibri"/>
                <w:sz w:val="18"/>
                <w:szCs w:val="18"/>
              </w:rPr>
            </w:pPr>
          </w:p>
        </w:tc>
        <w:tc>
          <w:tcPr>
            <w:tcW w:w="1560" w:type="dxa"/>
            <w:vMerge w:val="continue"/>
          </w:tcPr>
          <w:p>
            <w:pPr>
              <w:jc w:val="center"/>
              <w:rPr>
                <w:rFonts w:ascii="Calibri" w:hAnsi="Calibri"/>
                <w:sz w:val="18"/>
                <w:szCs w:val="18"/>
              </w:rPr>
            </w:pPr>
          </w:p>
        </w:tc>
        <w:tc>
          <w:tcPr>
            <w:tcW w:w="1490" w:type="dxa"/>
            <w:vMerge w:val="continue"/>
          </w:tcPr>
          <w:p>
            <w:pPr>
              <w:jc w:val="center"/>
              <w:rPr>
                <w:rFonts w:ascii="Calibri" w:hAnsi="Calibri"/>
                <w:sz w:val="18"/>
                <w:szCs w:val="18"/>
              </w:rPr>
            </w:pPr>
          </w:p>
        </w:tc>
        <w:tc>
          <w:tcPr>
            <w:tcW w:w="1559" w:type="dxa"/>
            <w:vMerge w:val="continue"/>
          </w:tcPr>
          <w:p>
            <w:pPr>
              <w:jc w:val="center"/>
              <w:rPr>
                <w:rFonts w:ascii="Calibri" w:hAnsi="Calibri"/>
                <w:sz w:val="18"/>
                <w:szCs w:val="18"/>
              </w:rPr>
            </w:pPr>
          </w:p>
        </w:tc>
        <w:tc>
          <w:tcPr>
            <w:tcW w:w="1276" w:type="dxa"/>
            <w:vMerge w:val="continue"/>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w:t>
            </w:r>
          </w:p>
        </w:tc>
        <w:tc>
          <w:tcPr>
            <w:tcW w:w="6234" w:type="dxa"/>
            <w:vAlign w:val="center"/>
          </w:tcPr>
          <w:p>
            <w:pPr>
              <w:rPr>
                <w:rFonts w:ascii="Calibri" w:hAnsi="Calibri"/>
                <w:sz w:val="18"/>
                <w:szCs w:val="18"/>
              </w:rPr>
            </w:pPr>
            <w:r>
              <w:rPr>
                <w:rFonts w:hint="eastAsia" w:ascii="Calibri" w:hAnsi="Calibri"/>
                <w:sz w:val="18"/>
                <w:szCs w:val="18"/>
              </w:rPr>
              <w:t>技术要求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5.1</w:t>
            </w:r>
          </w:p>
        </w:tc>
        <w:tc>
          <w:tcPr>
            <w:tcW w:w="6234" w:type="dxa"/>
            <w:vAlign w:val="center"/>
          </w:tcPr>
          <w:p>
            <w:pPr>
              <w:rPr>
                <w:rFonts w:ascii="Calibri" w:hAnsi="Calibri"/>
                <w:sz w:val="18"/>
                <w:szCs w:val="18"/>
              </w:rPr>
            </w:pPr>
            <w:r>
              <w:rPr>
                <w:rFonts w:hint="eastAsia" w:ascii="Calibri" w:hAnsi="Calibri"/>
                <w:sz w:val="18"/>
                <w:szCs w:val="18"/>
              </w:rPr>
              <w:t>尺寸特性</w:t>
            </w:r>
          </w:p>
          <w:p>
            <w:pPr>
              <w:rPr>
                <w:rFonts w:ascii="Calibri" w:hAnsi="Calibri"/>
                <w:sz w:val="18"/>
                <w:szCs w:val="18"/>
              </w:rPr>
            </w:pPr>
            <w:r>
              <w:rPr>
                <w:rFonts w:hint="eastAsia" w:ascii="Calibri" w:hAnsi="Calibri"/>
                <w:sz w:val="18"/>
                <w:szCs w:val="18"/>
              </w:rPr>
              <w:t>支柱绝缘子的尺寸特性应满足GB/T 8287.1、GB/T 8287.2的要求，如供需双方另有更高要求的协议，按高要求进行。尺寸特性规定如下：</w:t>
            </w:r>
          </w:p>
          <w:p>
            <w:pPr>
              <w:rPr>
                <w:rFonts w:ascii="Calibri" w:hAnsi="Calibri"/>
                <w:sz w:val="18"/>
                <w:szCs w:val="18"/>
              </w:rPr>
            </w:pPr>
            <w:r>
              <w:rPr>
                <w:rFonts w:hint="eastAsia" w:ascii="Calibri" w:hAnsi="Calibri"/>
                <w:sz w:val="18"/>
                <w:szCs w:val="18"/>
              </w:rPr>
              <w:t>总高度；</w:t>
            </w:r>
          </w:p>
          <w:p>
            <w:pPr>
              <w:rPr>
                <w:rFonts w:ascii="Calibri" w:hAnsi="Calibri"/>
                <w:sz w:val="18"/>
                <w:szCs w:val="18"/>
              </w:rPr>
            </w:pPr>
            <w:r>
              <w:rPr>
                <w:rFonts w:hint="eastAsia" w:ascii="Calibri" w:hAnsi="Calibri"/>
                <w:sz w:val="18"/>
                <w:szCs w:val="18"/>
              </w:rPr>
              <w:t>绝缘子的最大公称直径；</w:t>
            </w:r>
          </w:p>
          <w:p>
            <w:pPr>
              <w:rPr>
                <w:rFonts w:ascii="Calibri" w:hAnsi="Calibri"/>
                <w:sz w:val="18"/>
                <w:szCs w:val="18"/>
              </w:rPr>
            </w:pPr>
            <w:r>
              <w:rPr>
                <w:rFonts w:hint="eastAsia" w:ascii="Calibri" w:hAnsi="Calibri"/>
                <w:sz w:val="18"/>
                <w:szCs w:val="18"/>
              </w:rPr>
              <w:t>最小公称爬电距离；</w:t>
            </w:r>
          </w:p>
          <w:p>
            <w:pPr>
              <w:rPr>
                <w:rFonts w:ascii="Calibri" w:hAnsi="Calibri"/>
                <w:sz w:val="18"/>
                <w:szCs w:val="18"/>
              </w:rPr>
            </w:pPr>
            <w:r>
              <w:rPr>
                <w:rFonts w:hint="eastAsia" w:ascii="Calibri" w:hAnsi="Calibri"/>
                <w:sz w:val="18"/>
                <w:szCs w:val="18"/>
              </w:rPr>
              <w:t>安装结构；</w:t>
            </w:r>
          </w:p>
          <w:p>
            <w:pPr>
              <w:rPr>
                <w:rFonts w:ascii="Calibri" w:hAnsi="Calibri"/>
                <w:sz w:val="18"/>
                <w:szCs w:val="18"/>
              </w:rPr>
            </w:pPr>
            <w:r>
              <w:rPr>
                <w:rFonts w:hint="eastAsia" w:ascii="Calibri" w:hAnsi="Calibri"/>
                <w:sz w:val="18"/>
                <w:szCs w:val="18"/>
              </w:rPr>
              <w:t>公差。</w:t>
            </w:r>
          </w:p>
        </w:tc>
        <w:tc>
          <w:tcPr>
            <w:tcW w:w="1203" w:type="dxa"/>
            <w:vAlign w:val="center"/>
          </w:tcPr>
          <w:p>
            <w:pPr>
              <w:jc w:val="center"/>
              <w:rPr>
                <w:rFonts w:ascii="Calibri" w:hAnsi="Calibri"/>
                <w:sz w:val="18"/>
                <w:szCs w:val="18"/>
              </w:rPr>
            </w:pPr>
          </w:p>
        </w:tc>
        <w:tc>
          <w:tcPr>
            <w:tcW w:w="1560" w:type="dxa"/>
            <w:vAlign w:val="center"/>
          </w:tcPr>
          <w:p>
            <w:pPr>
              <w:rPr>
                <w:rFonts w:ascii="Calibri" w:hAnsi="Calibri"/>
                <w:sz w:val="18"/>
                <w:szCs w:val="18"/>
              </w:rPr>
            </w:pPr>
            <w:r>
              <w:rPr>
                <w:rFonts w:hint="eastAsia" w:ascii="Calibri" w:hAnsi="Calibri"/>
                <w:sz w:val="18"/>
                <w:szCs w:val="18"/>
              </w:rPr>
              <w:t>尺寸特性</w:t>
            </w:r>
          </w:p>
        </w:tc>
        <w:tc>
          <w:tcPr>
            <w:tcW w:w="1490" w:type="dxa"/>
            <w:vAlign w:val="center"/>
          </w:tcPr>
          <w:p>
            <w:pPr>
              <w:jc w:val="center"/>
              <w:rPr>
                <w:rFonts w:ascii="Calibri" w:hAnsi="Calibri"/>
                <w:sz w:val="18"/>
                <w:szCs w:val="18"/>
              </w:rPr>
            </w:pPr>
            <w:r>
              <w:rPr>
                <w:rFonts w:hint="eastAsia" w:ascii="Calibri" w:hAnsi="Calibri"/>
                <w:sz w:val="18"/>
                <w:szCs w:val="18"/>
              </w:rPr>
              <w:t>产品设计文件和图纸、文件编号、相关内容起止页码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5.2</w:t>
            </w:r>
          </w:p>
        </w:tc>
        <w:tc>
          <w:tcPr>
            <w:tcW w:w="6234" w:type="dxa"/>
            <w:vAlign w:val="center"/>
          </w:tcPr>
          <w:p>
            <w:pPr>
              <w:rPr>
                <w:rFonts w:ascii="Calibri" w:hAnsi="Calibri"/>
                <w:sz w:val="18"/>
                <w:szCs w:val="18"/>
              </w:rPr>
            </w:pPr>
            <w:r>
              <w:rPr>
                <w:rFonts w:hint="eastAsia" w:ascii="Calibri" w:hAnsi="Calibri"/>
                <w:sz w:val="18"/>
                <w:szCs w:val="18"/>
              </w:rPr>
              <w:t>技术参数</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5.2</w:t>
            </w:r>
          </w:p>
        </w:tc>
        <w:tc>
          <w:tcPr>
            <w:tcW w:w="6234" w:type="dxa"/>
            <w:vAlign w:val="center"/>
          </w:tcPr>
          <w:p>
            <w:pPr>
              <w:rPr>
                <w:rFonts w:ascii="Calibri" w:hAnsi="Calibri"/>
                <w:sz w:val="18"/>
                <w:szCs w:val="18"/>
              </w:rPr>
            </w:pPr>
            <w:r>
              <w:rPr>
                <w:rFonts w:hint="eastAsia" w:ascii="Calibri" w:hAnsi="Calibri"/>
                <w:sz w:val="18"/>
                <w:szCs w:val="18"/>
              </w:rPr>
              <w:t>瓷件</w:t>
            </w:r>
          </w:p>
          <w:p>
            <w:pPr>
              <w:rPr>
                <w:rFonts w:ascii="Calibri" w:hAnsi="Calibri"/>
                <w:sz w:val="18"/>
                <w:szCs w:val="18"/>
              </w:rPr>
            </w:pPr>
            <w:r>
              <w:rPr>
                <w:rFonts w:hint="eastAsia" w:ascii="Calibri" w:hAnsi="Calibri"/>
                <w:sz w:val="18"/>
                <w:szCs w:val="18"/>
              </w:rPr>
              <w:t>1）支柱绝缘子的瓷件均应是实心的铝质瓷，当绝缘子弯曲强度≥30kNm时，应采用C130高强度铝质瓷。瓷材料的性能应符合GB/T 8411.1和GB/T 8411.3的规定，胶装部位采用上砂结构。</w:t>
            </w:r>
          </w:p>
          <w:p>
            <w:pPr>
              <w:rPr>
                <w:rFonts w:ascii="Calibri" w:hAnsi="Calibri"/>
                <w:sz w:val="18"/>
                <w:szCs w:val="18"/>
              </w:rPr>
            </w:pPr>
            <w:r>
              <w:rPr>
                <w:rFonts w:hint="eastAsia" w:ascii="Calibri" w:hAnsi="Calibri"/>
                <w:sz w:val="18"/>
                <w:szCs w:val="18"/>
              </w:rPr>
              <w:t>2）支柱绝缘子的伞裙应为不等径的大小伞，伞型设计应符合GB/T 26218的要求，两裙伸出之差（P1-P2）≥15mm，相邻裙间高（S）与裙伸出长度（P1）之比应大于0.9。应有良好的抗污秽能力和运行特性，其有效爬电距离应考虑伞裙直径的影响。</w:t>
            </w:r>
          </w:p>
          <w:p>
            <w:pPr>
              <w:rPr>
                <w:rFonts w:ascii="Calibri" w:hAnsi="Calibri"/>
                <w:sz w:val="18"/>
                <w:szCs w:val="18"/>
              </w:rPr>
            </w:pPr>
            <w:r>
              <w:rPr>
                <w:rFonts w:hint="eastAsia" w:ascii="Calibri" w:hAnsi="Calibri"/>
                <w:sz w:val="18"/>
                <w:szCs w:val="18"/>
              </w:rPr>
              <w:t>3）绝缘子的未胶装法兰的瓷件满足打击试验要求。</w:t>
            </w:r>
          </w:p>
          <w:p>
            <w:pPr>
              <w:rPr>
                <w:rFonts w:ascii="Calibri" w:hAnsi="Calibri"/>
                <w:sz w:val="18"/>
                <w:szCs w:val="18"/>
              </w:rPr>
            </w:pPr>
            <w:r>
              <w:rPr>
                <w:rFonts w:hint="eastAsia" w:ascii="Calibri" w:hAnsi="Calibri"/>
                <w:sz w:val="18"/>
                <w:szCs w:val="18"/>
              </w:rPr>
              <w:t>4）绝缘子的瓷件按JB/T 9674的规定逐个进行超声波探伤检测。</w:t>
            </w:r>
          </w:p>
          <w:p>
            <w:pPr>
              <w:rPr>
                <w:rFonts w:ascii="Calibri" w:hAnsi="Calibri"/>
                <w:sz w:val="18"/>
                <w:szCs w:val="18"/>
              </w:rPr>
            </w:pPr>
            <w:r>
              <w:rPr>
                <w:rFonts w:hint="eastAsia" w:ascii="Calibri" w:hAnsi="Calibri"/>
                <w:sz w:val="18"/>
                <w:szCs w:val="18"/>
              </w:rPr>
              <w:t>5) 釉面的外观质量符合</w:t>
            </w:r>
            <w:r>
              <w:rPr>
                <w:rFonts w:ascii="Calibri" w:hAnsi="Calibri"/>
                <w:sz w:val="18"/>
                <w:szCs w:val="18"/>
              </w:rPr>
              <w:t>DLT 2452-2021</w:t>
            </w:r>
            <w:r>
              <w:rPr>
                <w:rFonts w:hint="eastAsia" w:ascii="Calibri" w:hAnsi="Calibri"/>
                <w:sz w:val="18"/>
                <w:szCs w:val="18"/>
              </w:rPr>
              <w:t>中4.3</w:t>
            </w:r>
            <w:r>
              <w:rPr>
                <w:rFonts w:ascii="Calibri" w:hAnsi="Calibri"/>
                <w:sz w:val="18"/>
                <w:szCs w:val="18"/>
              </w:rPr>
              <w:t>.1</w:t>
            </w:r>
            <w:r>
              <w:rPr>
                <w:rFonts w:hint="eastAsia" w:ascii="Calibri" w:hAnsi="Calibri"/>
                <w:sz w:val="18"/>
                <w:szCs w:val="18"/>
              </w:rPr>
              <w:t>的要求。在正常的使用条件下不产生裂纹和碎裂，也不因温度的突变、环境中的臭氧、酸、碱和灰尘等受影响。</w:t>
            </w:r>
          </w:p>
          <w:p>
            <w:pPr>
              <w:rPr>
                <w:rFonts w:ascii="Calibri" w:hAnsi="Calibri"/>
                <w:sz w:val="18"/>
                <w:szCs w:val="18"/>
              </w:rPr>
            </w:pPr>
            <w:r>
              <w:rPr>
                <w:rFonts w:hint="eastAsia" w:ascii="Calibri" w:hAnsi="Calibri"/>
                <w:sz w:val="18"/>
                <w:szCs w:val="18"/>
              </w:rPr>
              <w:t>5.2.</w:t>
            </w:r>
            <w:r>
              <w:rPr>
                <w:rFonts w:ascii="Calibri" w:hAnsi="Calibri"/>
                <w:sz w:val="18"/>
                <w:szCs w:val="18"/>
              </w:rPr>
              <w:t>2</w:t>
            </w:r>
            <w:r>
              <w:rPr>
                <w:rFonts w:hint="eastAsia" w:ascii="Calibri" w:hAnsi="Calibri"/>
                <w:sz w:val="18"/>
                <w:szCs w:val="18"/>
              </w:rPr>
              <w:t xml:space="preserve"> 水泥胶合剂</w:t>
            </w:r>
          </w:p>
          <w:p>
            <w:pPr>
              <w:rPr>
                <w:rFonts w:ascii="Calibri" w:hAnsi="Calibri"/>
                <w:sz w:val="18"/>
                <w:szCs w:val="18"/>
              </w:rPr>
            </w:pPr>
            <w:r>
              <w:rPr>
                <w:rFonts w:hint="eastAsia" w:ascii="Calibri" w:hAnsi="Calibri"/>
                <w:sz w:val="18"/>
                <w:szCs w:val="18"/>
              </w:rPr>
              <w:t>绝缘子使用JB/T 4307规定的42.5R强度等级及以上的硅酸盐水泥，或特制的高强度低膨胀水泥配置成的胶合剂进行胶状。</w:t>
            </w:r>
          </w:p>
          <w:p>
            <w:pPr>
              <w:rPr>
                <w:rFonts w:ascii="Calibri" w:hAnsi="Calibri"/>
                <w:sz w:val="18"/>
                <w:szCs w:val="18"/>
              </w:rPr>
            </w:pPr>
            <w:r>
              <w:rPr>
                <w:rFonts w:hint="eastAsia" w:ascii="Calibri" w:hAnsi="Calibri"/>
                <w:sz w:val="18"/>
                <w:szCs w:val="18"/>
              </w:rPr>
              <w:t>水泥胶合剂满足JB/T 4307的要求，其压膨胀率小于0.1%。水泥不引起金属部件的化学反应。</w:t>
            </w:r>
          </w:p>
          <w:p>
            <w:pPr>
              <w:rPr>
                <w:rFonts w:ascii="Calibri" w:hAnsi="Calibri"/>
                <w:sz w:val="18"/>
                <w:szCs w:val="18"/>
              </w:rPr>
            </w:pPr>
            <w:r>
              <w:rPr>
                <w:rFonts w:hint="eastAsia" w:ascii="Calibri" w:hAnsi="Calibri"/>
                <w:sz w:val="18"/>
                <w:szCs w:val="18"/>
              </w:rPr>
              <w:t>绝缘件和附件与水泥胶合剂表面接触部分均匀涂覆的沥青缓冲层，其沥青应符合GB/T 494的规定。</w:t>
            </w:r>
          </w:p>
          <w:p>
            <w:pPr>
              <w:rPr>
                <w:rFonts w:ascii="Calibri" w:hAnsi="Calibri"/>
                <w:sz w:val="18"/>
                <w:szCs w:val="18"/>
              </w:rPr>
            </w:pPr>
            <w:r>
              <w:rPr>
                <w:rFonts w:hint="eastAsia" w:ascii="Calibri" w:hAnsi="Calibri"/>
                <w:sz w:val="18"/>
                <w:szCs w:val="18"/>
              </w:rPr>
              <w:t>绝缘子金属附件采用上砂水泥胶装，胶装处胶合剂外露表面应平整，无水泥残渣、露缝、裂纹等缺陷，胶装后露砂高度10～20mm，且不得小于10mm，胶装处应均匀涂以防水密封胶。</w:t>
            </w:r>
          </w:p>
          <w:p>
            <w:pPr>
              <w:rPr>
                <w:rFonts w:ascii="Calibri" w:hAnsi="Calibri"/>
                <w:sz w:val="18"/>
                <w:szCs w:val="18"/>
              </w:rPr>
            </w:pPr>
            <w:r>
              <w:rPr>
                <w:rFonts w:hint="eastAsia" w:ascii="Calibri" w:hAnsi="Calibri"/>
                <w:sz w:val="18"/>
                <w:szCs w:val="18"/>
              </w:rPr>
              <w:t>5.2.</w:t>
            </w:r>
            <w:r>
              <w:rPr>
                <w:rFonts w:ascii="Calibri" w:hAnsi="Calibri"/>
                <w:sz w:val="18"/>
                <w:szCs w:val="18"/>
              </w:rPr>
              <w:t>3</w:t>
            </w:r>
            <w:r>
              <w:rPr>
                <w:rFonts w:hint="eastAsia" w:ascii="Calibri" w:hAnsi="Calibri"/>
                <w:sz w:val="18"/>
                <w:szCs w:val="18"/>
              </w:rPr>
              <w:t xml:space="preserve"> 金属附件</w:t>
            </w:r>
          </w:p>
          <w:p>
            <w:pPr>
              <w:rPr>
                <w:rFonts w:ascii="Calibri" w:hAnsi="Calibri"/>
                <w:sz w:val="18"/>
                <w:szCs w:val="18"/>
              </w:rPr>
            </w:pPr>
            <w:r>
              <w:rPr>
                <w:rFonts w:hint="eastAsia" w:ascii="Calibri" w:hAnsi="Calibri"/>
                <w:sz w:val="18"/>
                <w:szCs w:val="18"/>
              </w:rPr>
              <w:t>金属附件应满足JB/T 5891的规定。</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瓷件技术参数</w:t>
            </w:r>
          </w:p>
        </w:tc>
        <w:tc>
          <w:tcPr>
            <w:tcW w:w="1490" w:type="dxa"/>
            <w:vAlign w:val="center"/>
          </w:tcPr>
          <w:p>
            <w:pPr>
              <w:jc w:val="center"/>
              <w:rPr>
                <w:rFonts w:ascii="Calibri" w:hAnsi="Calibri"/>
                <w:sz w:val="18"/>
                <w:szCs w:val="18"/>
              </w:rPr>
            </w:pPr>
            <w:r>
              <w:rPr>
                <w:rFonts w:hint="eastAsia" w:ascii="Calibri" w:hAnsi="Calibri"/>
                <w:sz w:val="18"/>
                <w:szCs w:val="18"/>
              </w:rPr>
              <w:t>产品设计文件、文件编号、相关内容起止页码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rPr>
            </w:pPr>
            <w:r>
              <w:rPr>
                <w:rFonts w:hint="eastAsia" w:ascii="Calibri" w:hAnsi="Calibri"/>
              </w:rPr>
              <w:t>6</w:t>
            </w:r>
          </w:p>
        </w:tc>
        <w:tc>
          <w:tcPr>
            <w:tcW w:w="6234" w:type="dxa"/>
            <w:vAlign w:val="center"/>
          </w:tcPr>
          <w:p>
            <w:pPr>
              <w:rPr>
                <w:rFonts w:ascii="Calibri" w:hAnsi="Calibri"/>
                <w:sz w:val="18"/>
                <w:szCs w:val="18"/>
              </w:rPr>
            </w:pPr>
            <w:r>
              <w:rPr>
                <w:rFonts w:hint="eastAsia" w:ascii="Calibri" w:hAnsi="Calibri"/>
                <w:sz w:val="18"/>
                <w:szCs w:val="18"/>
              </w:rPr>
              <w:t>试验</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6.2</w:t>
            </w:r>
          </w:p>
        </w:tc>
        <w:tc>
          <w:tcPr>
            <w:tcW w:w="6234" w:type="dxa"/>
            <w:vAlign w:val="center"/>
          </w:tcPr>
          <w:p>
            <w:pPr>
              <w:rPr>
                <w:rFonts w:ascii="Calibri" w:hAnsi="Calibri"/>
                <w:sz w:val="18"/>
                <w:szCs w:val="18"/>
              </w:rPr>
            </w:pPr>
            <w:r>
              <w:rPr>
                <w:rFonts w:hint="eastAsia" w:ascii="Calibri" w:hAnsi="Calibri"/>
                <w:sz w:val="18"/>
                <w:szCs w:val="18"/>
              </w:rPr>
              <w:t>型式试验项目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838"/>
              <w:gridCol w:w="2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序号</w:t>
                  </w:r>
                </w:p>
              </w:tc>
              <w:tc>
                <w:tcPr>
                  <w:tcW w:w="2838" w:type="dxa"/>
                  <w:vAlign w:val="center"/>
                </w:tcPr>
                <w:p>
                  <w:pPr>
                    <w:rPr>
                      <w:sz w:val="18"/>
                      <w:szCs w:val="18"/>
                    </w:rPr>
                  </w:pPr>
                  <w:r>
                    <w:rPr>
                      <w:rFonts w:hint="eastAsia"/>
                      <w:sz w:val="18"/>
                      <w:szCs w:val="18"/>
                    </w:rPr>
                    <w:t>试验项目</w:t>
                  </w:r>
                </w:p>
              </w:tc>
              <w:tc>
                <w:tcPr>
                  <w:tcW w:w="2318" w:type="dxa"/>
                  <w:vAlign w:val="center"/>
                </w:tcPr>
                <w:p>
                  <w:pPr>
                    <w:rPr>
                      <w:sz w:val="18"/>
                      <w:szCs w:val="18"/>
                    </w:rPr>
                  </w:pPr>
                  <w:r>
                    <w:rPr>
                      <w:rFonts w:hint="eastAsia"/>
                      <w:sz w:val="18"/>
                      <w:szCs w:val="18"/>
                    </w:rPr>
                    <w:t>依据条款号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1</w:t>
                  </w:r>
                </w:p>
              </w:tc>
              <w:tc>
                <w:tcPr>
                  <w:tcW w:w="2838" w:type="dxa"/>
                  <w:vAlign w:val="center"/>
                </w:tcPr>
                <w:p>
                  <w:pPr>
                    <w:rPr>
                      <w:sz w:val="18"/>
                      <w:szCs w:val="18"/>
                    </w:rPr>
                  </w:pPr>
                  <w:r>
                    <w:rPr>
                      <w:rFonts w:hint="eastAsia"/>
                      <w:sz w:val="18"/>
                      <w:szCs w:val="18"/>
                    </w:rPr>
                    <w:t>雷电冲击干耐受试验</w:t>
                  </w:r>
                </w:p>
              </w:tc>
              <w:tc>
                <w:tcPr>
                  <w:tcW w:w="2318" w:type="dxa"/>
                  <w:vAlign w:val="center"/>
                </w:tcPr>
                <w:p>
                  <w:pPr>
                    <w:rPr>
                      <w:sz w:val="18"/>
                      <w:szCs w:val="18"/>
                    </w:rPr>
                  </w:pPr>
                  <w:r>
                    <w:rPr>
                      <w:rFonts w:hint="eastAsia"/>
                      <w:sz w:val="18"/>
                      <w:szCs w:val="18"/>
                    </w:rPr>
                    <w:t>GB/T 8287.2-2008的4.5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2</w:t>
                  </w:r>
                </w:p>
              </w:tc>
              <w:tc>
                <w:tcPr>
                  <w:tcW w:w="2838" w:type="dxa"/>
                  <w:vAlign w:val="center"/>
                </w:tcPr>
                <w:p>
                  <w:pPr>
                    <w:rPr>
                      <w:sz w:val="18"/>
                      <w:szCs w:val="18"/>
                    </w:rPr>
                  </w:pPr>
                  <w:r>
                    <w:rPr>
                      <w:rFonts w:hint="eastAsia"/>
                      <w:sz w:val="18"/>
                      <w:szCs w:val="18"/>
                    </w:rPr>
                    <w:t>操作冲击干耐受试验（仅针对500kV户内支柱绝缘子）</w:t>
                  </w:r>
                </w:p>
              </w:tc>
              <w:tc>
                <w:tcPr>
                  <w:tcW w:w="2318" w:type="dxa"/>
                  <w:vAlign w:val="center"/>
                </w:tcPr>
                <w:p>
                  <w:pPr>
                    <w:rPr>
                      <w:sz w:val="18"/>
                      <w:szCs w:val="18"/>
                    </w:rPr>
                  </w:pPr>
                  <w:r>
                    <w:rPr>
                      <w:rFonts w:hint="eastAsia"/>
                      <w:sz w:val="18"/>
                      <w:szCs w:val="18"/>
                    </w:rPr>
                    <w:t>GB/T 8287.2-2008的4.6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3</w:t>
                  </w:r>
                </w:p>
              </w:tc>
              <w:tc>
                <w:tcPr>
                  <w:tcW w:w="2838" w:type="dxa"/>
                  <w:vAlign w:val="center"/>
                </w:tcPr>
                <w:p>
                  <w:pPr>
                    <w:rPr>
                      <w:sz w:val="18"/>
                      <w:szCs w:val="18"/>
                    </w:rPr>
                  </w:pPr>
                  <w:r>
                    <w:rPr>
                      <w:rFonts w:hint="eastAsia"/>
                      <w:sz w:val="18"/>
                      <w:szCs w:val="18"/>
                    </w:rPr>
                    <w:t>操作冲击湿耐受试验（仅针对500kV户外支柱绝缘子）</w:t>
                  </w:r>
                </w:p>
              </w:tc>
              <w:tc>
                <w:tcPr>
                  <w:tcW w:w="2318" w:type="dxa"/>
                  <w:vAlign w:val="center"/>
                </w:tcPr>
                <w:p>
                  <w:pPr>
                    <w:rPr>
                      <w:sz w:val="18"/>
                      <w:szCs w:val="18"/>
                    </w:rPr>
                  </w:pPr>
                  <w:r>
                    <w:rPr>
                      <w:rFonts w:hint="eastAsia"/>
                      <w:sz w:val="18"/>
                      <w:szCs w:val="18"/>
                    </w:rPr>
                    <w:t>GB/T 8287.2-2008的4.6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4</w:t>
                  </w:r>
                </w:p>
              </w:tc>
              <w:tc>
                <w:tcPr>
                  <w:tcW w:w="2838" w:type="dxa"/>
                  <w:vAlign w:val="center"/>
                </w:tcPr>
                <w:p>
                  <w:pPr>
                    <w:rPr>
                      <w:sz w:val="18"/>
                      <w:szCs w:val="18"/>
                    </w:rPr>
                  </w:pPr>
                  <w:r>
                    <w:rPr>
                      <w:rFonts w:hint="eastAsia"/>
                      <w:sz w:val="18"/>
                      <w:szCs w:val="18"/>
                    </w:rPr>
                    <w:t>工频干耐受电压试验（仅针对110kV、220kV户内支柱绝缘子）</w:t>
                  </w:r>
                </w:p>
              </w:tc>
              <w:tc>
                <w:tcPr>
                  <w:tcW w:w="2318" w:type="dxa"/>
                  <w:vAlign w:val="center"/>
                </w:tcPr>
                <w:p>
                  <w:pPr>
                    <w:rPr>
                      <w:sz w:val="18"/>
                      <w:szCs w:val="18"/>
                    </w:rPr>
                  </w:pPr>
                  <w:r>
                    <w:rPr>
                      <w:rFonts w:hint="eastAsia"/>
                      <w:sz w:val="18"/>
                      <w:szCs w:val="18"/>
                    </w:rPr>
                    <w:t>GB/T 8287.2-2008的4.7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5</w:t>
                  </w:r>
                </w:p>
              </w:tc>
              <w:tc>
                <w:tcPr>
                  <w:tcW w:w="2838" w:type="dxa"/>
                  <w:vAlign w:val="center"/>
                </w:tcPr>
                <w:p>
                  <w:pPr>
                    <w:rPr>
                      <w:sz w:val="18"/>
                      <w:szCs w:val="18"/>
                    </w:rPr>
                  </w:pPr>
                  <w:r>
                    <w:rPr>
                      <w:rFonts w:hint="eastAsia"/>
                      <w:sz w:val="18"/>
                      <w:szCs w:val="18"/>
                    </w:rPr>
                    <w:t>工频湿耐受电压试验（110kV、220kV户外支柱绝缘子）</w:t>
                  </w:r>
                </w:p>
              </w:tc>
              <w:tc>
                <w:tcPr>
                  <w:tcW w:w="2318" w:type="dxa"/>
                  <w:vAlign w:val="center"/>
                </w:tcPr>
                <w:p>
                  <w:pPr>
                    <w:rPr>
                      <w:sz w:val="18"/>
                      <w:szCs w:val="18"/>
                    </w:rPr>
                  </w:pPr>
                  <w:r>
                    <w:rPr>
                      <w:rFonts w:hint="eastAsia"/>
                      <w:sz w:val="18"/>
                      <w:szCs w:val="18"/>
                    </w:rPr>
                    <w:t>GB/T 8287.2-2008的4.8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6</w:t>
                  </w:r>
                </w:p>
              </w:tc>
              <w:tc>
                <w:tcPr>
                  <w:tcW w:w="2838" w:type="dxa"/>
                  <w:vAlign w:val="center"/>
                </w:tcPr>
                <w:p>
                  <w:pPr>
                    <w:rPr>
                      <w:sz w:val="18"/>
                      <w:szCs w:val="18"/>
                    </w:rPr>
                  </w:pPr>
                  <w:r>
                    <w:rPr>
                      <w:rFonts w:hint="eastAsia"/>
                      <w:sz w:val="18"/>
                      <w:szCs w:val="18"/>
                    </w:rPr>
                    <w:t>人工污秽耐受电压试验（户外支柱绝缘子）</w:t>
                  </w:r>
                </w:p>
              </w:tc>
              <w:tc>
                <w:tcPr>
                  <w:tcW w:w="2318" w:type="dxa"/>
                  <w:vAlign w:val="center"/>
                </w:tcPr>
                <w:p>
                  <w:pPr>
                    <w:rPr>
                      <w:sz w:val="18"/>
                      <w:szCs w:val="18"/>
                    </w:rPr>
                  </w:pPr>
                  <w:r>
                    <w:rPr>
                      <w:rFonts w:hint="eastAsia"/>
                      <w:sz w:val="18"/>
                      <w:szCs w:val="18"/>
                    </w:rPr>
                    <w:t>GB/T 8287.2-2008的4.9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7</w:t>
                  </w:r>
                </w:p>
              </w:tc>
              <w:tc>
                <w:tcPr>
                  <w:tcW w:w="2838" w:type="dxa"/>
                  <w:vAlign w:val="center"/>
                </w:tcPr>
                <w:p>
                  <w:pPr>
                    <w:rPr>
                      <w:sz w:val="18"/>
                      <w:szCs w:val="18"/>
                    </w:rPr>
                  </w:pPr>
                  <w:r>
                    <w:rPr>
                      <w:rFonts w:hint="eastAsia"/>
                      <w:sz w:val="18"/>
                      <w:szCs w:val="18"/>
                    </w:rPr>
                    <w:t>机械破坏负荷试验</w:t>
                  </w:r>
                </w:p>
              </w:tc>
              <w:tc>
                <w:tcPr>
                  <w:tcW w:w="2318" w:type="dxa"/>
                  <w:vAlign w:val="center"/>
                </w:tcPr>
                <w:p>
                  <w:pPr>
                    <w:rPr>
                      <w:sz w:val="18"/>
                      <w:szCs w:val="18"/>
                    </w:rPr>
                  </w:pPr>
                  <w:r>
                    <w:rPr>
                      <w:rFonts w:hint="eastAsia"/>
                      <w:sz w:val="18"/>
                      <w:szCs w:val="18"/>
                    </w:rPr>
                    <w:t>GB/T 8287.2-2008的5.2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8</w:t>
                  </w:r>
                </w:p>
              </w:tc>
              <w:tc>
                <w:tcPr>
                  <w:tcW w:w="2838" w:type="dxa"/>
                  <w:vAlign w:val="center"/>
                </w:tcPr>
                <w:p>
                  <w:pPr>
                    <w:rPr>
                      <w:sz w:val="18"/>
                      <w:szCs w:val="18"/>
                    </w:rPr>
                  </w:pPr>
                  <w:r>
                    <w:rPr>
                      <w:rFonts w:hint="eastAsia"/>
                      <w:sz w:val="18"/>
                      <w:szCs w:val="18"/>
                    </w:rPr>
                    <w:t>负荷下偏移试验（选做）</w:t>
                  </w:r>
                </w:p>
              </w:tc>
              <w:tc>
                <w:tcPr>
                  <w:tcW w:w="2318" w:type="dxa"/>
                  <w:vAlign w:val="center"/>
                </w:tcPr>
                <w:p>
                  <w:pPr>
                    <w:rPr>
                      <w:sz w:val="18"/>
                      <w:szCs w:val="18"/>
                    </w:rPr>
                  </w:pPr>
                  <w:r>
                    <w:rPr>
                      <w:rFonts w:hint="eastAsia"/>
                      <w:sz w:val="18"/>
                      <w:szCs w:val="18"/>
                    </w:rPr>
                    <w:t>GB/T 8287.2-2008的5.3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rPr>
                      <w:sz w:val="18"/>
                      <w:szCs w:val="18"/>
                    </w:rPr>
                  </w:pPr>
                  <w:r>
                    <w:rPr>
                      <w:rFonts w:hint="eastAsia"/>
                      <w:sz w:val="18"/>
                      <w:szCs w:val="18"/>
                    </w:rPr>
                    <w:t>9</w:t>
                  </w:r>
                </w:p>
              </w:tc>
              <w:tc>
                <w:tcPr>
                  <w:tcW w:w="2838" w:type="dxa"/>
                  <w:vAlign w:val="center"/>
                </w:tcPr>
                <w:p>
                  <w:pPr>
                    <w:rPr>
                      <w:sz w:val="18"/>
                      <w:szCs w:val="18"/>
                    </w:rPr>
                  </w:pPr>
                  <w:r>
                    <w:rPr>
                      <w:rFonts w:hint="eastAsia"/>
                      <w:sz w:val="18"/>
                      <w:szCs w:val="18"/>
                    </w:rPr>
                    <w:t>无线电干扰试验（选做）</w:t>
                  </w:r>
                </w:p>
              </w:tc>
              <w:tc>
                <w:tcPr>
                  <w:tcW w:w="2318" w:type="dxa"/>
                  <w:vAlign w:val="center"/>
                </w:tcPr>
                <w:p>
                  <w:pPr>
                    <w:rPr>
                      <w:sz w:val="18"/>
                      <w:szCs w:val="18"/>
                    </w:rPr>
                  </w:pPr>
                  <w:r>
                    <w:rPr>
                      <w:rFonts w:hint="eastAsia"/>
                      <w:sz w:val="18"/>
                      <w:szCs w:val="18"/>
                    </w:rPr>
                    <w:t>GB T 24623-2009</w:t>
                  </w:r>
                </w:p>
              </w:tc>
            </w:tr>
          </w:tbl>
          <w:p>
            <w:pPr>
              <w:rPr>
                <w:rFonts w:ascii="Calibri" w:hAnsi="Calibri"/>
                <w:sz w:val="18"/>
                <w:szCs w:val="18"/>
              </w:rPr>
            </w:pP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型式试验</w:t>
            </w:r>
          </w:p>
        </w:tc>
        <w:tc>
          <w:tcPr>
            <w:tcW w:w="1490" w:type="dxa"/>
            <w:vAlign w:val="center"/>
          </w:tcPr>
          <w:p>
            <w:pPr>
              <w:jc w:val="center"/>
              <w:rPr>
                <w:rFonts w:ascii="Calibri" w:hAnsi="Calibri"/>
                <w:sz w:val="18"/>
                <w:szCs w:val="18"/>
              </w:rPr>
            </w:pPr>
            <w:r>
              <w:rPr>
                <w:rFonts w:hint="eastAsia" w:ascii="Calibri" w:hAnsi="Calibri"/>
                <w:sz w:val="18"/>
                <w:szCs w:val="18"/>
              </w:rPr>
              <w:t>型式试验报告、文件编号、相关内容起止页码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6.3</w:t>
            </w:r>
          </w:p>
        </w:tc>
        <w:tc>
          <w:tcPr>
            <w:tcW w:w="6234" w:type="dxa"/>
            <w:vAlign w:val="center"/>
          </w:tcPr>
          <w:p>
            <w:pPr>
              <w:rPr>
                <w:rFonts w:ascii="Calibri" w:hAnsi="Calibri"/>
                <w:sz w:val="18"/>
                <w:szCs w:val="18"/>
              </w:rPr>
            </w:pPr>
            <w:r>
              <w:rPr>
                <w:rFonts w:hint="eastAsia" w:ascii="Calibri" w:hAnsi="Calibri"/>
                <w:sz w:val="18"/>
                <w:szCs w:val="18"/>
              </w:rPr>
              <w:t>抽样试验</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6.3</w:t>
            </w:r>
          </w:p>
        </w:tc>
        <w:tc>
          <w:tcPr>
            <w:tcW w:w="6234" w:type="dxa"/>
            <w:vAlign w:val="center"/>
          </w:tcPr>
          <w:p>
            <w:pPr>
              <w:rPr>
                <w:rFonts w:ascii="Calibri" w:hAnsi="Calibri"/>
                <w:sz w:val="18"/>
                <w:szCs w:val="18"/>
              </w:rPr>
            </w:pPr>
            <w:r>
              <w:rPr>
                <w:rFonts w:hint="eastAsia" w:ascii="Calibri" w:hAnsi="Calibri"/>
                <w:sz w:val="18"/>
                <w:szCs w:val="18"/>
              </w:rPr>
              <w:t>6.3.1  抽样试验的抽样规程和程序</w:t>
            </w:r>
          </w:p>
          <w:p>
            <w:pPr>
              <w:rPr>
                <w:rFonts w:ascii="Calibri" w:hAnsi="Calibri"/>
                <w:sz w:val="18"/>
                <w:szCs w:val="18"/>
              </w:rPr>
            </w:pPr>
            <w:r>
              <w:rPr>
                <w:rFonts w:hint="eastAsia" w:ascii="Calibri" w:hAnsi="Calibri"/>
                <w:sz w:val="18"/>
                <w:szCs w:val="18"/>
              </w:rPr>
              <w:t>试验抽取的支柱绝缘子的数量应符合下表的规定，买方有权从符合逐个试验要求的批中选取试品。经过抽样试验，并且这些试验可能会影响其机械和（或）电气特性的绝缘子不应再使用。</w:t>
            </w:r>
          </w:p>
          <w:p>
            <w:pPr>
              <w:jc w:val="center"/>
              <w:rPr>
                <w:rFonts w:ascii="Calibri" w:hAnsi="Calibri"/>
                <w:sz w:val="18"/>
                <w:szCs w:val="18"/>
              </w:rPr>
            </w:pPr>
            <w:r>
              <w:rPr>
                <w:rFonts w:hint="eastAsia" w:ascii="Calibri" w:hAnsi="Calibri"/>
                <w:sz w:val="18"/>
                <w:szCs w:val="18"/>
              </w:rPr>
              <w:t>表5 抽样试验样本数量</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5"/>
              <w:gridCol w:w="4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pPr>
                    <w:jc w:val="center"/>
                    <w:rPr>
                      <w:sz w:val="18"/>
                      <w:szCs w:val="18"/>
                    </w:rPr>
                  </w:pPr>
                  <w:r>
                    <w:rPr>
                      <w:rFonts w:hint="eastAsia"/>
                      <w:sz w:val="18"/>
                      <w:szCs w:val="18"/>
                    </w:rPr>
                    <w:t>批量（n）</w:t>
                  </w:r>
                </w:p>
              </w:tc>
              <w:tc>
                <w:tcPr>
                  <w:tcW w:w="4064" w:type="dxa"/>
                  <w:vAlign w:val="center"/>
                </w:tcPr>
                <w:p>
                  <w:pPr>
                    <w:jc w:val="center"/>
                    <w:rPr>
                      <w:sz w:val="18"/>
                      <w:szCs w:val="18"/>
                    </w:rPr>
                  </w:pPr>
                  <w:r>
                    <w:rPr>
                      <w:rFonts w:hint="eastAsia"/>
                      <w:sz w:val="18"/>
                      <w:szCs w:val="18"/>
                    </w:rPr>
                    <w:t>样本数量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pPr>
                    <w:jc w:val="center"/>
                    <w:rPr>
                      <w:sz w:val="18"/>
                      <w:szCs w:val="18"/>
                    </w:rPr>
                  </w:pPr>
                  <w:r>
                    <w:rPr>
                      <w:rFonts w:hint="eastAsia"/>
                      <w:sz w:val="18"/>
                      <w:szCs w:val="18"/>
                    </w:rPr>
                    <w:t>n≤100</w:t>
                  </w:r>
                </w:p>
              </w:tc>
              <w:tc>
                <w:tcPr>
                  <w:tcW w:w="4064" w:type="dxa"/>
                  <w:vAlign w:val="center"/>
                </w:tcPr>
                <w:p>
                  <w:pPr>
                    <w:jc w:val="center"/>
                    <w:rPr>
                      <w:sz w:val="18"/>
                      <w:szCs w:val="18"/>
                    </w:rPr>
                  </w:pPr>
                  <w:r>
                    <w:rPr>
                      <w:rFonts w:hint="eastAsia"/>
                      <w:sz w:val="18"/>
                      <w:szCs w:val="18"/>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pPr>
                    <w:jc w:val="center"/>
                    <w:rPr>
                      <w:sz w:val="18"/>
                      <w:szCs w:val="18"/>
                    </w:rPr>
                  </w:pPr>
                  <w:r>
                    <w:rPr>
                      <w:rFonts w:hint="eastAsia"/>
                      <w:sz w:val="18"/>
                      <w:szCs w:val="18"/>
                    </w:rPr>
                    <w:t>100＜n≤500</w:t>
                  </w:r>
                </w:p>
              </w:tc>
              <w:tc>
                <w:tcPr>
                  <w:tcW w:w="4064" w:type="dxa"/>
                  <w:vAlign w:val="center"/>
                </w:tcPr>
                <w:p>
                  <w:pPr>
                    <w:jc w:val="center"/>
                    <w:rPr>
                      <w:sz w:val="18"/>
                      <w:szCs w:val="18"/>
                    </w:rPr>
                  </w:pPr>
                  <w:r>
                    <w:rPr>
                      <w:rFonts w:hint="eastAsia"/>
                      <w:sz w:val="18"/>
                      <w:szCs w:val="18"/>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pPr>
                    <w:jc w:val="center"/>
                    <w:rPr>
                      <w:sz w:val="18"/>
                      <w:szCs w:val="18"/>
                    </w:rPr>
                  </w:pPr>
                  <w:r>
                    <w:rPr>
                      <w:rFonts w:hint="eastAsia"/>
                      <w:sz w:val="18"/>
                      <w:szCs w:val="18"/>
                    </w:rPr>
                    <w:t>500＜n</w:t>
                  </w:r>
                </w:p>
              </w:tc>
              <w:tc>
                <w:tcPr>
                  <w:tcW w:w="4064" w:type="dxa"/>
                  <w:vAlign w:val="center"/>
                </w:tcPr>
                <w:p>
                  <w:pPr>
                    <w:jc w:val="center"/>
                    <w:rPr>
                      <w:sz w:val="18"/>
                      <w:szCs w:val="18"/>
                    </w:rPr>
                  </w:pPr>
                  <w:r>
                    <w:rPr>
                      <w:rFonts w:hint="eastAsia"/>
                      <w:sz w:val="18"/>
                      <w:szCs w:val="18"/>
                    </w:rPr>
                    <w:t>4+1.5n/1000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89" w:type="dxa"/>
                  <w:gridSpan w:val="2"/>
                  <w:vAlign w:val="center"/>
                </w:tcPr>
                <w:p>
                  <w:pPr>
                    <w:jc w:val="center"/>
                    <w:rPr>
                      <w:sz w:val="18"/>
                      <w:szCs w:val="18"/>
                    </w:rPr>
                  </w:pPr>
                  <w:r>
                    <w:rPr>
                      <w:rFonts w:hint="eastAsia"/>
                      <w:sz w:val="18"/>
                      <w:szCs w:val="18"/>
                    </w:rPr>
                    <w:t>如果计算得出的数不是整数，则应选取比其大的下一个整数。</w:t>
                  </w:r>
                </w:p>
              </w:tc>
            </w:tr>
          </w:tbl>
          <w:p>
            <w:pPr>
              <w:rPr>
                <w:rFonts w:ascii="Calibri" w:hAnsi="Calibri"/>
                <w:sz w:val="18"/>
                <w:szCs w:val="18"/>
              </w:rPr>
            </w:pPr>
            <w:r>
              <w:rPr>
                <w:rFonts w:hint="eastAsia" w:ascii="Calibri" w:hAnsi="Calibri"/>
                <w:sz w:val="18"/>
                <w:szCs w:val="18"/>
              </w:rPr>
              <w:t>6.3.2 抽样试验重复试验程序</w:t>
            </w:r>
          </w:p>
          <w:p>
            <w:pPr>
              <w:jc w:val="center"/>
              <w:rPr>
                <w:rFonts w:ascii="Calibri" w:hAnsi="Calibri"/>
                <w:sz w:val="18"/>
                <w:szCs w:val="18"/>
              </w:rPr>
            </w:pPr>
            <w:r>
              <w:rPr>
                <w:rFonts w:hint="eastAsia" w:ascii="Calibri" w:hAnsi="Calibri"/>
                <w:sz w:val="18"/>
                <w:szCs w:val="18"/>
              </w:rPr>
              <w:t>抽样试验重复试验程序应满足GB/T 8287.1-2008中3.4.2条的规定。</w:t>
            </w:r>
          </w:p>
          <w:p>
            <w:pPr>
              <w:rPr>
                <w:rFonts w:ascii="Calibri" w:hAnsi="Calibri"/>
                <w:sz w:val="18"/>
                <w:szCs w:val="18"/>
              </w:rPr>
            </w:pPr>
            <w:r>
              <w:rPr>
                <w:rFonts w:hint="eastAsia" w:ascii="Calibri" w:hAnsi="Calibri"/>
                <w:sz w:val="18"/>
                <w:szCs w:val="18"/>
              </w:rPr>
              <w:t>6.3.3  试验项目</w:t>
            </w:r>
          </w:p>
          <w:p>
            <w:pPr>
              <w:jc w:val="center"/>
              <w:rPr>
                <w:rFonts w:ascii="Calibri" w:hAnsi="Calibri"/>
                <w:sz w:val="18"/>
                <w:szCs w:val="18"/>
              </w:rPr>
            </w:pPr>
            <w:r>
              <w:rPr>
                <w:rFonts w:hint="eastAsia" w:ascii="Calibri" w:hAnsi="Calibri"/>
                <w:sz w:val="18"/>
                <w:szCs w:val="18"/>
              </w:rPr>
              <w:t>表6 抽样试验项目及依据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665"/>
              <w:gridCol w:w="2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center"/>
                    <w:rPr>
                      <w:sz w:val="18"/>
                      <w:szCs w:val="18"/>
                    </w:rPr>
                  </w:pPr>
                  <w:r>
                    <w:rPr>
                      <w:rFonts w:hint="eastAsia"/>
                      <w:sz w:val="18"/>
                      <w:szCs w:val="18"/>
                    </w:rPr>
                    <w:t>序号</w:t>
                  </w:r>
                </w:p>
              </w:tc>
              <w:tc>
                <w:tcPr>
                  <w:tcW w:w="1665" w:type="dxa"/>
                  <w:vAlign w:val="center"/>
                </w:tcPr>
                <w:p>
                  <w:pPr>
                    <w:jc w:val="center"/>
                    <w:rPr>
                      <w:sz w:val="18"/>
                      <w:szCs w:val="18"/>
                    </w:rPr>
                  </w:pPr>
                  <w:r>
                    <w:rPr>
                      <w:rFonts w:hint="eastAsia"/>
                      <w:sz w:val="18"/>
                      <w:szCs w:val="18"/>
                    </w:rPr>
                    <w:t>试验项目</w:t>
                  </w:r>
                </w:p>
              </w:tc>
              <w:tc>
                <w:tcPr>
                  <w:tcW w:w="2796" w:type="dxa"/>
                  <w:vAlign w:val="center"/>
                </w:tcPr>
                <w:p>
                  <w:pPr>
                    <w:jc w:val="center"/>
                    <w:rPr>
                      <w:sz w:val="18"/>
                      <w:szCs w:val="18"/>
                    </w:rPr>
                  </w:pPr>
                  <w:r>
                    <w:rPr>
                      <w:rFonts w:hint="eastAsia"/>
                      <w:sz w:val="18"/>
                      <w:szCs w:val="18"/>
                    </w:rPr>
                    <w:t>依据条款号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center"/>
                    <w:rPr>
                      <w:sz w:val="18"/>
                      <w:szCs w:val="18"/>
                    </w:rPr>
                  </w:pPr>
                  <w:r>
                    <w:rPr>
                      <w:rFonts w:hint="eastAsia"/>
                      <w:sz w:val="18"/>
                      <w:szCs w:val="18"/>
                    </w:rPr>
                    <w:t>1</w:t>
                  </w:r>
                </w:p>
              </w:tc>
              <w:tc>
                <w:tcPr>
                  <w:tcW w:w="1665" w:type="dxa"/>
                  <w:vAlign w:val="center"/>
                </w:tcPr>
                <w:p>
                  <w:pPr>
                    <w:jc w:val="center"/>
                    <w:rPr>
                      <w:sz w:val="18"/>
                      <w:szCs w:val="18"/>
                    </w:rPr>
                  </w:pPr>
                  <w:r>
                    <w:rPr>
                      <w:rFonts w:hint="eastAsia"/>
                      <w:sz w:val="18"/>
                      <w:szCs w:val="18"/>
                    </w:rPr>
                    <w:t>尺寸检测</w:t>
                  </w:r>
                </w:p>
              </w:tc>
              <w:tc>
                <w:tcPr>
                  <w:tcW w:w="2796" w:type="dxa"/>
                  <w:vAlign w:val="center"/>
                </w:tcPr>
                <w:p>
                  <w:pPr>
                    <w:jc w:val="center"/>
                    <w:rPr>
                      <w:sz w:val="18"/>
                      <w:szCs w:val="18"/>
                    </w:rPr>
                  </w:pPr>
                  <w:r>
                    <w:rPr>
                      <w:rFonts w:hint="eastAsia"/>
                      <w:sz w:val="18"/>
                      <w:szCs w:val="18"/>
                    </w:rPr>
                    <w:t>GB/T 8287.2-2008的5.1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center"/>
                    <w:rPr>
                      <w:sz w:val="18"/>
                      <w:szCs w:val="18"/>
                    </w:rPr>
                  </w:pPr>
                  <w:r>
                    <w:rPr>
                      <w:rFonts w:hint="eastAsia"/>
                      <w:sz w:val="18"/>
                      <w:szCs w:val="18"/>
                    </w:rPr>
                    <w:t>2</w:t>
                  </w:r>
                </w:p>
              </w:tc>
              <w:tc>
                <w:tcPr>
                  <w:tcW w:w="1665" w:type="dxa"/>
                  <w:vAlign w:val="center"/>
                </w:tcPr>
                <w:p>
                  <w:pPr>
                    <w:jc w:val="center"/>
                    <w:rPr>
                      <w:sz w:val="18"/>
                      <w:szCs w:val="18"/>
                    </w:rPr>
                  </w:pPr>
                  <w:r>
                    <w:rPr>
                      <w:rFonts w:hint="eastAsia"/>
                      <w:sz w:val="18"/>
                      <w:szCs w:val="18"/>
                    </w:rPr>
                    <w:t>温度循环试验</w:t>
                  </w:r>
                </w:p>
              </w:tc>
              <w:tc>
                <w:tcPr>
                  <w:tcW w:w="2796" w:type="dxa"/>
                  <w:vAlign w:val="center"/>
                </w:tcPr>
                <w:p>
                  <w:pPr>
                    <w:jc w:val="center"/>
                    <w:rPr>
                      <w:sz w:val="18"/>
                      <w:szCs w:val="18"/>
                    </w:rPr>
                  </w:pPr>
                  <w:r>
                    <w:rPr>
                      <w:rFonts w:hint="eastAsia"/>
                      <w:sz w:val="18"/>
                      <w:szCs w:val="18"/>
                    </w:rPr>
                    <w:t>GB/T 8287.2-2008的5.4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center"/>
                    <w:rPr>
                      <w:sz w:val="18"/>
                      <w:szCs w:val="18"/>
                    </w:rPr>
                  </w:pPr>
                  <w:r>
                    <w:rPr>
                      <w:rFonts w:hint="eastAsia"/>
                      <w:sz w:val="18"/>
                      <w:szCs w:val="18"/>
                    </w:rPr>
                    <w:t>3</w:t>
                  </w:r>
                </w:p>
              </w:tc>
              <w:tc>
                <w:tcPr>
                  <w:tcW w:w="1665" w:type="dxa"/>
                  <w:vAlign w:val="center"/>
                </w:tcPr>
                <w:p>
                  <w:pPr>
                    <w:jc w:val="center"/>
                    <w:rPr>
                      <w:sz w:val="18"/>
                      <w:szCs w:val="18"/>
                    </w:rPr>
                  </w:pPr>
                  <w:r>
                    <w:rPr>
                      <w:rFonts w:hint="eastAsia"/>
                      <w:sz w:val="18"/>
                      <w:szCs w:val="18"/>
                    </w:rPr>
                    <w:t>机械破坏负荷试验</w:t>
                  </w:r>
                </w:p>
              </w:tc>
              <w:tc>
                <w:tcPr>
                  <w:tcW w:w="2796" w:type="dxa"/>
                  <w:vAlign w:val="center"/>
                </w:tcPr>
                <w:p>
                  <w:pPr>
                    <w:jc w:val="center"/>
                    <w:rPr>
                      <w:sz w:val="18"/>
                      <w:szCs w:val="18"/>
                    </w:rPr>
                  </w:pPr>
                  <w:r>
                    <w:rPr>
                      <w:rFonts w:hint="eastAsia"/>
                      <w:sz w:val="18"/>
                      <w:szCs w:val="18"/>
                    </w:rPr>
                    <w:t>GB/T 8287.2-2008的5.2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center"/>
                    <w:rPr>
                      <w:sz w:val="18"/>
                      <w:szCs w:val="18"/>
                    </w:rPr>
                  </w:pPr>
                  <w:r>
                    <w:rPr>
                      <w:rFonts w:hint="eastAsia"/>
                      <w:sz w:val="18"/>
                      <w:szCs w:val="18"/>
                    </w:rPr>
                    <w:t>4</w:t>
                  </w:r>
                </w:p>
              </w:tc>
              <w:tc>
                <w:tcPr>
                  <w:tcW w:w="1665" w:type="dxa"/>
                  <w:vAlign w:val="center"/>
                </w:tcPr>
                <w:p>
                  <w:pPr>
                    <w:jc w:val="center"/>
                    <w:rPr>
                      <w:sz w:val="18"/>
                      <w:szCs w:val="18"/>
                    </w:rPr>
                  </w:pPr>
                  <w:r>
                    <w:rPr>
                      <w:rFonts w:hint="eastAsia"/>
                      <w:sz w:val="18"/>
                      <w:szCs w:val="18"/>
                    </w:rPr>
                    <w:t>孔隙性试验</w:t>
                  </w:r>
                </w:p>
              </w:tc>
              <w:tc>
                <w:tcPr>
                  <w:tcW w:w="2796" w:type="dxa"/>
                  <w:vAlign w:val="center"/>
                </w:tcPr>
                <w:p>
                  <w:pPr>
                    <w:jc w:val="center"/>
                    <w:rPr>
                      <w:sz w:val="18"/>
                      <w:szCs w:val="18"/>
                    </w:rPr>
                  </w:pPr>
                  <w:r>
                    <w:rPr>
                      <w:rFonts w:hint="eastAsia"/>
                      <w:sz w:val="18"/>
                      <w:szCs w:val="18"/>
                    </w:rPr>
                    <w:t>GB/T 8287.2-2008的5.6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center"/>
                    <w:rPr>
                      <w:sz w:val="18"/>
                      <w:szCs w:val="18"/>
                    </w:rPr>
                  </w:pPr>
                  <w:r>
                    <w:rPr>
                      <w:rFonts w:hint="eastAsia"/>
                      <w:sz w:val="18"/>
                      <w:szCs w:val="18"/>
                    </w:rPr>
                    <w:t>5</w:t>
                  </w:r>
                </w:p>
              </w:tc>
              <w:tc>
                <w:tcPr>
                  <w:tcW w:w="1665" w:type="dxa"/>
                  <w:vAlign w:val="center"/>
                </w:tcPr>
                <w:p>
                  <w:pPr>
                    <w:jc w:val="center"/>
                    <w:rPr>
                      <w:sz w:val="18"/>
                      <w:szCs w:val="18"/>
                    </w:rPr>
                  </w:pPr>
                  <w:r>
                    <w:rPr>
                      <w:rFonts w:hint="eastAsia"/>
                      <w:sz w:val="18"/>
                      <w:szCs w:val="18"/>
                    </w:rPr>
                    <w:t>镀锌层试验</w:t>
                  </w:r>
                </w:p>
              </w:tc>
              <w:tc>
                <w:tcPr>
                  <w:tcW w:w="2796" w:type="dxa"/>
                  <w:vAlign w:val="center"/>
                </w:tcPr>
                <w:p>
                  <w:pPr>
                    <w:jc w:val="center"/>
                    <w:rPr>
                      <w:sz w:val="18"/>
                      <w:szCs w:val="18"/>
                    </w:rPr>
                  </w:pPr>
                  <w:r>
                    <w:rPr>
                      <w:rFonts w:hint="eastAsia"/>
                      <w:sz w:val="18"/>
                      <w:szCs w:val="18"/>
                    </w:rPr>
                    <w:t>GB/T 8287.2-2008的5.7</w:t>
                  </w:r>
                </w:p>
              </w:tc>
            </w:tr>
          </w:tbl>
          <w:p>
            <w:pPr>
              <w:rPr>
                <w:rFonts w:ascii="Calibri" w:hAnsi="Calibri"/>
                <w:sz w:val="18"/>
                <w:szCs w:val="18"/>
              </w:rPr>
            </w:pP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抽样试验</w:t>
            </w:r>
          </w:p>
        </w:tc>
        <w:tc>
          <w:tcPr>
            <w:tcW w:w="1490" w:type="dxa"/>
            <w:vAlign w:val="center"/>
          </w:tcPr>
          <w:p>
            <w:pPr>
              <w:jc w:val="center"/>
              <w:rPr>
                <w:rFonts w:ascii="Calibri" w:hAnsi="Calibri"/>
                <w:sz w:val="18"/>
                <w:szCs w:val="18"/>
              </w:rPr>
            </w:pPr>
            <w:r>
              <w:rPr>
                <w:rFonts w:hint="eastAsia" w:ascii="Calibri" w:hAnsi="Calibri"/>
                <w:sz w:val="18"/>
                <w:szCs w:val="18"/>
              </w:rPr>
              <w:t>试验报告、编号、相关内容起止页码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6.4</w:t>
            </w:r>
          </w:p>
        </w:tc>
        <w:tc>
          <w:tcPr>
            <w:tcW w:w="6234" w:type="dxa"/>
            <w:vAlign w:val="center"/>
          </w:tcPr>
          <w:p>
            <w:pPr>
              <w:jc w:val="left"/>
              <w:rPr>
                <w:rFonts w:ascii="Calibri" w:hAnsi="Calibri"/>
                <w:sz w:val="18"/>
                <w:szCs w:val="18"/>
              </w:rPr>
            </w:pPr>
            <w:r>
              <w:rPr>
                <w:rFonts w:hint="eastAsia" w:ascii="Calibri" w:hAnsi="Calibri"/>
                <w:sz w:val="18"/>
                <w:szCs w:val="18"/>
              </w:rPr>
              <w:t>逐个试验</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rPr>
            </w:pPr>
          </w:p>
        </w:tc>
        <w:tc>
          <w:tcPr>
            <w:tcW w:w="1490" w:type="dxa"/>
            <w:vAlign w:val="center"/>
          </w:tcPr>
          <w:p>
            <w:pPr>
              <w:jc w:val="center"/>
              <w:rPr>
                <w:rFonts w:ascii="Calibri" w:hAnsi="Calibri"/>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6.4</w:t>
            </w:r>
          </w:p>
        </w:tc>
        <w:tc>
          <w:tcPr>
            <w:tcW w:w="6234" w:type="dxa"/>
            <w:vAlign w:val="center"/>
          </w:tcPr>
          <w:p>
            <w:pPr>
              <w:jc w:val="left"/>
              <w:rPr>
                <w:rFonts w:ascii="Calibri" w:hAnsi="Calibri"/>
                <w:sz w:val="18"/>
                <w:szCs w:val="18"/>
              </w:rPr>
            </w:pPr>
            <w:r>
              <w:rPr>
                <w:rFonts w:hint="eastAsia" w:ascii="Calibri" w:hAnsi="Calibri"/>
                <w:sz w:val="18"/>
                <w:szCs w:val="18"/>
              </w:rPr>
              <w:t>6.4.1 试验项目</w:t>
            </w:r>
          </w:p>
          <w:p>
            <w:pPr>
              <w:jc w:val="center"/>
              <w:rPr>
                <w:rFonts w:ascii="Calibri" w:hAnsi="Calibri"/>
                <w:sz w:val="18"/>
                <w:szCs w:val="18"/>
              </w:rPr>
            </w:pPr>
            <w:r>
              <w:rPr>
                <w:rFonts w:hint="eastAsia" w:ascii="Calibri" w:hAnsi="Calibri"/>
                <w:sz w:val="18"/>
                <w:szCs w:val="18"/>
              </w:rPr>
              <w:t>表7 逐个试验项目及依据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938"/>
              <w:gridCol w:w="2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left"/>
                    <w:rPr>
                      <w:sz w:val="18"/>
                      <w:szCs w:val="18"/>
                    </w:rPr>
                  </w:pPr>
                  <w:r>
                    <w:rPr>
                      <w:rFonts w:hint="eastAsia"/>
                      <w:sz w:val="18"/>
                      <w:szCs w:val="18"/>
                    </w:rPr>
                    <w:t>序号</w:t>
                  </w:r>
                </w:p>
              </w:tc>
              <w:tc>
                <w:tcPr>
                  <w:tcW w:w="1938" w:type="dxa"/>
                  <w:vAlign w:val="center"/>
                </w:tcPr>
                <w:p>
                  <w:pPr>
                    <w:jc w:val="left"/>
                    <w:rPr>
                      <w:sz w:val="18"/>
                      <w:szCs w:val="18"/>
                    </w:rPr>
                  </w:pPr>
                  <w:r>
                    <w:rPr>
                      <w:rFonts w:hint="eastAsia"/>
                      <w:sz w:val="18"/>
                      <w:szCs w:val="18"/>
                    </w:rPr>
                    <w:t>试验项目</w:t>
                  </w:r>
                </w:p>
              </w:tc>
              <w:tc>
                <w:tcPr>
                  <w:tcW w:w="2332" w:type="dxa"/>
                  <w:vAlign w:val="center"/>
                </w:tcPr>
                <w:p>
                  <w:pPr>
                    <w:jc w:val="left"/>
                    <w:rPr>
                      <w:sz w:val="18"/>
                      <w:szCs w:val="18"/>
                    </w:rPr>
                  </w:pPr>
                  <w:r>
                    <w:rPr>
                      <w:rFonts w:hint="eastAsia"/>
                      <w:sz w:val="18"/>
                      <w:szCs w:val="18"/>
                    </w:rPr>
                    <w:t>依据条款号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left"/>
                    <w:rPr>
                      <w:sz w:val="18"/>
                      <w:szCs w:val="18"/>
                    </w:rPr>
                  </w:pPr>
                  <w:r>
                    <w:rPr>
                      <w:rFonts w:hint="eastAsia"/>
                      <w:sz w:val="18"/>
                      <w:szCs w:val="18"/>
                    </w:rPr>
                    <w:t>1</w:t>
                  </w:r>
                </w:p>
              </w:tc>
              <w:tc>
                <w:tcPr>
                  <w:tcW w:w="1938" w:type="dxa"/>
                  <w:vAlign w:val="center"/>
                </w:tcPr>
                <w:p>
                  <w:pPr>
                    <w:jc w:val="left"/>
                    <w:rPr>
                      <w:sz w:val="18"/>
                      <w:szCs w:val="18"/>
                    </w:rPr>
                  </w:pPr>
                  <w:r>
                    <w:rPr>
                      <w:rFonts w:hint="eastAsia"/>
                      <w:sz w:val="18"/>
                      <w:szCs w:val="18"/>
                    </w:rPr>
                    <w:t>逐个外观检测</w:t>
                  </w:r>
                </w:p>
              </w:tc>
              <w:tc>
                <w:tcPr>
                  <w:tcW w:w="2332" w:type="dxa"/>
                  <w:vAlign w:val="center"/>
                </w:tcPr>
                <w:p>
                  <w:pPr>
                    <w:jc w:val="left"/>
                    <w:rPr>
                      <w:sz w:val="18"/>
                      <w:szCs w:val="18"/>
                    </w:rPr>
                  </w:pPr>
                  <w:r>
                    <w:rPr>
                      <w:rFonts w:hint="eastAsia"/>
                      <w:sz w:val="18"/>
                      <w:szCs w:val="18"/>
                    </w:rPr>
                    <w:t>GB/T 8287.2-2008的5.8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left"/>
                    <w:rPr>
                      <w:sz w:val="18"/>
                      <w:szCs w:val="18"/>
                    </w:rPr>
                  </w:pPr>
                  <w:r>
                    <w:rPr>
                      <w:rFonts w:hint="eastAsia"/>
                      <w:sz w:val="18"/>
                      <w:szCs w:val="18"/>
                    </w:rPr>
                    <w:t>2</w:t>
                  </w:r>
                </w:p>
              </w:tc>
              <w:tc>
                <w:tcPr>
                  <w:tcW w:w="1938" w:type="dxa"/>
                  <w:vAlign w:val="center"/>
                </w:tcPr>
                <w:p>
                  <w:pPr>
                    <w:jc w:val="left"/>
                    <w:rPr>
                      <w:sz w:val="18"/>
                      <w:szCs w:val="18"/>
                    </w:rPr>
                  </w:pPr>
                  <w:r>
                    <w:rPr>
                      <w:rFonts w:hint="eastAsia"/>
                      <w:sz w:val="18"/>
                      <w:szCs w:val="18"/>
                    </w:rPr>
                    <w:t>高度检查</w:t>
                  </w:r>
                </w:p>
              </w:tc>
              <w:tc>
                <w:tcPr>
                  <w:tcW w:w="2332" w:type="dxa"/>
                  <w:vAlign w:val="center"/>
                </w:tcPr>
                <w:p>
                  <w:pPr>
                    <w:jc w:val="left"/>
                    <w:rPr>
                      <w:sz w:val="18"/>
                      <w:szCs w:val="18"/>
                    </w:rPr>
                  </w:pPr>
                  <w:r>
                    <w:rPr>
                      <w:rFonts w:hint="eastAsia"/>
                      <w:sz w:val="18"/>
                      <w:szCs w:val="18"/>
                    </w:rPr>
                    <w:t>GB/T 8287.2-2008的5.1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left"/>
                    <w:rPr>
                      <w:sz w:val="18"/>
                      <w:szCs w:val="18"/>
                    </w:rPr>
                  </w:pPr>
                  <w:r>
                    <w:rPr>
                      <w:rFonts w:hint="eastAsia"/>
                      <w:sz w:val="18"/>
                      <w:szCs w:val="18"/>
                    </w:rPr>
                    <w:t>3</w:t>
                  </w:r>
                </w:p>
              </w:tc>
              <w:tc>
                <w:tcPr>
                  <w:tcW w:w="1938" w:type="dxa"/>
                  <w:vAlign w:val="center"/>
                </w:tcPr>
                <w:p>
                  <w:pPr>
                    <w:jc w:val="left"/>
                    <w:rPr>
                      <w:sz w:val="18"/>
                      <w:szCs w:val="18"/>
                    </w:rPr>
                  </w:pPr>
                  <w:r>
                    <w:rPr>
                      <w:rFonts w:hint="eastAsia"/>
                      <w:sz w:val="18"/>
                      <w:szCs w:val="18"/>
                    </w:rPr>
                    <w:t>超声波探伤检测</w:t>
                  </w:r>
                </w:p>
              </w:tc>
              <w:tc>
                <w:tcPr>
                  <w:tcW w:w="2332" w:type="dxa"/>
                  <w:vAlign w:val="center"/>
                </w:tcPr>
                <w:p>
                  <w:pPr>
                    <w:jc w:val="left"/>
                    <w:rPr>
                      <w:sz w:val="18"/>
                      <w:szCs w:val="18"/>
                    </w:rPr>
                  </w:pPr>
                  <w:r>
                    <w:rPr>
                      <w:rFonts w:hint="eastAsia"/>
                      <w:sz w:val="18"/>
                      <w:szCs w:val="18"/>
                    </w:rPr>
                    <w:t>GB/T 8287.2-2008的5.10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pPr>
                    <w:jc w:val="left"/>
                    <w:rPr>
                      <w:sz w:val="18"/>
                      <w:szCs w:val="18"/>
                    </w:rPr>
                  </w:pPr>
                  <w:r>
                    <w:rPr>
                      <w:rFonts w:hint="eastAsia"/>
                      <w:sz w:val="18"/>
                      <w:szCs w:val="18"/>
                    </w:rPr>
                    <w:t>4</w:t>
                  </w:r>
                </w:p>
              </w:tc>
              <w:tc>
                <w:tcPr>
                  <w:tcW w:w="1938" w:type="dxa"/>
                  <w:vAlign w:val="center"/>
                </w:tcPr>
                <w:p>
                  <w:pPr>
                    <w:jc w:val="left"/>
                    <w:rPr>
                      <w:sz w:val="18"/>
                      <w:szCs w:val="18"/>
                    </w:rPr>
                  </w:pPr>
                  <w:r>
                    <w:rPr>
                      <w:rFonts w:hint="eastAsia"/>
                      <w:sz w:val="18"/>
                      <w:szCs w:val="18"/>
                    </w:rPr>
                    <w:t>逐个机械试验（弯曲试验）</w:t>
                  </w:r>
                </w:p>
              </w:tc>
              <w:tc>
                <w:tcPr>
                  <w:tcW w:w="2332" w:type="dxa"/>
                  <w:vAlign w:val="center"/>
                </w:tcPr>
                <w:p>
                  <w:pPr>
                    <w:jc w:val="left"/>
                    <w:rPr>
                      <w:sz w:val="18"/>
                      <w:szCs w:val="18"/>
                    </w:rPr>
                  </w:pPr>
                  <w:r>
                    <w:rPr>
                      <w:rFonts w:hint="eastAsia"/>
                      <w:sz w:val="18"/>
                      <w:szCs w:val="18"/>
                    </w:rPr>
                    <w:t>GB/T 8287.2-2008的5.9</w:t>
                  </w:r>
                </w:p>
              </w:tc>
            </w:tr>
          </w:tbl>
          <w:p>
            <w:pPr>
              <w:adjustRightInd w:val="0"/>
              <w:snapToGrid w:val="0"/>
              <w:rPr>
                <w:rFonts w:ascii="Calibri" w:hAnsi="Calibri"/>
                <w:sz w:val="18"/>
                <w:szCs w:val="18"/>
              </w:rPr>
            </w:pP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试验</w:t>
            </w:r>
          </w:p>
        </w:tc>
        <w:tc>
          <w:tcPr>
            <w:tcW w:w="1490" w:type="dxa"/>
            <w:vAlign w:val="center"/>
          </w:tcPr>
          <w:p>
            <w:pPr>
              <w:jc w:val="center"/>
              <w:rPr>
                <w:rFonts w:ascii="Calibri" w:hAnsi="Calibri"/>
              </w:rPr>
            </w:pPr>
            <w:r>
              <w:rPr>
                <w:rFonts w:hint="eastAsia" w:ascii="Calibri" w:hAnsi="Calibri"/>
                <w:sz w:val="18"/>
                <w:szCs w:val="18"/>
              </w:rPr>
              <w:t>试验报告、编号、相关内容起止页码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bl>
    <w:p/>
    <w:p>
      <w:pPr>
        <w:jc w:val="center"/>
      </w:pPr>
    </w:p>
    <w:p>
      <w:pPr>
        <w:jc w:val="center"/>
        <w:rPr>
          <w:rFonts w:ascii="宋体" w:hAnsi="宋体"/>
          <w:sz w:val="36"/>
          <w:szCs w:val="36"/>
        </w:rPr>
      </w:pPr>
    </w:p>
    <w:p/>
    <w:sectPr>
      <w:pgSz w:w="16839" w:h="11907" w:orient="landscape"/>
      <w:pgMar w:top="1701" w:right="1440" w:bottom="1701" w:left="1440" w:header="964" w:footer="737"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0000000000000000000"/>
    <w:charset w:val="86"/>
    <w:family w:val="modern"/>
    <w:pitch w:val="default"/>
    <w:sig w:usb0="00000000" w:usb1="00000000" w:usb2="00000000"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roman"/>
    <w:pitch w:val="default"/>
    <w:sig w:usb0="00000000" w:usb1="00000000" w:usb2="00000000" w:usb3="00000000" w:csb0="00000001" w:csb1="00000000"/>
  </w:font>
  <w:font w:name="方正小标宋_GBK">
    <w:panose1 w:val="02000000000000000000"/>
    <w:charset w:val="86"/>
    <w:family w:val="script"/>
    <w:pitch w:val="default"/>
    <w:sig w:usb0="A00002BF" w:usb1="38CF7CFA" w:usb2="00082016" w:usb3="00000000" w:csb0="00040001" w:csb1="00000000"/>
  </w:font>
  <w:font w:name="Trebuchet MS">
    <w:panose1 w:val="020B0603020202020204"/>
    <w:charset w:val="00"/>
    <w:family w:val="swiss"/>
    <w:pitch w:val="default"/>
    <w:sig w:usb0="00000687" w:usb1="00000000" w:usb2="00000000" w:usb3="00000000" w:csb0="2000009F" w:csb1="00000000"/>
  </w:font>
  <w:font w:name="TimesNewRomanPSMT">
    <w:altName w:val="Times New Roman"/>
    <w:panose1 w:val="00000000000000000000"/>
    <w:charset w:val="00"/>
    <w:family w:val="roma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PAGE   \* MERGEFORMAT</w:instrText>
    </w:r>
    <w:r>
      <w:fldChar w:fldCharType="separate"/>
    </w:r>
    <w:r>
      <w:rPr>
        <w:lang w:val="zh-CN"/>
      </w:rPr>
      <w:t>16</w:t>
    </w:r>
    <w:r>
      <w:fldChar w:fldCharType="end"/>
    </w:r>
  </w:p>
  <w:p>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r>
      <w:rPr>
        <w:rFonts w:hint="eastAsia"/>
      </w:rPr>
      <w:t>110kV~500kV瓷绝缘支柱绝缘子技术规范书（通用部分）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r>
      <w:rPr>
        <w:rFonts w:hint="eastAsia"/>
      </w:rPr>
      <w:t>110kV~500kV瓷绝缘支柱绝缘子技术规范书（通用部分）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61"/>
      <w:lvlText w:val="%1."/>
      <w:lvlJc w:val="left"/>
      <w:pPr>
        <w:tabs>
          <w:tab w:val="left" w:pos="2040"/>
        </w:tabs>
        <w:ind w:left="2040" w:hanging="360"/>
      </w:pPr>
    </w:lvl>
  </w:abstractNum>
  <w:abstractNum w:abstractNumId="1">
    <w:nsid w:val="00000005"/>
    <w:multiLevelType w:val="multilevel"/>
    <w:tmpl w:val="00000005"/>
    <w:lvl w:ilvl="0" w:tentative="0">
      <w:start w:val="1"/>
      <w:numFmt w:val="decimal"/>
      <w:pStyle w:val="191"/>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6"/>
    <w:multiLevelType w:val="singleLevel"/>
    <w:tmpl w:val="00000006"/>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3">
    <w:nsid w:val="00000009"/>
    <w:multiLevelType w:val="singleLevel"/>
    <w:tmpl w:val="00000009"/>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4">
    <w:nsid w:val="0000000B"/>
    <w:multiLevelType w:val="singleLevel"/>
    <w:tmpl w:val="0000000B"/>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0C"/>
    <w:multiLevelType w:val="singleLevel"/>
    <w:tmpl w:val="0000000C"/>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6">
    <w:nsid w:val="0000000D"/>
    <w:multiLevelType w:val="multilevel"/>
    <w:tmpl w:val="0000000D"/>
    <w:lvl w:ilvl="0" w:tentative="0">
      <w:start w:val="1"/>
      <w:numFmt w:val="decimal"/>
      <w:pStyle w:val="19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14:shadow w14:blurRad="0" w14:dist="0" w14:dir="0" w14:sx="0" w14:sy="0" w14:kx="0" w14:ky="0" w14:algn="none">
          <w14:srgbClr w14:val="000000"/>
        </w14:shadow>
      </w:rPr>
    </w:lvl>
    <w:lvl w:ilvl="3" w:tentative="0">
      <w:start w:val="1"/>
      <w:numFmt w:val="decimal"/>
      <w:pStyle w:val="193"/>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shadow w14:blurRad="0" w14:dist="0" w14:dir="0" w14:sx="0" w14:sy="0" w14:kx="0" w14:ky="0" w14:algn="none">
          <w14:srgbClr w14:val="000000"/>
        </w14:shadow>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7">
    <w:nsid w:val="0000000F"/>
    <w:multiLevelType w:val="singleLevel"/>
    <w:tmpl w:val="0000000F"/>
    <w:lvl w:ilvl="0" w:tentative="0">
      <w:start w:val="1"/>
      <w:numFmt w:val="decimal"/>
      <w:pStyle w:val="33"/>
      <w:lvlText w:val="%1."/>
      <w:lvlJc w:val="left"/>
      <w:pPr>
        <w:tabs>
          <w:tab w:val="left" w:pos="1200"/>
        </w:tabs>
        <w:ind w:left="1200" w:hanging="360"/>
      </w:pPr>
    </w:lvl>
  </w:abstractNum>
  <w:abstractNum w:abstractNumId="8">
    <w:nsid w:val="00000014"/>
    <w:multiLevelType w:val="multilevel"/>
    <w:tmpl w:val="00000014"/>
    <w:lvl w:ilvl="0" w:tentative="0">
      <w:start w:val="1"/>
      <w:numFmt w:val="decimal"/>
      <w:lvlText w:val="%1)"/>
      <w:lvlJc w:val="left"/>
      <w:pPr>
        <w:tabs>
          <w:tab w:val="left" w:pos="900"/>
        </w:tabs>
        <w:ind w:left="900" w:hanging="420"/>
      </w:pPr>
    </w:lvl>
    <w:lvl w:ilvl="1" w:tentative="0">
      <w:start w:val="1"/>
      <w:numFmt w:val="lowerLetter"/>
      <w:pStyle w:val="190"/>
      <w:lvlText w:val="%2)"/>
      <w:lvlJc w:val="left"/>
      <w:pPr>
        <w:tabs>
          <w:tab w:val="left" w:pos="1320"/>
        </w:tabs>
        <w:ind w:left="1320" w:hanging="420"/>
      </w:pPr>
    </w:lvl>
    <w:lvl w:ilvl="2" w:tentative="0">
      <w:start w:val="1"/>
      <w:numFmt w:val="lowerRoman"/>
      <w:pStyle w:val="26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00000016"/>
    <w:multiLevelType w:val="multilevel"/>
    <w:tmpl w:val="00000016"/>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0">
    <w:nsid w:val="00000018"/>
    <w:multiLevelType w:val="multilevel"/>
    <w:tmpl w:val="00000018"/>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98"/>
      <w:suff w:val="nothing"/>
      <w:lvlText w:val="%1%2.%3　"/>
      <w:lvlJc w:val="left"/>
      <w:pPr>
        <w:ind w:left="0" w:firstLine="0"/>
      </w:pPr>
      <w:rPr>
        <w:rFonts w:hint="eastAsia" w:ascii="黑体" w:hAnsi="Times New Roman" w:eastAsia="黑体"/>
        <w:b w:val="0"/>
        <w:i w:val="0"/>
        <w:sz w:val="21"/>
      </w:rPr>
    </w:lvl>
    <w:lvl w:ilvl="3" w:tentative="0">
      <w:start w:val="1"/>
      <w:numFmt w:val="decimal"/>
      <w:pStyle w:val="202"/>
      <w:suff w:val="nothing"/>
      <w:lvlText w:val="%1%2.%3.%4　"/>
      <w:lvlJc w:val="left"/>
      <w:pPr>
        <w:ind w:left="0" w:firstLine="0"/>
      </w:pPr>
      <w:rPr>
        <w:rFonts w:hint="eastAsia" w:ascii="黑体" w:hAnsi="Times New Roman" w:eastAsia="黑体"/>
        <w:b w:val="0"/>
        <w:i w:val="0"/>
        <w:sz w:val="21"/>
      </w:rPr>
    </w:lvl>
    <w:lvl w:ilvl="4" w:tentative="0">
      <w:start w:val="1"/>
      <w:numFmt w:val="decimal"/>
      <w:pStyle w:val="269"/>
      <w:suff w:val="nothing"/>
      <w:lvlText w:val="%1%2.%3.%4.%5　"/>
      <w:lvlJc w:val="left"/>
      <w:pPr>
        <w:ind w:left="0" w:firstLine="0"/>
      </w:pPr>
      <w:rPr>
        <w:rFonts w:hint="eastAsia" w:ascii="黑体" w:hAnsi="Times New Roman" w:eastAsia="黑体"/>
        <w:b w:val="0"/>
        <w:i w:val="0"/>
        <w:sz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5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9"/>
    <w:multiLevelType w:val="multilevel"/>
    <w:tmpl w:val="00000019"/>
    <w:lvl w:ilvl="0" w:tentative="0">
      <w:start w:val="1"/>
      <w:numFmt w:val="decimal"/>
      <w:lvlText w:val="%1"/>
      <w:lvlJc w:val="left"/>
      <w:pPr>
        <w:tabs>
          <w:tab w:val="left" w:pos="360"/>
        </w:tabs>
        <w:ind w:left="360" w:hanging="360"/>
      </w:pPr>
      <w:rPr>
        <w:rFonts w:hint="eastAsia"/>
      </w:rPr>
    </w:lvl>
    <w:lvl w:ilvl="1" w:tentative="0">
      <w:start w:val="1"/>
      <w:numFmt w:val="lowerLetter"/>
      <w:pStyle w:val="230"/>
      <w:lvlText w:val="%2）"/>
      <w:lvlJc w:val="left"/>
      <w:pPr>
        <w:tabs>
          <w:tab w:val="left" w:pos="780"/>
        </w:tabs>
        <w:ind w:left="780" w:hanging="360"/>
      </w:pPr>
      <w:rPr>
        <w:rFonts w:hint="eastAsia"/>
      </w:rPr>
    </w:lvl>
    <w:lvl w:ilvl="2" w:tentative="0">
      <w:start w:val="1"/>
      <w:numFmt w:val="lowerRoman"/>
      <w:pStyle w:val="266"/>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A"/>
    <w:multiLevelType w:val="singleLevel"/>
    <w:tmpl w:val="0000001A"/>
    <w:lvl w:ilvl="0" w:tentative="0">
      <w:start w:val="1"/>
      <w:numFmt w:val="decimal"/>
      <w:pStyle w:val="18"/>
      <w:lvlText w:val="%1."/>
      <w:lvlJc w:val="left"/>
      <w:pPr>
        <w:tabs>
          <w:tab w:val="left" w:pos="360"/>
        </w:tabs>
        <w:ind w:left="360" w:hanging="360"/>
      </w:pPr>
    </w:lvl>
  </w:abstractNum>
  <w:abstractNum w:abstractNumId="13">
    <w:nsid w:val="0000001D"/>
    <w:multiLevelType w:val="singleLevel"/>
    <w:tmpl w:val="0000001D"/>
    <w:lvl w:ilvl="0" w:tentative="0">
      <w:start w:val="1"/>
      <w:numFmt w:val="decimal"/>
      <w:pStyle w:val="44"/>
      <w:lvlText w:val="%1."/>
      <w:lvlJc w:val="left"/>
      <w:pPr>
        <w:tabs>
          <w:tab w:val="left" w:pos="1620"/>
        </w:tabs>
        <w:ind w:left="1620" w:hanging="360"/>
      </w:pPr>
    </w:lvl>
  </w:abstractNum>
  <w:abstractNum w:abstractNumId="14">
    <w:nsid w:val="0000001E"/>
    <w:multiLevelType w:val="multilevel"/>
    <w:tmpl w:val="0000001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64"/>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5">
    <w:nsid w:val="00000024"/>
    <w:multiLevelType w:val="singleLevel"/>
    <w:tmpl w:val="00000024"/>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6">
    <w:nsid w:val="00000029"/>
    <w:multiLevelType w:val="singleLevel"/>
    <w:tmpl w:val="00000029"/>
    <w:lvl w:ilvl="0" w:tentative="0">
      <w:start w:val="1"/>
      <w:numFmt w:val="decimal"/>
      <w:pStyle w:val="13"/>
      <w:lvlText w:val="%1."/>
      <w:lvlJc w:val="left"/>
      <w:pPr>
        <w:tabs>
          <w:tab w:val="left" w:pos="780"/>
        </w:tabs>
        <w:ind w:left="780" w:hanging="360"/>
      </w:pPr>
    </w:lvl>
  </w:abstractNum>
  <w:abstractNum w:abstractNumId="17">
    <w:nsid w:val="6D09529A"/>
    <w:multiLevelType w:val="multilevel"/>
    <w:tmpl w:val="6D09529A"/>
    <w:lvl w:ilvl="0" w:tentative="0">
      <w:start w:val="1"/>
      <w:numFmt w:val="decimal"/>
      <w:pStyle w:val="247"/>
      <w:lvlText w:val="%1)"/>
      <w:lvlJc w:val="left"/>
      <w:pPr>
        <w:ind w:left="720" w:hanging="360"/>
      </w:pPr>
      <w:rPr>
        <w:rFonts w:ascii="Times New Roman" w:hAnsi="Times New Roman" w:eastAsia="宋体" w:cs="Times New Roman"/>
      </w:rPr>
    </w:lvl>
    <w:lvl w:ilvl="1" w:tentative="0">
      <w:start w:val="1"/>
      <w:numFmt w:val="lowerLetter"/>
      <w:lvlText w:val="%2)"/>
      <w:lvlJc w:val="left"/>
      <w:pPr>
        <w:ind w:left="1200" w:hanging="420"/>
      </w:pPr>
      <w:rPr>
        <w:rFonts w:cs="Times New Roman"/>
      </w:rPr>
    </w:lvl>
    <w:lvl w:ilvl="2" w:tentative="0">
      <w:start w:val="1"/>
      <w:numFmt w:val="lowerRoman"/>
      <w:lvlText w:val="%3."/>
      <w:lvlJc w:val="right"/>
      <w:pPr>
        <w:ind w:left="1620" w:hanging="420"/>
      </w:pPr>
      <w:rPr>
        <w:rFonts w:cs="Times New Roman"/>
      </w:rPr>
    </w:lvl>
    <w:lvl w:ilvl="3" w:tentative="0">
      <w:start w:val="1"/>
      <w:numFmt w:val="decimal"/>
      <w:lvlText w:val="%4."/>
      <w:lvlJc w:val="left"/>
      <w:pPr>
        <w:ind w:left="2040" w:hanging="420"/>
      </w:pPr>
      <w:rPr>
        <w:rFonts w:cs="Times New Roman"/>
      </w:rPr>
    </w:lvl>
    <w:lvl w:ilvl="4" w:tentative="0">
      <w:start w:val="1"/>
      <w:numFmt w:val="lowerLetter"/>
      <w:lvlText w:val="%5)"/>
      <w:lvlJc w:val="left"/>
      <w:pPr>
        <w:ind w:left="2460" w:hanging="420"/>
      </w:pPr>
      <w:rPr>
        <w:rFonts w:cs="Times New Roman"/>
      </w:rPr>
    </w:lvl>
    <w:lvl w:ilvl="5" w:tentative="0">
      <w:start w:val="1"/>
      <w:numFmt w:val="lowerRoman"/>
      <w:lvlText w:val="%6."/>
      <w:lvlJc w:val="right"/>
      <w:pPr>
        <w:ind w:left="2880" w:hanging="420"/>
      </w:pPr>
      <w:rPr>
        <w:rFonts w:cs="Times New Roman"/>
      </w:rPr>
    </w:lvl>
    <w:lvl w:ilvl="6" w:tentative="0">
      <w:start w:val="1"/>
      <w:numFmt w:val="decimal"/>
      <w:lvlText w:val="%7."/>
      <w:lvlJc w:val="left"/>
      <w:pPr>
        <w:ind w:left="3300" w:hanging="420"/>
      </w:pPr>
      <w:rPr>
        <w:rFonts w:cs="Times New Roman"/>
      </w:rPr>
    </w:lvl>
    <w:lvl w:ilvl="7" w:tentative="0">
      <w:start w:val="1"/>
      <w:numFmt w:val="lowerLetter"/>
      <w:lvlText w:val="%8)"/>
      <w:lvlJc w:val="left"/>
      <w:pPr>
        <w:ind w:left="3720" w:hanging="420"/>
      </w:pPr>
      <w:rPr>
        <w:rFonts w:cs="Times New Roman"/>
      </w:rPr>
    </w:lvl>
    <w:lvl w:ilvl="8" w:tentative="0">
      <w:start w:val="1"/>
      <w:numFmt w:val="lowerRoman"/>
      <w:lvlText w:val="%9."/>
      <w:lvlJc w:val="right"/>
      <w:pPr>
        <w:ind w:left="4140" w:hanging="420"/>
      </w:pPr>
      <w:rPr>
        <w:rFonts w:cs="Times New Roman"/>
      </w:rPr>
    </w:lvl>
  </w:abstractNum>
  <w:abstractNum w:abstractNumId="18">
    <w:nsid w:val="7B845A60"/>
    <w:multiLevelType w:val="multilevel"/>
    <w:tmpl w:val="7B845A60"/>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9"/>
  </w:num>
  <w:num w:numId="2">
    <w:abstractNumId w:val="16"/>
  </w:num>
  <w:num w:numId="3">
    <w:abstractNumId w:val="15"/>
  </w:num>
  <w:num w:numId="4">
    <w:abstractNumId w:val="12"/>
  </w:num>
  <w:num w:numId="5">
    <w:abstractNumId w:val="5"/>
  </w:num>
  <w:num w:numId="6">
    <w:abstractNumId w:val="3"/>
  </w:num>
  <w:num w:numId="7">
    <w:abstractNumId w:val="7"/>
  </w:num>
  <w:num w:numId="8">
    <w:abstractNumId w:val="2"/>
  </w:num>
  <w:num w:numId="9">
    <w:abstractNumId w:val="4"/>
  </w:num>
  <w:num w:numId="10">
    <w:abstractNumId w:val="13"/>
  </w:num>
  <w:num w:numId="11">
    <w:abstractNumId w:val="0"/>
  </w:num>
  <w:num w:numId="12">
    <w:abstractNumId w:val="14"/>
  </w:num>
  <w:num w:numId="13">
    <w:abstractNumId w:val="8"/>
  </w:num>
  <w:num w:numId="14">
    <w:abstractNumId w:val="1"/>
  </w:num>
  <w:num w:numId="15">
    <w:abstractNumId w:val="6"/>
  </w:num>
  <w:num w:numId="16">
    <w:abstractNumId w:val="10"/>
  </w:num>
  <w:num w:numId="17">
    <w:abstractNumId w:val="11"/>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zODZlNWY5M2I2YTk2M2RmODQ3NDYyMDk0OTZiM2QifQ=="/>
  </w:docVars>
  <w:rsids>
    <w:rsidRoot w:val="00172A27"/>
    <w:rsid w:val="00000B67"/>
    <w:rsid w:val="000024BD"/>
    <w:rsid w:val="00006030"/>
    <w:rsid w:val="00010CCC"/>
    <w:rsid w:val="0001100B"/>
    <w:rsid w:val="00011095"/>
    <w:rsid w:val="000122F6"/>
    <w:rsid w:val="0001357D"/>
    <w:rsid w:val="0001515D"/>
    <w:rsid w:val="000175D2"/>
    <w:rsid w:val="0001780C"/>
    <w:rsid w:val="000209A4"/>
    <w:rsid w:val="00025197"/>
    <w:rsid w:val="0002785B"/>
    <w:rsid w:val="000323FF"/>
    <w:rsid w:val="000330DD"/>
    <w:rsid w:val="00033A47"/>
    <w:rsid w:val="00035877"/>
    <w:rsid w:val="00041540"/>
    <w:rsid w:val="000419B4"/>
    <w:rsid w:val="00043220"/>
    <w:rsid w:val="000500E1"/>
    <w:rsid w:val="000510E6"/>
    <w:rsid w:val="00052DEF"/>
    <w:rsid w:val="0005479A"/>
    <w:rsid w:val="00055612"/>
    <w:rsid w:val="00056A7F"/>
    <w:rsid w:val="000571A1"/>
    <w:rsid w:val="000610FE"/>
    <w:rsid w:val="0006138B"/>
    <w:rsid w:val="00061DFE"/>
    <w:rsid w:val="00062A53"/>
    <w:rsid w:val="00063A3F"/>
    <w:rsid w:val="000653D4"/>
    <w:rsid w:val="0007074F"/>
    <w:rsid w:val="000800A6"/>
    <w:rsid w:val="0008325B"/>
    <w:rsid w:val="00087C8C"/>
    <w:rsid w:val="00093604"/>
    <w:rsid w:val="000A1A29"/>
    <w:rsid w:val="000A22C7"/>
    <w:rsid w:val="000A3936"/>
    <w:rsid w:val="000A3FA2"/>
    <w:rsid w:val="000A4522"/>
    <w:rsid w:val="000B05A7"/>
    <w:rsid w:val="000C32B6"/>
    <w:rsid w:val="000C36F6"/>
    <w:rsid w:val="000D6361"/>
    <w:rsid w:val="000D6F4D"/>
    <w:rsid w:val="000E3D5F"/>
    <w:rsid w:val="000E57D6"/>
    <w:rsid w:val="000E7978"/>
    <w:rsid w:val="000F0192"/>
    <w:rsid w:val="000F6188"/>
    <w:rsid w:val="000F6579"/>
    <w:rsid w:val="000F6D26"/>
    <w:rsid w:val="000F7EAE"/>
    <w:rsid w:val="00100FB9"/>
    <w:rsid w:val="001012E7"/>
    <w:rsid w:val="00102D59"/>
    <w:rsid w:val="00103182"/>
    <w:rsid w:val="001101C9"/>
    <w:rsid w:val="00110EC1"/>
    <w:rsid w:val="00111CAA"/>
    <w:rsid w:val="0011692C"/>
    <w:rsid w:val="00121AC0"/>
    <w:rsid w:val="00124B9B"/>
    <w:rsid w:val="00127261"/>
    <w:rsid w:val="00131492"/>
    <w:rsid w:val="00131C9F"/>
    <w:rsid w:val="0013349C"/>
    <w:rsid w:val="0013481E"/>
    <w:rsid w:val="00140124"/>
    <w:rsid w:val="00140947"/>
    <w:rsid w:val="001531D8"/>
    <w:rsid w:val="00166AC9"/>
    <w:rsid w:val="00172A27"/>
    <w:rsid w:val="00175261"/>
    <w:rsid w:val="00185406"/>
    <w:rsid w:val="00186342"/>
    <w:rsid w:val="00192159"/>
    <w:rsid w:val="001931DC"/>
    <w:rsid w:val="001934BF"/>
    <w:rsid w:val="00194837"/>
    <w:rsid w:val="00195ACB"/>
    <w:rsid w:val="00195E39"/>
    <w:rsid w:val="001A3935"/>
    <w:rsid w:val="001A53B9"/>
    <w:rsid w:val="001B034A"/>
    <w:rsid w:val="001B6C71"/>
    <w:rsid w:val="001C20ED"/>
    <w:rsid w:val="001C2ABA"/>
    <w:rsid w:val="001C3874"/>
    <w:rsid w:val="001C4BDE"/>
    <w:rsid w:val="001C5C28"/>
    <w:rsid w:val="001C7C25"/>
    <w:rsid w:val="001D1673"/>
    <w:rsid w:val="001D5DE5"/>
    <w:rsid w:val="001D72AC"/>
    <w:rsid w:val="001E06EC"/>
    <w:rsid w:val="001E1003"/>
    <w:rsid w:val="001E2F01"/>
    <w:rsid w:val="001E49DD"/>
    <w:rsid w:val="001E60C1"/>
    <w:rsid w:val="001E6A01"/>
    <w:rsid w:val="001E6EDE"/>
    <w:rsid w:val="001E789D"/>
    <w:rsid w:val="001F1F52"/>
    <w:rsid w:val="001F20EA"/>
    <w:rsid w:val="002004A6"/>
    <w:rsid w:val="002018A0"/>
    <w:rsid w:val="00202B1A"/>
    <w:rsid w:val="00202F04"/>
    <w:rsid w:val="0020567B"/>
    <w:rsid w:val="00206DBE"/>
    <w:rsid w:val="002075CA"/>
    <w:rsid w:val="00207A89"/>
    <w:rsid w:val="0021139D"/>
    <w:rsid w:val="002127BD"/>
    <w:rsid w:val="0021338C"/>
    <w:rsid w:val="00214085"/>
    <w:rsid w:val="00214AAB"/>
    <w:rsid w:val="00215D22"/>
    <w:rsid w:val="00217174"/>
    <w:rsid w:val="00217DDF"/>
    <w:rsid w:val="00217EF6"/>
    <w:rsid w:val="0022304B"/>
    <w:rsid w:val="00224D56"/>
    <w:rsid w:val="0022526E"/>
    <w:rsid w:val="00236CE5"/>
    <w:rsid w:val="00245C95"/>
    <w:rsid w:val="00247693"/>
    <w:rsid w:val="0025653A"/>
    <w:rsid w:val="002572C3"/>
    <w:rsid w:val="002621A8"/>
    <w:rsid w:val="00264EE5"/>
    <w:rsid w:val="00266EEA"/>
    <w:rsid w:val="002716EE"/>
    <w:rsid w:val="00273308"/>
    <w:rsid w:val="002744D2"/>
    <w:rsid w:val="00274F56"/>
    <w:rsid w:val="0027517B"/>
    <w:rsid w:val="00277F5F"/>
    <w:rsid w:val="002848C9"/>
    <w:rsid w:val="002923E7"/>
    <w:rsid w:val="00296B31"/>
    <w:rsid w:val="00297318"/>
    <w:rsid w:val="002A07FB"/>
    <w:rsid w:val="002A5029"/>
    <w:rsid w:val="002A5E51"/>
    <w:rsid w:val="002A68B8"/>
    <w:rsid w:val="002B31C1"/>
    <w:rsid w:val="002C0843"/>
    <w:rsid w:val="002C2011"/>
    <w:rsid w:val="002C22E5"/>
    <w:rsid w:val="002C72AA"/>
    <w:rsid w:val="002D1AF4"/>
    <w:rsid w:val="002D230F"/>
    <w:rsid w:val="002D2C63"/>
    <w:rsid w:val="002D6D56"/>
    <w:rsid w:val="002E3A1E"/>
    <w:rsid w:val="002E3C67"/>
    <w:rsid w:val="002F0452"/>
    <w:rsid w:val="002F3CBB"/>
    <w:rsid w:val="002F4F1C"/>
    <w:rsid w:val="0030203A"/>
    <w:rsid w:val="0030473C"/>
    <w:rsid w:val="0030641D"/>
    <w:rsid w:val="00306483"/>
    <w:rsid w:val="00313D7A"/>
    <w:rsid w:val="003206F9"/>
    <w:rsid w:val="00320B38"/>
    <w:rsid w:val="00324C54"/>
    <w:rsid w:val="00325754"/>
    <w:rsid w:val="0032699D"/>
    <w:rsid w:val="00332FA3"/>
    <w:rsid w:val="0033512C"/>
    <w:rsid w:val="00343347"/>
    <w:rsid w:val="00343725"/>
    <w:rsid w:val="003445E7"/>
    <w:rsid w:val="00352964"/>
    <w:rsid w:val="00353336"/>
    <w:rsid w:val="00353D24"/>
    <w:rsid w:val="00360A83"/>
    <w:rsid w:val="003631A8"/>
    <w:rsid w:val="003632F2"/>
    <w:rsid w:val="00365C85"/>
    <w:rsid w:val="00366CAB"/>
    <w:rsid w:val="003674EC"/>
    <w:rsid w:val="00367AF0"/>
    <w:rsid w:val="00370AC3"/>
    <w:rsid w:val="00374973"/>
    <w:rsid w:val="00377969"/>
    <w:rsid w:val="00381529"/>
    <w:rsid w:val="00385438"/>
    <w:rsid w:val="003902C2"/>
    <w:rsid w:val="003902FD"/>
    <w:rsid w:val="0039174C"/>
    <w:rsid w:val="003923BB"/>
    <w:rsid w:val="00392787"/>
    <w:rsid w:val="00394702"/>
    <w:rsid w:val="00397729"/>
    <w:rsid w:val="003A0203"/>
    <w:rsid w:val="003A1BC6"/>
    <w:rsid w:val="003A3D54"/>
    <w:rsid w:val="003B386B"/>
    <w:rsid w:val="003B3A92"/>
    <w:rsid w:val="003B5AE9"/>
    <w:rsid w:val="003B72CB"/>
    <w:rsid w:val="003C0352"/>
    <w:rsid w:val="003C078C"/>
    <w:rsid w:val="003C2632"/>
    <w:rsid w:val="003C4AC9"/>
    <w:rsid w:val="003C4E12"/>
    <w:rsid w:val="003C569F"/>
    <w:rsid w:val="003C6783"/>
    <w:rsid w:val="003C6A83"/>
    <w:rsid w:val="003D18E8"/>
    <w:rsid w:val="003D2695"/>
    <w:rsid w:val="003D2BC4"/>
    <w:rsid w:val="003D2E64"/>
    <w:rsid w:val="003D2F8F"/>
    <w:rsid w:val="003D3F79"/>
    <w:rsid w:val="003D62F0"/>
    <w:rsid w:val="003D7505"/>
    <w:rsid w:val="003D7FD2"/>
    <w:rsid w:val="003E4B91"/>
    <w:rsid w:val="003E646A"/>
    <w:rsid w:val="003F0261"/>
    <w:rsid w:val="003F0C27"/>
    <w:rsid w:val="003F2472"/>
    <w:rsid w:val="003F251B"/>
    <w:rsid w:val="003F34B8"/>
    <w:rsid w:val="003F530F"/>
    <w:rsid w:val="00401DC3"/>
    <w:rsid w:val="00401EFA"/>
    <w:rsid w:val="00404F88"/>
    <w:rsid w:val="0041038C"/>
    <w:rsid w:val="004106E6"/>
    <w:rsid w:val="004110BC"/>
    <w:rsid w:val="00412B9B"/>
    <w:rsid w:val="004131B2"/>
    <w:rsid w:val="004156C3"/>
    <w:rsid w:val="00415BCD"/>
    <w:rsid w:val="00430AB3"/>
    <w:rsid w:val="004333D4"/>
    <w:rsid w:val="00433B49"/>
    <w:rsid w:val="00434851"/>
    <w:rsid w:val="004376B8"/>
    <w:rsid w:val="00437FED"/>
    <w:rsid w:val="00442C30"/>
    <w:rsid w:val="00443AA2"/>
    <w:rsid w:val="004471FF"/>
    <w:rsid w:val="0045161B"/>
    <w:rsid w:val="00457378"/>
    <w:rsid w:val="00460489"/>
    <w:rsid w:val="00461BFA"/>
    <w:rsid w:val="004621AB"/>
    <w:rsid w:val="00466073"/>
    <w:rsid w:val="00466753"/>
    <w:rsid w:val="00474691"/>
    <w:rsid w:val="00482B0B"/>
    <w:rsid w:val="0049550A"/>
    <w:rsid w:val="00495C6F"/>
    <w:rsid w:val="004A0073"/>
    <w:rsid w:val="004B4FA6"/>
    <w:rsid w:val="004B4FC3"/>
    <w:rsid w:val="004B6204"/>
    <w:rsid w:val="004C15F0"/>
    <w:rsid w:val="004C2D1B"/>
    <w:rsid w:val="004D2046"/>
    <w:rsid w:val="004D28C3"/>
    <w:rsid w:val="004D2AD7"/>
    <w:rsid w:val="004D3DC1"/>
    <w:rsid w:val="004D3F26"/>
    <w:rsid w:val="004D4250"/>
    <w:rsid w:val="004E1AC5"/>
    <w:rsid w:val="004E2EF9"/>
    <w:rsid w:val="004E32C6"/>
    <w:rsid w:val="004E5881"/>
    <w:rsid w:val="004E65EA"/>
    <w:rsid w:val="004E7707"/>
    <w:rsid w:val="004F09B8"/>
    <w:rsid w:val="004F11F3"/>
    <w:rsid w:val="004F15BD"/>
    <w:rsid w:val="004F6D38"/>
    <w:rsid w:val="004F7BAA"/>
    <w:rsid w:val="00502CCB"/>
    <w:rsid w:val="00510E38"/>
    <w:rsid w:val="00512023"/>
    <w:rsid w:val="005123C5"/>
    <w:rsid w:val="00514BB1"/>
    <w:rsid w:val="005210BA"/>
    <w:rsid w:val="00521785"/>
    <w:rsid w:val="005235FD"/>
    <w:rsid w:val="00524DED"/>
    <w:rsid w:val="00530B46"/>
    <w:rsid w:val="00531E58"/>
    <w:rsid w:val="00542D06"/>
    <w:rsid w:val="00543E10"/>
    <w:rsid w:val="00544629"/>
    <w:rsid w:val="00546C47"/>
    <w:rsid w:val="005478CD"/>
    <w:rsid w:val="00570830"/>
    <w:rsid w:val="00570E26"/>
    <w:rsid w:val="00576261"/>
    <w:rsid w:val="00576EA7"/>
    <w:rsid w:val="0058233D"/>
    <w:rsid w:val="005865E1"/>
    <w:rsid w:val="005908CC"/>
    <w:rsid w:val="00592C97"/>
    <w:rsid w:val="00592D56"/>
    <w:rsid w:val="0059766A"/>
    <w:rsid w:val="005A6677"/>
    <w:rsid w:val="005B1426"/>
    <w:rsid w:val="005B1A44"/>
    <w:rsid w:val="005B49D6"/>
    <w:rsid w:val="005B5BFA"/>
    <w:rsid w:val="005B7C2F"/>
    <w:rsid w:val="005C197B"/>
    <w:rsid w:val="005C21C9"/>
    <w:rsid w:val="005C305C"/>
    <w:rsid w:val="005C4DD0"/>
    <w:rsid w:val="005C5F7E"/>
    <w:rsid w:val="005D0021"/>
    <w:rsid w:val="005D1BB7"/>
    <w:rsid w:val="005D1D1F"/>
    <w:rsid w:val="005D5D46"/>
    <w:rsid w:val="005E0E9D"/>
    <w:rsid w:val="005E1203"/>
    <w:rsid w:val="005E1D4F"/>
    <w:rsid w:val="005E1F37"/>
    <w:rsid w:val="005E313B"/>
    <w:rsid w:val="005E6697"/>
    <w:rsid w:val="005F00A5"/>
    <w:rsid w:val="005F0515"/>
    <w:rsid w:val="005F266A"/>
    <w:rsid w:val="005F3A61"/>
    <w:rsid w:val="005F4058"/>
    <w:rsid w:val="005F47B7"/>
    <w:rsid w:val="005F5869"/>
    <w:rsid w:val="005F7184"/>
    <w:rsid w:val="00600B19"/>
    <w:rsid w:val="00603AC8"/>
    <w:rsid w:val="006079F8"/>
    <w:rsid w:val="006149AD"/>
    <w:rsid w:val="006202D4"/>
    <w:rsid w:val="00621485"/>
    <w:rsid w:val="00623872"/>
    <w:rsid w:val="00623D8F"/>
    <w:rsid w:val="00625D28"/>
    <w:rsid w:val="006274A7"/>
    <w:rsid w:val="00636AA2"/>
    <w:rsid w:val="00640605"/>
    <w:rsid w:val="00650908"/>
    <w:rsid w:val="00650DE0"/>
    <w:rsid w:val="006530EF"/>
    <w:rsid w:val="0065388E"/>
    <w:rsid w:val="006557D3"/>
    <w:rsid w:val="006561AE"/>
    <w:rsid w:val="00661EFC"/>
    <w:rsid w:val="0066470B"/>
    <w:rsid w:val="00666DCF"/>
    <w:rsid w:val="00674CB9"/>
    <w:rsid w:val="00676DF8"/>
    <w:rsid w:val="0068397A"/>
    <w:rsid w:val="0068595F"/>
    <w:rsid w:val="006878AA"/>
    <w:rsid w:val="00687F72"/>
    <w:rsid w:val="006915DC"/>
    <w:rsid w:val="006938C0"/>
    <w:rsid w:val="00693CBD"/>
    <w:rsid w:val="006944F5"/>
    <w:rsid w:val="00694745"/>
    <w:rsid w:val="00694918"/>
    <w:rsid w:val="00696E14"/>
    <w:rsid w:val="0069745F"/>
    <w:rsid w:val="006977B9"/>
    <w:rsid w:val="006A2465"/>
    <w:rsid w:val="006A25F4"/>
    <w:rsid w:val="006A3D33"/>
    <w:rsid w:val="006A7562"/>
    <w:rsid w:val="006A7995"/>
    <w:rsid w:val="006B1CA3"/>
    <w:rsid w:val="006B51C4"/>
    <w:rsid w:val="006C017E"/>
    <w:rsid w:val="006C25D8"/>
    <w:rsid w:val="006D1304"/>
    <w:rsid w:val="006D2F53"/>
    <w:rsid w:val="006D3D51"/>
    <w:rsid w:val="006D5403"/>
    <w:rsid w:val="006E01F2"/>
    <w:rsid w:val="006E2BB5"/>
    <w:rsid w:val="006E3804"/>
    <w:rsid w:val="006E6483"/>
    <w:rsid w:val="006F091D"/>
    <w:rsid w:val="00700243"/>
    <w:rsid w:val="00702B2D"/>
    <w:rsid w:val="00704EC2"/>
    <w:rsid w:val="007104F3"/>
    <w:rsid w:val="007107B3"/>
    <w:rsid w:val="00712641"/>
    <w:rsid w:val="00712E09"/>
    <w:rsid w:val="00713812"/>
    <w:rsid w:val="00714CDB"/>
    <w:rsid w:val="00724A5A"/>
    <w:rsid w:val="007267F4"/>
    <w:rsid w:val="00727D9B"/>
    <w:rsid w:val="00732C95"/>
    <w:rsid w:val="007337FA"/>
    <w:rsid w:val="00740816"/>
    <w:rsid w:val="007442A4"/>
    <w:rsid w:val="00746030"/>
    <w:rsid w:val="00747C95"/>
    <w:rsid w:val="00752747"/>
    <w:rsid w:val="00753078"/>
    <w:rsid w:val="00756C31"/>
    <w:rsid w:val="00757FAA"/>
    <w:rsid w:val="007600BB"/>
    <w:rsid w:val="007607D9"/>
    <w:rsid w:val="0076097B"/>
    <w:rsid w:val="00761B2B"/>
    <w:rsid w:val="00763A77"/>
    <w:rsid w:val="007678DD"/>
    <w:rsid w:val="0077009B"/>
    <w:rsid w:val="00772E9E"/>
    <w:rsid w:val="00773129"/>
    <w:rsid w:val="00773310"/>
    <w:rsid w:val="00774C7A"/>
    <w:rsid w:val="00774E99"/>
    <w:rsid w:val="00776069"/>
    <w:rsid w:val="00776440"/>
    <w:rsid w:val="00776C20"/>
    <w:rsid w:val="00781514"/>
    <w:rsid w:val="007827FB"/>
    <w:rsid w:val="007842C9"/>
    <w:rsid w:val="00790315"/>
    <w:rsid w:val="00790641"/>
    <w:rsid w:val="007911D9"/>
    <w:rsid w:val="00794EED"/>
    <w:rsid w:val="007A0343"/>
    <w:rsid w:val="007A29D4"/>
    <w:rsid w:val="007A3321"/>
    <w:rsid w:val="007A4B48"/>
    <w:rsid w:val="007A6FE5"/>
    <w:rsid w:val="007A7AB7"/>
    <w:rsid w:val="007B3A96"/>
    <w:rsid w:val="007C0D74"/>
    <w:rsid w:val="007C4B7C"/>
    <w:rsid w:val="007D059F"/>
    <w:rsid w:val="007D2FC7"/>
    <w:rsid w:val="007D66AF"/>
    <w:rsid w:val="007E3D4B"/>
    <w:rsid w:val="007E46CA"/>
    <w:rsid w:val="007E4D23"/>
    <w:rsid w:val="007E4EB5"/>
    <w:rsid w:val="007E5E77"/>
    <w:rsid w:val="007E6411"/>
    <w:rsid w:val="007F0AC1"/>
    <w:rsid w:val="007F384E"/>
    <w:rsid w:val="007F7619"/>
    <w:rsid w:val="00803AAC"/>
    <w:rsid w:val="00805930"/>
    <w:rsid w:val="0081208F"/>
    <w:rsid w:val="0081227F"/>
    <w:rsid w:val="00812E2D"/>
    <w:rsid w:val="008171E8"/>
    <w:rsid w:val="008201E9"/>
    <w:rsid w:val="00821B4E"/>
    <w:rsid w:val="00822AC2"/>
    <w:rsid w:val="00824C6F"/>
    <w:rsid w:val="00830063"/>
    <w:rsid w:val="00836AE1"/>
    <w:rsid w:val="00845577"/>
    <w:rsid w:val="00851F1F"/>
    <w:rsid w:val="008543F7"/>
    <w:rsid w:val="008603FD"/>
    <w:rsid w:val="008609CA"/>
    <w:rsid w:val="008611BC"/>
    <w:rsid w:val="00863010"/>
    <w:rsid w:val="008670F1"/>
    <w:rsid w:val="008675E0"/>
    <w:rsid w:val="00871E4B"/>
    <w:rsid w:val="00873EA1"/>
    <w:rsid w:val="00874797"/>
    <w:rsid w:val="00882DAA"/>
    <w:rsid w:val="00893432"/>
    <w:rsid w:val="008A0E66"/>
    <w:rsid w:val="008A615E"/>
    <w:rsid w:val="008A6D19"/>
    <w:rsid w:val="008B1564"/>
    <w:rsid w:val="008B4DA7"/>
    <w:rsid w:val="008B5058"/>
    <w:rsid w:val="008B5109"/>
    <w:rsid w:val="008B67D2"/>
    <w:rsid w:val="008B73C4"/>
    <w:rsid w:val="008B76C7"/>
    <w:rsid w:val="008C0D2D"/>
    <w:rsid w:val="008C43AE"/>
    <w:rsid w:val="008C5279"/>
    <w:rsid w:val="008C70DB"/>
    <w:rsid w:val="008D4CB5"/>
    <w:rsid w:val="008D657C"/>
    <w:rsid w:val="008D6E4A"/>
    <w:rsid w:val="008E03AA"/>
    <w:rsid w:val="008E0CBB"/>
    <w:rsid w:val="008E271A"/>
    <w:rsid w:val="008E53EB"/>
    <w:rsid w:val="008F1614"/>
    <w:rsid w:val="008F3054"/>
    <w:rsid w:val="00902505"/>
    <w:rsid w:val="00906256"/>
    <w:rsid w:val="00913561"/>
    <w:rsid w:val="00916032"/>
    <w:rsid w:val="0092328F"/>
    <w:rsid w:val="009263B2"/>
    <w:rsid w:val="00930508"/>
    <w:rsid w:val="00931AE6"/>
    <w:rsid w:val="0093381D"/>
    <w:rsid w:val="00933D66"/>
    <w:rsid w:val="00935B2D"/>
    <w:rsid w:val="009367E5"/>
    <w:rsid w:val="00937103"/>
    <w:rsid w:val="0094280A"/>
    <w:rsid w:val="0094544E"/>
    <w:rsid w:val="009468FE"/>
    <w:rsid w:val="0095027B"/>
    <w:rsid w:val="00950438"/>
    <w:rsid w:val="00955AD3"/>
    <w:rsid w:val="00964C9F"/>
    <w:rsid w:val="00965C80"/>
    <w:rsid w:val="009806DF"/>
    <w:rsid w:val="009838FF"/>
    <w:rsid w:val="00985DE6"/>
    <w:rsid w:val="00987A6E"/>
    <w:rsid w:val="009900D2"/>
    <w:rsid w:val="0099127A"/>
    <w:rsid w:val="00994717"/>
    <w:rsid w:val="0099610F"/>
    <w:rsid w:val="00996310"/>
    <w:rsid w:val="00996784"/>
    <w:rsid w:val="009A2463"/>
    <w:rsid w:val="009A2F82"/>
    <w:rsid w:val="009B0456"/>
    <w:rsid w:val="009B0C04"/>
    <w:rsid w:val="009B2865"/>
    <w:rsid w:val="009C22CF"/>
    <w:rsid w:val="009C6C05"/>
    <w:rsid w:val="009C6F4E"/>
    <w:rsid w:val="009D0940"/>
    <w:rsid w:val="009D182A"/>
    <w:rsid w:val="009D2B84"/>
    <w:rsid w:val="009D4365"/>
    <w:rsid w:val="009D4716"/>
    <w:rsid w:val="009D532F"/>
    <w:rsid w:val="009D5B3D"/>
    <w:rsid w:val="009E19A3"/>
    <w:rsid w:val="009E34DD"/>
    <w:rsid w:val="009E4343"/>
    <w:rsid w:val="009E4F4D"/>
    <w:rsid w:val="009E5419"/>
    <w:rsid w:val="009E6F9D"/>
    <w:rsid w:val="00A028A1"/>
    <w:rsid w:val="00A2211E"/>
    <w:rsid w:val="00A260E6"/>
    <w:rsid w:val="00A32079"/>
    <w:rsid w:val="00A364A6"/>
    <w:rsid w:val="00A41833"/>
    <w:rsid w:val="00A4212D"/>
    <w:rsid w:val="00A455E1"/>
    <w:rsid w:val="00A47E6E"/>
    <w:rsid w:val="00A505DB"/>
    <w:rsid w:val="00A50671"/>
    <w:rsid w:val="00A53261"/>
    <w:rsid w:val="00A53802"/>
    <w:rsid w:val="00A621BE"/>
    <w:rsid w:val="00A66C31"/>
    <w:rsid w:val="00A7288B"/>
    <w:rsid w:val="00A72EF5"/>
    <w:rsid w:val="00A731E9"/>
    <w:rsid w:val="00A737A1"/>
    <w:rsid w:val="00A81E62"/>
    <w:rsid w:val="00A826F7"/>
    <w:rsid w:val="00A82ACB"/>
    <w:rsid w:val="00A8660B"/>
    <w:rsid w:val="00A91F9E"/>
    <w:rsid w:val="00A93C2C"/>
    <w:rsid w:val="00A93D38"/>
    <w:rsid w:val="00A94205"/>
    <w:rsid w:val="00A949F7"/>
    <w:rsid w:val="00A971D3"/>
    <w:rsid w:val="00A97902"/>
    <w:rsid w:val="00A97F66"/>
    <w:rsid w:val="00AA3560"/>
    <w:rsid w:val="00AA3759"/>
    <w:rsid w:val="00AA6702"/>
    <w:rsid w:val="00AB2537"/>
    <w:rsid w:val="00AB7BD7"/>
    <w:rsid w:val="00AC0079"/>
    <w:rsid w:val="00AC1923"/>
    <w:rsid w:val="00AC6073"/>
    <w:rsid w:val="00AD0756"/>
    <w:rsid w:val="00AD17C0"/>
    <w:rsid w:val="00AD2713"/>
    <w:rsid w:val="00AE0C0B"/>
    <w:rsid w:val="00AF15A3"/>
    <w:rsid w:val="00AF2BF6"/>
    <w:rsid w:val="00AF44C6"/>
    <w:rsid w:val="00AF6A54"/>
    <w:rsid w:val="00B00086"/>
    <w:rsid w:val="00B01DA6"/>
    <w:rsid w:val="00B0457C"/>
    <w:rsid w:val="00B05912"/>
    <w:rsid w:val="00B06349"/>
    <w:rsid w:val="00B10AB1"/>
    <w:rsid w:val="00B11CA6"/>
    <w:rsid w:val="00B124B3"/>
    <w:rsid w:val="00B133D8"/>
    <w:rsid w:val="00B15AE1"/>
    <w:rsid w:val="00B174BA"/>
    <w:rsid w:val="00B20779"/>
    <w:rsid w:val="00B20A99"/>
    <w:rsid w:val="00B216EA"/>
    <w:rsid w:val="00B21D1E"/>
    <w:rsid w:val="00B25DAA"/>
    <w:rsid w:val="00B3206A"/>
    <w:rsid w:val="00B37715"/>
    <w:rsid w:val="00B414D4"/>
    <w:rsid w:val="00B42CFD"/>
    <w:rsid w:val="00B441D8"/>
    <w:rsid w:val="00B44352"/>
    <w:rsid w:val="00B50042"/>
    <w:rsid w:val="00B52227"/>
    <w:rsid w:val="00B5255C"/>
    <w:rsid w:val="00B52B84"/>
    <w:rsid w:val="00B53742"/>
    <w:rsid w:val="00B53C5A"/>
    <w:rsid w:val="00B55D4D"/>
    <w:rsid w:val="00B56D7B"/>
    <w:rsid w:val="00B601E2"/>
    <w:rsid w:val="00B60B31"/>
    <w:rsid w:val="00B60C13"/>
    <w:rsid w:val="00B63BB4"/>
    <w:rsid w:val="00B64361"/>
    <w:rsid w:val="00B654A6"/>
    <w:rsid w:val="00B65EA6"/>
    <w:rsid w:val="00B72A1C"/>
    <w:rsid w:val="00B7306C"/>
    <w:rsid w:val="00B73CF5"/>
    <w:rsid w:val="00B75A0A"/>
    <w:rsid w:val="00B75FBA"/>
    <w:rsid w:val="00B8111F"/>
    <w:rsid w:val="00B82C9E"/>
    <w:rsid w:val="00B83693"/>
    <w:rsid w:val="00B90EE6"/>
    <w:rsid w:val="00B9213D"/>
    <w:rsid w:val="00B92338"/>
    <w:rsid w:val="00B92D90"/>
    <w:rsid w:val="00B94D47"/>
    <w:rsid w:val="00BA0471"/>
    <w:rsid w:val="00BA0BD4"/>
    <w:rsid w:val="00BA34BB"/>
    <w:rsid w:val="00BA6133"/>
    <w:rsid w:val="00BA6379"/>
    <w:rsid w:val="00BB38A9"/>
    <w:rsid w:val="00BC0CE8"/>
    <w:rsid w:val="00BC3670"/>
    <w:rsid w:val="00BC4309"/>
    <w:rsid w:val="00BC7D61"/>
    <w:rsid w:val="00BD158A"/>
    <w:rsid w:val="00BD28A8"/>
    <w:rsid w:val="00BD2B58"/>
    <w:rsid w:val="00BD2ED3"/>
    <w:rsid w:val="00BD338B"/>
    <w:rsid w:val="00BD7233"/>
    <w:rsid w:val="00BD7375"/>
    <w:rsid w:val="00BE20FF"/>
    <w:rsid w:val="00BE3577"/>
    <w:rsid w:val="00BE5D8A"/>
    <w:rsid w:val="00BE7001"/>
    <w:rsid w:val="00BF2A91"/>
    <w:rsid w:val="00C017B9"/>
    <w:rsid w:val="00C02E32"/>
    <w:rsid w:val="00C05604"/>
    <w:rsid w:val="00C05B9E"/>
    <w:rsid w:val="00C100F6"/>
    <w:rsid w:val="00C207A3"/>
    <w:rsid w:val="00C2287D"/>
    <w:rsid w:val="00C231EC"/>
    <w:rsid w:val="00C24CCE"/>
    <w:rsid w:val="00C30816"/>
    <w:rsid w:val="00C33014"/>
    <w:rsid w:val="00C345B1"/>
    <w:rsid w:val="00C34A11"/>
    <w:rsid w:val="00C35FE1"/>
    <w:rsid w:val="00C42693"/>
    <w:rsid w:val="00C42764"/>
    <w:rsid w:val="00C441E6"/>
    <w:rsid w:val="00C44436"/>
    <w:rsid w:val="00C4659D"/>
    <w:rsid w:val="00C544C6"/>
    <w:rsid w:val="00C549F9"/>
    <w:rsid w:val="00C55589"/>
    <w:rsid w:val="00C560C8"/>
    <w:rsid w:val="00C57A7F"/>
    <w:rsid w:val="00C61DEE"/>
    <w:rsid w:val="00C64432"/>
    <w:rsid w:val="00C6657D"/>
    <w:rsid w:val="00C73EEB"/>
    <w:rsid w:val="00C74063"/>
    <w:rsid w:val="00C77B95"/>
    <w:rsid w:val="00C81A55"/>
    <w:rsid w:val="00C8639A"/>
    <w:rsid w:val="00C90B32"/>
    <w:rsid w:val="00CA08AB"/>
    <w:rsid w:val="00CA3277"/>
    <w:rsid w:val="00CA4F80"/>
    <w:rsid w:val="00CB2632"/>
    <w:rsid w:val="00CB3D82"/>
    <w:rsid w:val="00CB4CEF"/>
    <w:rsid w:val="00CB6CEA"/>
    <w:rsid w:val="00CC06E7"/>
    <w:rsid w:val="00CC3BD4"/>
    <w:rsid w:val="00CC45D6"/>
    <w:rsid w:val="00CD10F7"/>
    <w:rsid w:val="00CD10FB"/>
    <w:rsid w:val="00CD2CA3"/>
    <w:rsid w:val="00CD3EB3"/>
    <w:rsid w:val="00CD64DD"/>
    <w:rsid w:val="00CE073B"/>
    <w:rsid w:val="00CE0817"/>
    <w:rsid w:val="00CE0BE2"/>
    <w:rsid w:val="00CE53DD"/>
    <w:rsid w:val="00CE626E"/>
    <w:rsid w:val="00CE68A1"/>
    <w:rsid w:val="00CF0706"/>
    <w:rsid w:val="00CF514F"/>
    <w:rsid w:val="00CF6F42"/>
    <w:rsid w:val="00CF75C2"/>
    <w:rsid w:val="00D0700F"/>
    <w:rsid w:val="00D12583"/>
    <w:rsid w:val="00D24BAF"/>
    <w:rsid w:val="00D302AC"/>
    <w:rsid w:val="00D3418E"/>
    <w:rsid w:val="00D34945"/>
    <w:rsid w:val="00D34AFE"/>
    <w:rsid w:val="00D406AD"/>
    <w:rsid w:val="00D40BBE"/>
    <w:rsid w:val="00D41E5D"/>
    <w:rsid w:val="00D42121"/>
    <w:rsid w:val="00D422AE"/>
    <w:rsid w:val="00D429C1"/>
    <w:rsid w:val="00D456EB"/>
    <w:rsid w:val="00D45A9C"/>
    <w:rsid w:val="00D47F98"/>
    <w:rsid w:val="00D53018"/>
    <w:rsid w:val="00D54843"/>
    <w:rsid w:val="00D55581"/>
    <w:rsid w:val="00D57D62"/>
    <w:rsid w:val="00D60352"/>
    <w:rsid w:val="00D60616"/>
    <w:rsid w:val="00D63328"/>
    <w:rsid w:val="00D65E42"/>
    <w:rsid w:val="00D669DE"/>
    <w:rsid w:val="00D71EFC"/>
    <w:rsid w:val="00D728B9"/>
    <w:rsid w:val="00D73174"/>
    <w:rsid w:val="00D73A64"/>
    <w:rsid w:val="00D761FC"/>
    <w:rsid w:val="00D77DC5"/>
    <w:rsid w:val="00D848EF"/>
    <w:rsid w:val="00D875C8"/>
    <w:rsid w:val="00D94834"/>
    <w:rsid w:val="00D94F60"/>
    <w:rsid w:val="00D96CD8"/>
    <w:rsid w:val="00D973B6"/>
    <w:rsid w:val="00DA3582"/>
    <w:rsid w:val="00DA46BA"/>
    <w:rsid w:val="00DB0E68"/>
    <w:rsid w:val="00DB1818"/>
    <w:rsid w:val="00DB4137"/>
    <w:rsid w:val="00DB5AA1"/>
    <w:rsid w:val="00DC1094"/>
    <w:rsid w:val="00DC3A98"/>
    <w:rsid w:val="00DC436C"/>
    <w:rsid w:val="00DC475D"/>
    <w:rsid w:val="00DC6EEC"/>
    <w:rsid w:val="00DD4948"/>
    <w:rsid w:val="00DD6E71"/>
    <w:rsid w:val="00DD7458"/>
    <w:rsid w:val="00DE7270"/>
    <w:rsid w:val="00DF0172"/>
    <w:rsid w:val="00DF2874"/>
    <w:rsid w:val="00E04FAC"/>
    <w:rsid w:val="00E06817"/>
    <w:rsid w:val="00E118D1"/>
    <w:rsid w:val="00E12434"/>
    <w:rsid w:val="00E212C2"/>
    <w:rsid w:val="00E221F4"/>
    <w:rsid w:val="00E23B2C"/>
    <w:rsid w:val="00E25AB3"/>
    <w:rsid w:val="00E26C0D"/>
    <w:rsid w:val="00E30796"/>
    <w:rsid w:val="00E30D8E"/>
    <w:rsid w:val="00E32FD4"/>
    <w:rsid w:val="00E33BE5"/>
    <w:rsid w:val="00E34221"/>
    <w:rsid w:val="00E36D47"/>
    <w:rsid w:val="00E37618"/>
    <w:rsid w:val="00E40578"/>
    <w:rsid w:val="00E43C1F"/>
    <w:rsid w:val="00E525C7"/>
    <w:rsid w:val="00E56A84"/>
    <w:rsid w:val="00E6667C"/>
    <w:rsid w:val="00E67942"/>
    <w:rsid w:val="00E709E4"/>
    <w:rsid w:val="00E749CA"/>
    <w:rsid w:val="00E75F69"/>
    <w:rsid w:val="00E77E92"/>
    <w:rsid w:val="00E865A2"/>
    <w:rsid w:val="00E875DB"/>
    <w:rsid w:val="00E93711"/>
    <w:rsid w:val="00E93DDE"/>
    <w:rsid w:val="00E93F32"/>
    <w:rsid w:val="00E95797"/>
    <w:rsid w:val="00E96459"/>
    <w:rsid w:val="00EA1B12"/>
    <w:rsid w:val="00EA56C9"/>
    <w:rsid w:val="00EA58CF"/>
    <w:rsid w:val="00EA6041"/>
    <w:rsid w:val="00EB23C0"/>
    <w:rsid w:val="00EB718A"/>
    <w:rsid w:val="00EC318C"/>
    <w:rsid w:val="00EC3532"/>
    <w:rsid w:val="00EC47D5"/>
    <w:rsid w:val="00ED0242"/>
    <w:rsid w:val="00ED2370"/>
    <w:rsid w:val="00ED4265"/>
    <w:rsid w:val="00ED69D0"/>
    <w:rsid w:val="00EE007D"/>
    <w:rsid w:val="00EE49B5"/>
    <w:rsid w:val="00EE4F5F"/>
    <w:rsid w:val="00EE5494"/>
    <w:rsid w:val="00EE6B86"/>
    <w:rsid w:val="00EF40BD"/>
    <w:rsid w:val="00EF511C"/>
    <w:rsid w:val="00EF5C76"/>
    <w:rsid w:val="00F031BC"/>
    <w:rsid w:val="00F1095C"/>
    <w:rsid w:val="00F115CB"/>
    <w:rsid w:val="00F12927"/>
    <w:rsid w:val="00F13664"/>
    <w:rsid w:val="00F16420"/>
    <w:rsid w:val="00F16FD5"/>
    <w:rsid w:val="00F208A0"/>
    <w:rsid w:val="00F273B4"/>
    <w:rsid w:val="00F3398E"/>
    <w:rsid w:val="00F33EDE"/>
    <w:rsid w:val="00F35137"/>
    <w:rsid w:val="00F43782"/>
    <w:rsid w:val="00F53902"/>
    <w:rsid w:val="00F5691D"/>
    <w:rsid w:val="00F5713A"/>
    <w:rsid w:val="00F57265"/>
    <w:rsid w:val="00F625CC"/>
    <w:rsid w:val="00F63CEF"/>
    <w:rsid w:val="00F668A7"/>
    <w:rsid w:val="00F72744"/>
    <w:rsid w:val="00F74D2C"/>
    <w:rsid w:val="00F77680"/>
    <w:rsid w:val="00F829F9"/>
    <w:rsid w:val="00F82B54"/>
    <w:rsid w:val="00F835B4"/>
    <w:rsid w:val="00F861E1"/>
    <w:rsid w:val="00F8633C"/>
    <w:rsid w:val="00F879D5"/>
    <w:rsid w:val="00F90088"/>
    <w:rsid w:val="00F92A46"/>
    <w:rsid w:val="00F95364"/>
    <w:rsid w:val="00FA0905"/>
    <w:rsid w:val="00FA3618"/>
    <w:rsid w:val="00FA3BEC"/>
    <w:rsid w:val="00FA538F"/>
    <w:rsid w:val="00FA7440"/>
    <w:rsid w:val="00FB0270"/>
    <w:rsid w:val="00FB0B48"/>
    <w:rsid w:val="00FB46E3"/>
    <w:rsid w:val="00FB5851"/>
    <w:rsid w:val="00FB587E"/>
    <w:rsid w:val="00FC0A48"/>
    <w:rsid w:val="00FC1C6E"/>
    <w:rsid w:val="00FC1E60"/>
    <w:rsid w:val="00FC3526"/>
    <w:rsid w:val="00FC4282"/>
    <w:rsid w:val="00FC7959"/>
    <w:rsid w:val="00FD01FC"/>
    <w:rsid w:val="00FD0D74"/>
    <w:rsid w:val="00FD4527"/>
    <w:rsid w:val="00FE37F1"/>
    <w:rsid w:val="00FF4E8B"/>
    <w:rsid w:val="00FF553F"/>
    <w:rsid w:val="0F6145C5"/>
    <w:rsid w:val="24776E1F"/>
    <w:rsid w:val="2CA01DBB"/>
    <w:rsid w:val="31555942"/>
    <w:rsid w:val="31BB68D6"/>
    <w:rsid w:val="3E1B1962"/>
    <w:rsid w:val="44EF2E74"/>
    <w:rsid w:val="48092611"/>
    <w:rsid w:val="4B1C5E64"/>
    <w:rsid w:val="55750F3D"/>
    <w:rsid w:val="682302CC"/>
    <w:rsid w:val="69A9045F"/>
    <w:rsid w:val="6AFA6B87"/>
    <w:rsid w:val="6EAC15D2"/>
    <w:rsid w:val="6F724E09"/>
    <w:rsid w:val="749B3182"/>
    <w:rsid w:val="7E255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0" w:semiHidden="0" w:name="toc 5"/>
    <w:lsdException w:qFormat="1" w:unhideWhenUsed="0" w:uiPriority="9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99"/>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3">
    <w:name w:val="heading 2"/>
    <w:basedOn w:val="1"/>
    <w:next w:val="1"/>
    <w:link w:val="155"/>
    <w:qFormat/>
    <w:uiPriority w:val="99"/>
    <w:pPr>
      <w:keepNext/>
      <w:keepLines/>
      <w:numPr>
        <w:ilvl w:val="1"/>
        <w:numId w:val="1"/>
      </w:numPr>
      <w:topLinePunct/>
      <w:outlineLvl w:val="1"/>
    </w:pPr>
    <w:rPr>
      <w:rFonts w:eastAsia="黑体"/>
      <w:bCs/>
      <w:szCs w:val="21"/>
    </w:rPr>
  </w:style>
  <w:style w:type="paragraph" w:styleId="4">
    <w:name w:val="heading 3"/>
    <w:basedOn w:val="1"/>
    <w:next w:val="1"/>
    <w:link w:val="119"/>
    <w:qFormat/>
    <w:uiPriority w:val="99"/>
    <w:pPr>
      <w:keepNext/>
      <w:keepLines/>
      <w:numPr>
        <w:ilvl w:val="2"/>
        <w:numId w:val="1"/>
      </w:numPr>
      <w:spacing w:line="960" w:lineRule="auto"/>
      <w:jc w:val="center"/>
      <w:outlineLvl w:val="2"/>
    </w:pPr>
    <w:rPr>
      <w:rFonts w:eastAsia="黑体"/>
      <w:bCs/>
      <w:sz w:val="28"/>
      <w:szCs w:val="28"/>
    </w:rPr>
  </w:style>
  <w:style w:type="paragraph" w:styleId="5">
    <w:name w:val="heading 4"/>
    <w:basedOn w:val="1"/>
    <w:next w:val="1"/>
    <w:link w:val="133"/>
    <w:qFormat/>
    <w:uiPriority w:val="99"/>
    <w:pPr>
      <w:keepNext/>
      <w:keepLines/>
      <w:numPr>
        <w:ilvl w:val="3"/>
        <w:numId w:val="1"/>
      </w:numPr>
      <w:spacing w:before="280" w:after="290" w:line="372" w:lineRule="auto"/>
      <w:outlineLvl w:val="3"/>
    </w:pPr>
    <w:rPr>
      <w:rFonts w:ascii="Arial" w:hAnsi="Arial" w:eastAsia="黑体"/>
      <w:b/>
      <w:bCs/>
      <w:sz w:val="28"/>
      <w:szCs w:val="28"/>
    </w:rPr>
  </w:style>
  <w:style w:type="paragraph" w:styleId="6">
    <w:name w:val="heading 5"/>
    <w:basedOn w:val="1"/>
    <w:next w:val="1"/>
    <w:link w:val="162"/>
    <w:qFormat/>
    <w:uiPriority w:val="0"/>
    <w:pPr>
      <w:keepNext/>
      <w:keepLines/>
      <w:numPr>
        <w:ilvl w:val="4"/>
        <w:numId w:val="1"/>
      </w:numPr>
      <w:spacing w:line="360" w:lineRule="auto"/>
      <w:outlineLvl w:val="4"/>
    </w:pPr>
    <w:rPr>
      <w:rFonts w:eastAsia="黑体"/>
      <w:bCs/>
      <w:szCs w:val="28"/>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bCs/>
      <w:sz w:val="24"/>
    </w:rPr>
  </w:style>
  <w:style w:type="paragraph" w:styleId="8">
    <w:name w:val="heading 7"/>
    <w:basedOn w:val="1"/>
    <w:next w:val="1"/>
    <w:qFormat/>
    <w:uiPriority w:val="0"/>
    <w:pPr>
      <w:keepNext/>
      <w:keepLines/>
      <w:numPr>
        <w:ilvl w:val="6"/>
        <w:numId w:val="1"/>
      </w:numPr>
      <w:spacing w:before="240" w:after="64" w:line="317" w:lineRule="auto"/>
      <w:outlineLvl w:val="6"/>
    </w:pPr>
    <w:rPr>
      <w:b/>
      <w:bCs/>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szCs w:val="21"/>
    </w:rPr>
  </w:style>
  <w:style w:type="character" w:default="1" w:styleId="85">
    <w:name w:val="Default Paragraph Font"/>
    <w:semiHidden/>
    <w:unhideWhenUsed/>
    <w:qFormat/>
    <w:uiPriority w:val="1"/>
  </w:style>
  <w:style w:type="table" w:default="1" w:styleId="8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szCs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numPr>
        <w:ilvl w:val="0"/>
        <w:numId w:val="4"/>
      </w:numPr>
    </w:pPr>
  </w:style>
  <w:style w:type="paragraph" w:styleId="19">
    <w:name w:val="Normal Indent"/>
    <w:basedOn w:val="1"/>
    <w:link w:val="110"/>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5"/>
      </w:numPr>
    </w:pPr>
  </w:style>
  <w:style w:type="paragraph" w:styleId="23">
    <w:name w:val="envelope address"/>
    <w:basedOn w:val="1"/>
    <w:qFormat/>
    <w:uiPriority w:val="0"/>
    <w:pPr>
      <w:snapToGrid w:val="0"/>
      <w:ind w:left="2880"/>
    </w:pPr>
    <w:rPr>
      <w:rFonts w:ascii="Arial" w:hAnsi="Arial" w:cs="Arial"/>
      <w:sz w:val="24"/>
    </w:rPr>
  </w:style>
  <w:style w:type="paragraph" w:styleId="24">
    <w:name w:val="Document Map"/>
    <w:basedOn w:val="1"/>
    <w:link w:val="132"/>
    <w:qFormat/>
    <w:uiPriority w:val="99"/>
    <w:pPr>
      <w:shd w:val="clear" w:color="auto" w:fill="000080"/>
    </w:pPr>
  </w:style>
  <w:style w:type="paragraph" w:styleId="25">
    <w:name w:val="annotation text"/>
    <w:basedOn w:val="1"/>
    <w:link w:val="10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szCs w:val="16"/>
    </w:rPr>
  </w:style>
  <w:style w:type="paragraph" w:styleId="29">
    <w:name w:val="Closing"/>
    <w:basedOn w:val="1"/>
    <w:qFormat/>
    <w:uiPriority w:val="0"/>
    <w:pPr>
      <w:ind w:left="4320"/>
    </w:pPr>
  </w:style>
  <w:style w:type="paragraph" w:styleId="30">
    <w:name w:val="List Bullet 3"/>
    <w:basedOn w:val="1"/>
    <w:qFormat/>
    <w:uiPriority w:val="0"/>
    <w:pPr>
      <w:numPr>
        <w:ilvl w:val="0"/>
        <w:numId w:val="6"/>
      </w:numPr>
    </w:pPr>
  </w:style>
  <w:style w:type="paragraph" w:styleId="31">
    <w:name w:val="Body Text"/>
    <w:basedOn w:val="1"/>
    <w:link w:val="105"/>
    <w:qFormat/>
    <w:uiPriority w:val="99"/>
    <w:pPr>
      <w:spacing w:after="120"/>
    </w:pPr>
  </w:style>
  <w:style w:type="paragraph" w:styleId="32">
    <w:name w:val="Body Text Indent"/>
    <w:basedOn w:val="1"/>
    <w:link w:val="102"/>
    <w:qFormat/>
    <w:uiPriority w:val="99"/>
    <w:pPr>
      <w:spacing w:after="120"/>
      <w:ind w:left="420"/>
    </w:pPr>
  </w:style>
  <w:style w:type="paragraph" w:styleId="33">
    <w:name w:val="List Number 3"/>
    <w:basedOn w:val="1"/>
    <w:qFormat/>
    <w:uiPriority w:val="0"/>
    <w:pPr>
      <w:numPr>
        <w:ilvl w:val="0"/>
        <w:numId w:val="7"/>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8"/>
      </w:numPr>
    </w:pPr>
  </w:style>
  <w:style w:type="paragraph" w:styleId="38">
    <w:name w:val="HTML Address"/>
    <w:basedOn w:val="1"/>
    <w:qFormat/>
    <w:uiPriority w:val="0"/>
    <w:rPr>
      <w:i/>
      <w:iCs/>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szCs w:val="20"/>
    </w:rPr>
  </w:style>
  <w:style w:type="paragraph" w:styleId="41">
    <w:name w:val="toc 3"/>
    <w:basedOn w:val="1"/>
    <w:next w:val="1"/>
    <w:qFormat/>
    <w:uiPriority w:val="99"/>
    <w:pPr>
      <w:ind w:left="840" w:leftChars="400"/>
    </w:pPr>
  </w:style>
  <w:style w:type="paragraph" w:styleId="42">
    <w:name w:val="Plain Text"/>
    <w:basedOn w:val="1"/>
    <w:link w:val="158"/>
    <w:qFormat/>
    <w:uiPriority w:val="99"/>
    <w:rPr>
      <w:rFonts w:ascii="宋体" w:hAnsi="Courier New" w:cs="Courier New"/>
      <w:szCs w:val="21"/>
    </w:rPr>
  </w:style>
  <w:style w:type="paragraph" w:styleId="43">
    <w:name w:val="List Bullet 5"/>
    <w:basedOn w:val="1"/>
    <w:qFormat/>
    <w:uiPriority w:val="0"/>
    <w:pPr>
      <w:numPr>
        <w:ilvl w:val="0"/>
        <w:numId w:val="9"/>
      </w:numPr>
    </w:pPr>
  </w:style>
  <w:style w:type="paragraph" w:styleId="44">
    <w:name w:val="List Number 4"/>
    <w:basedOn w:val="1"/>
    <w:qFormat/>
    <w:uiPriority w:val="0"/>
    <w:pPr>
      <w:numPr>
        <w:ilvl w:val="0"/>
        <w:numId w:val="10"/>
      </w:numPr>
    </w:pPr>
  </w:style>
  <w:style w:type="paragraph" w:styleId="45">
    <w:name w:val="toc 8"/>
    <w:basedOn w:val="1"/>
    <w:next w:val="1"/>
    <w:qFormat/>
    <w:uiPriority w:val="0"/>
    <w:pPr>
      <w:ind w:left="1470"/>
      <w:jc w:val="left"/>
    </w:pPr>
    <w:rPr>
      <w:sz w:val="20"/>
      <w:szCs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43"/>
    <w:qFormat/>
    <w:uiPriority w:val="99"/>
  </w:style>
  <w:style w:type="paragraph" w:styleId="48">
    <w:name w:val="Body Text Indent 2"/>
    <w:basedOn w:val="1"/>
    <w:link w:val="148"/>
    <w:qFormat/>
    <w:uiPriority w:val="99"/>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13"/>
    <w:qFormat/>
    <w:uiPriority w:val="99"/>
    <w:rPr>
      <w:sz w:val="18"/>
      <w:szCs w:val="18"/>
    </w:rPr>
  </w:style>
  <w:style w:type="paragraph" w:styleId="51">
    <w:name w:val="footer"/>
    <w:basedOn w:val="1"/>
    <w:link w:val="138"/>
    <w:qFormat/>
    <w:uiPriority w:val="99"/>
    <w:pPr>
      <w:tabs>
        <w:tab w:val="center" w:pos="4153"/>
        <w:tab w:val="right" w:pos="8306"/>
      </w:tabs>
      <w:snapToGrid w:val="0"/>
      <w:jc w:val="left"/>
    </w:pPr>
    <w:rPr>
      <w:sz w:val="18"/>
      <w:szCs w:val="18"/>
    </w:rPr>
  </w:style>
  <w:style w:type="paragraph" w:styleId="52">
    <w:name w:val="envelope return"/>
    <w:basedOn w:val="1"/>
    <w:qFormat/>
    <w:uiPriority w:val="0"/>
    <w:pPr>
      <w:snapToGrid w:val="0"/>
    </w:pPr>
    <w:rPr>
      <w:rFonts w:ascii="Arial" w:hAnsi="Arial" w:cs="Arial"/>
    </w:rPr>
  </w:style>
  <w:style w:type="paragraph" w:styleId="53">
    <w:name w:val="header"/>
    <w:basedOn w:val="1"/>
    <w:link w:val="140"/>
    <w:qFormat/>
    <w:uiPriority w:val="99"/>
    <w:pPr>
      <w:pBdr>
        <w:bottom w:val="single" w:color="auto" w:sz="6" w:space="1"/>
      </w:pBdr>
      <w:tabs>
        <w:tab w:val="center" w:pos="4153"/>
        <w:tab w:val="right" w:pos="8306"/>
      </w:tabs>
      <w:snapToGrid w:val="0"/>
      <w:jc w:val="center"/>
    </w:pPr>
    <w:rPr>
      <w:sz w:val="18"/>
      <w:szCs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99"/>
    <w:pPr>
      <w:ind w:left="630"/>
      <w:jc w:val="left"/>
    </w:pPr>
    <w:rPr>
      <w:sz w:val="20"/>
      <w:szCs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1">
    <w:name w:val="List Number 5"/>
    <w:basedOn w:val="1"/>
    <w:qFormat/>
    <w:uiPriority w:val="0"/>
    <w:pPr>
      <w:numPr>
        <w:ilvl w:val="0"/>
        <w:numId w:val="11"/>
      </w:numPr>
    </w:pPr>
  </w:style>
  <w:style w:type="paragraph" w:styleId="62">
    <w:name w:val="List"/>
    <w:basedOn w:val="1"/>
    <w:qFormat/>
    <w:uiPriority w:val="0"/>
    <w:pPr>
      <w:ind w:left="420" w:hanging="420"/>
    </w:pPr>
  </w:style>
  <w:style w:type="paragraph" w:styleId="63">
    <w:name w:val="toc 6"/>
    <w:basedOn w:val="1"/>
    <w:next w:val="1"/>
    <w:qFormat/>
    <w:uiPriority w:val="99"/>
    <w:pPr>
      <w:ind w:left="1050"/>
      <w:jc w:val="left"/>
    </w:pPr>
    <w:rPr>
      <w:sz w:val="20"/>
      <w:szCs w:val="20"/>
    </w:rPr>
  </w:style>
  <w:style w:type="paragraph" w:styleId="64">
    <w:name w:val="List 5"/>
    <w:basedOn w:val="1"/>
    <w:qFormat/>
    <w:uiPriority w:val="0"/>
    <w:pPr>
      <w:ind w:left="2100" w:hanging="420"/>
    </w:pPr>
  </w:style>
  <w:style w:type="paragraph" w:styleId="65">
    <w:name w:val="Body Text Indent 3"/>
    <w:basedOn w:val="1"/>
    <w:link w:val="122"/>
    <w:qFormat/>
    <w:uiPriority w:val="99"/>
    <w:pPr>
      <w:spacing w:after="120"/>
      <w:ind w:left="420"/>
    </w:pPr>
    <w:rPr>
      <w:sz w:val="16"/>
      <w:szCs w:val="16"/>
    </w:rPr>
  </w:style>
  <w:style w:type="paragraph" w:styleId="66">
    <w:name w:val="index 7"/>
    <w:basedOn w:val="1"/>
    <w:next w:val="1"/>
    <w:qFormat/>
    <w:uiPriority w:val="0"/>
    <w:pPr>
      <w:ind w:left="1200" w:leftChars="1200"/>
    </w:pPr>
    <w:rPr>
      <w:rFonts w:eastAsia="仿宋_GB2312"/>
      <w:sz w:val="28"/>
    </w:rPr>
  </w:style>
  <w:style w:type="paragraph" w:styleId="67">
    <w:name w:val="index 9"/>
    <w:basedOn w:val="1"/>
    <w:next w:val="1"/>
    <w:qFormat/>
    <w:uiPriority w:val="0"/>
    <w:pPr>
      <w:ind w:left="1600" w:leftChars="1600"/>
    </w:pPr>
    <w:rPr>
      <w:rFonts w:eastAsia="仿宋_GB2312"/>
      <w:sz w:val="28"/>
    </w:rPr>
  </w:style>
  <w:style w:type="paragraph" w:styleId="68">
    <w:name w:val="table of figures"/>
    <w:basedOn w:val="1"/>
    <w:next w:val="1"/>
    <w:qFormat/>
    <w:uiPriority w:val="0"/>
    <w:pPr>
      <w:ind w:left="200" w:leftChars="200" w:hanging="200" w:hangingChars="200"/>
    </w:pPr>
  </w:style>
  <w:style w:type="paragraph" w:styleId="69">
    <w:name w:val="toc 2"/>
    <w:basedOn w:val="1"/>
    <w:next w:val="1"/>
    <w:qFormat/>
    <w:uiPriority w:val="39"/>
    <w:pPr>
      <w:tabs>
        <w:tab w:val="right" w:leader="dot" w:pos="8705"/>
      </w:tabs>
      <w:ind w:left="420" w:leftChars="200"/>
    </w:pPr>
  </w:style>
  <w:style w:type="paragraph" w:styleId="70">
    <w:name w:val="toc 9"/>
    <w:basedOn w:val="1"/>
    <w:next w:val="1"/>
    <w:qFormat/>
    <w:uiPriority w:val="0"/>
    <w:pPr>
      <w:ind w:left="1680"/>
      <w:jc w:val="left"/>
    </w:pPr>
    <w:rPr>
      <w:sz w:val="20"/>
      <w:szCs w:val="20"/>
    </w:rPr>
  </w:style>
  <w:style w:type="paragraph" w:styleId="71">
    <w:name w:val="Body Text 2"/>
    <w:basedOn w:val="1"/>
    <w:qFormat/>
    <w:uiPriority w:val="0"/>
    <w:pPr>
      <w:spacing w:after="120" w:line="480" w:lineRule="auto"/>
    </w:pPr>
  </w:style>
  <w:style w:type="paragraph" w:styleId="72">
    <w:name w:val="List 4"/>
    <w:basedOn w:val="1"/>
    <w:qFormat/>
    <w:uiPriority w:val="0"/>
    <w:pPr>
      <w:ind w:left="1680" w:hanging="420"/>
    </w:pPr>
  </w:style>
  <w:style w:type="paragraph" w:styleId="73">
    <w:name w:val="List Continue 2"/>
    <w:basedOn w:val="1"/>
    <w:qFormat/>
    <w:uiPriority w:val="0"/>
    <w:pPr>
      <w:spacing w:after="120"/>
      <w:ind w:left="840"/>
    </w:pPr>
  </w:style>
  <w:style w:type="paragraph" w:styleId="7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5">
    <w:name w:val="HTML Preformatted"/>
    <w:basedOn w:val="1"/>
    <w:qFormat/>
    <w:uiPriority w:val="0"/>
    <w:rPr>
      <w:rFonts w:ascii="Courier New" w:hAnsi="Courier New" w:cs="Courier New"/>
      <w:sz w:val="20"/>
      <w:szCs w:val="20"/>
    </w:rPr>
  </w:style>
  <w:style w:type="paragraph" w:styleId="76">
    <w:name w:val="Normal (Web)"/>
    <w:basedOn w:val="1"/>
    <w:qFormat/>
    <w:uiPriority w:val="99"/>
    <w:rPr>
      <w:sz w:val="24"/>
    </w:rPr>
  </w:style>
  <w:style w:type="paragraph" w:styleId="77">
    <w:name w:val="List Continue 3"/>
    <w:basedOn w:val="1"/>
    <w:qFormat/>
    <w:uiPriority w:val="0"/>
    <w:pPr>
      <w:spacing w:after="120"/>
      <w:ind w:left="1260"/>
    </w:pPr>
  </w:style>
  <w:style w:type="paragraph" w:styleId="78">
    <w:name w:val="index 2"/>
    <w:basedOn w:val="1"/>
    <w:next w:val="1"/>
    <w:qFormat/>
    <w:uiPriority w:val="0"/>
    <w:pPr>
      <w:ind w:left="200" w:leftChars="200"/>
    </w:pPr>
    <w:rPr>
      <w:rFonts w:eastAsia="仿宋_GB2312"/>
      <w:sz w:val="28"/>
    </w:rPr>
  </w:style>
  <w:style w:type="paragraph" w:styleId="79">
    <w:name w:val="Title"/>
    <w:basedOn w:val="1"/>
    <w:link w:val="129"/>
    <w:qFormat/>
    <w:uiPriority w:val="99"/>
    <w:pPr>
      <w:spacing w:before="240" w:after="60"/>
      <w:jc w:val="center"/>
      <w:outlineLvl w:val="0"/>
    </w:pPr>
    <w:rPr>
      <w:rFonts w:ascii="Arial" w:hAnsi="Arial"/>
      <w:b/>
      <w:bCs/>
      <w:sz w:val="32"/>
      <w:szCs w:val="32"/>
    </w:rPr>
  </w:style>
  <w:style w:type="paragraph" w:styleId="80">
    <w:name w:val="annotation subject"/>
    <w:basedOn w:val="25"/>
    <w:next w:val="25"/>
    <w:link w:val="145"/>
    <w:qFormat/>
    <w:uiPriority w:val="99"/>
    <w:rPr>
      <w:b/>
      <w:bCs/>
    </w:rPr>
  </w:style>
  <w:style w:type="paragraph" w:styleId="81">
    <w:name w:val="Body Text First Indent"/>
    <w:basedOn w:val="31"/>
    <w:qFormat/>
    <w:uiPriority w:val="0"/>
    <w:pPr>
      <w:ind w:firstLine="420"/>
    </w:pPr>
  </w:style>
  <w:style w:type="paragraph" w:styleId="82">
    <w:name w:val="Body Text First Indent 2"/>
    <w:basedOn w:val="32"/>
    <w:qFormat/>
    <w:uiPriority w:val="0"/>
    <w:pPr>
      <w:ind w:firstLine="420"/>
    </w:pPr>
  </w:style>
  <w:style w:type="table" w:styleId="84">
    <w:name w:val="Table Grid"/>
    <w:basedOn w:val="83"/>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
    <w:name w:val="Strong"/>
    <w:qFormat/>
    <w:uiPriority w:val="0"/>
    <w:rPr>
      <w:b/>
      <w:bCs/>
    </w:rPr>
  </w:style>
  <w:style w:type="character" w:styleId="87">
    <w:name w:val="page number"/>
    <w:basedOn w:val="85"/>
    <w:qFormat/>
    <w:uiPriority w:val="99"/>
  </w:style>
  <w:style w:type="character" w:styleId="88">
    <w:name w:val="FollowedHyperlink"/>
    <w:qFormat/>
    <w:uiPriority w:val="99"/>
    <w:rPr>
      <w:color w:val="800080"/>
      <w:u w:val="single"/>
    </w:rPr>
  </w:style>
  <w:style w:type="character" w:styleId="89">
    <w:name w:val="Emphasis"/>
    <w:qFormat/>
    <w:uiPriority w:val="0"/>
    <w:rPr>
      <w:i/>
      <w:iCs/>
    </w:rPr>
  </w:style>
  <w:style w:type="character" w:styleId="90">
    <w:name w:val="line number"/>
    <w:basedOn w:val="85"/>
    <w:qFormat/>
    <w:uiPriority w:val="0"/>
  </w:style>
  <w:style w:type="character" w:styleId="91">
    <w:name w:val="HTML Definition"/>
    <w:qFormat/>
    <w:uiPriority w:val="0"/>
    <w:rPr>
      <w:i/>
      <w:iCs/>
    </w:rPr>
  </w:style>
  <w:style w:type="character" w:styleId="92">
    <w:name w:val="HTML Typewriter"/>
    <w:qFormat/>
    <w:uiPriority w:val="0"/>
    <w:rPr>
      <w:rFonts w:ascii="Courier New" w:hAnsi="Courier New" w:cs="Courier New"/>
      <w:sz w:val="20"/>
      <w:szCs w:val="20"/>
    </w:rPr>
  </w:style>
  <w:style w:type="character" w:styleId="93">
    <w:name w:val="HTML Acronym"/>
    <w:basedOn w:val="85"/>
    <w:qFormat/>
    <w:uiPriority w:val="0"/>
  </w:style>
  <w:style w:type="character" w:styleId="94">
    <w:name w:val="HTML Variable"/>
    <w:qFormat/>
    <w:uiPriority w:val="0"/>
    <w:rPr>
      <w:i/>
      <w:iCs/>
    </w:rPr>
  </w:style>
  <w:style w:type="character" w:styleId="95">
    <w:name w:val="Hyperlink"/>
    <w:qFormat/>
    <w:uiPriority w:val="99"/>
    <w:rPr>
      <w:rFonts w:ascii="宋体" w:hAnsi="宋体" w:eastAsia="宋体"/>
      <w:b/>
      <w:color w:val="0000FF"/>
      <w:kern w:val="2"/>
      <w:sz w:val="24"/>
      <w:szCs w:val="24"/>
      <w:u w:val="single"/>
      <w:lang w:val="en-US" w:eastAsia="zh-CN" w:bidi="ar-SA"/>
    </w:rPr>
  </w:style>
  <w:style w:type="character" w:styleId="96">
    <w:name w:val="HTML Code"/>
    <w:qFormat/>
    <w:uiPriority w:val="0"/>
    <w:rPr>
      <w:rFonts w:ascii="Courier New" w:hAnsi="Courier New" w:cs="Courier New"/>
      <w:sz w:val="20"/>
      <w:szCs w:val="20"/>
    </w:rPr>
  </w:style>
  <w:style w:type="character" w:styleId="97">
    <w:name w:val="annotation reference"/>
    <w:qFormat/>
    <w:uiPriority w:val="99"/>
    <w:rPr>
      <w:sz w:val="21"/>
      <w:szCs w:val="21"/>
    </w:rPr>
  </w:style>
  <w:style w:type="character" w:styleId="98">
    <w:name w:val="HTML Cite"/>
    <w:qFormat/>
    <w:uiPriority w:val="0"/>
    <w:rPr>
      <w:i/>
      <w:iCs/>
    </w:rPr>
  </w:style>
  <w:style w:type="character" w:styleId="99">
    <w:name w:val="HTML Keyboard"/>
    <w:qFormat/>
    <w:uiPriority w:val="0"/>
    <w:rPr>
      <w:rFonts w:ascii="Courier New" w:hAnsi="Courier New" w:cs="Courier New"/>
      <w:sz w:val="20"/>
      <w:szCs w:val="20"/>
    </w:rPr>
  </w:style>
  <w:style w:type="character" w:styleId="100">
    <w:name w:val="HTML Sample"/>
    <w:qFormat/>
    <w:uiPriority w:val="0"/>
    <w:rPr>
      <w:rFonts w:ascii="Courier New" w:hAnsi="Courier New" w:cs="Courier New"/>
    </w:rPr>
  </w:style>
  <w:style w:type="character" w:customStyle="1" w:styleId="101">
    <w:name w:val="fontstyle01"/>
    <w:qFormat/>
    <w:uiPriority w:val="0"/>
    <w:rPr>
      <w:rFonts w:hint="default" w:ascii="Times New Roman" w:hAnsi="Times New Roman" w:cs="Times New Roman"/>
      <w:color w:val="000000"/>
      <w:sz w:val="18"/>
      <w:szCs w:val="18"/>
    </w:rPr>
  </w:style>
  <w:style w:type="character" w:customStyle="1" w:styleId="102">
    <w:name w:val="正文文本缩进 Char"/>
    <w:link w:val="32"/>
    <w:qFormat/>
    <w:locked/>
    <w:uiPriority w:val="99"/>
    <w:rPr>
      <w:kern w:val="2"/>
      <w:sz w:val="21"/>
      <w:szCs w:val="24"/>
    </w:rPr>
  </w:style>
  <w:style w:type="character" w:customStyle="1" w:styleId="103">
    <w:name w:val="批注文字 Char"/>
    <w:qFormat/>
    <w:uiPriority w:val="0"/>
    <w:rPr>
      <w:szCs w:val="21"/>
    </w:rPr>
  </w:style>
  <w:style w:type="character" w:customStyle="1" w:styleId="104">
    <w:name w:val="批注文字 Char1"/>
    <w:link w:val="25"/>
    <w:qFormat/>
    <w:locked/>
    <w:uiPriority w:val="99"/>
    <w:rPr>
      <w:kern w:val="2"/>
      <w:sz w:val="21"/>
      <w:szCs w:val="24"/>
    </w:rPr>
  </w:style>
  <w:style w:type="character" w:customStyle="1" w:styleId="105">
    <w:name w:val="正文文本 Char"/>
    <w:link w:val="31"/>
    <w:qFormat/>
    <w:uiPriority w:val="99"/>
    <w:rPr>
      <w:kern w:val="2"/>
      <w:sz w:val="21"/>
      <w:szCs w:val="24"/>
    </w:rPr>
  </w:style>
  <w:style w:type="character" w:customStyle="1" w:styleId="106">
    <w:name w:val="首行缩进 Char"/>
    <w:link w:val="107"/>
    <w:qFormat/>
    <w:uiPriority w:val="99"/>
    <w:rPr>
      <w:rFonts w:eastAsia="方正书宋简体" w:cs="宋体"/>
      <w:kern w:val="2"/>
      <w:sz w:val="21"/>
      <w:lang w:val="en-US" w:eastAsia="zh-CN" w:bidi="ar-SA"/>
    </w:rPr>
  </w:style>
  <w:style w:type="paragraph" w:customStyle="1" w:styleId="107">
    <w:name w:val="首行缩进"/>
    <w:basedOn w:val="1"/>
    <w:link w:val="106"/>
    <w:qFormat/>
    <w:uiPriority w:val="99"/>
    <w:pPr>
      <w:spacing w:line="300" w:lineRule="auto"/>
      <w:ind w:firstLine="420" w:firstLineChars="200"/>
    </w:pPr>
    <w:rPr>
      <w:rFonts w:eastAsia="方正书宋简体" w:cs="宋体"/>
      <w:szCs w:val="20"/>
    </w:rPr>
  </w:style>
  <w:style w:type="character" w:customStyle="1" w:styleId="108">
    <w:name w:val="表头 Char"/>
    <w:link w:val="109"/>
    <w:qFormat/>
    <w:uiPriority w:val="0"/>
    <w:rPr>
      <w:rFonts w:eastAsia="黑体"/>
      <w:kern w:val="2"/>
      <w:sz w:val="21"/>
      <w:szCs w:val="21"/>
      <w:lang w:val="en-US" w:eastAsia="zh-CN" w:bidi="ar-SA"/>
    </w:rPr>
  </w:style>
  <w:style w:type="paragraph" w:customStyle="1" w:styleId="109">
    <w:name w:val="表头"/>
    <w:basedOn w:val="1"/>
    <w:link w:val="108"/>
    <w:qFormat/>
    <w:uiPriority w:val="0"/>
    <w:pPr>
      <w:topLinePunct/>
      <w:spacing w:before="160" w:after="60"/>
      <w:jc w:val="center"/>
    </w:pPr>
    <w:rPr>
      <w:rFonts w:eastAsia="黑体"/>
      <w:szCs w:val="21"/>
    </w:rPr>
  </w:style>
  <w:style w:type="character" w:customStyle="1" w:styleId="110">
    <w:name w:val="正文缩进 Char"/>
    <w:link w:val="19"/>
    <w:qFormat/>
    <w:uiPriority w:val="0"/>
    <w:rPr>
      <w:rFonts w:eastAsia="宋体"/>
      <w:kern w:val="2"/>
      <w:sz w:val="21"/>
      <w:szCs w:val="24"/>
      <w:lang w:val="en-US" w:eastAsia="zh-CN" w:bidi="ar-SA"/>
    </w:rPr>
  </w:style>
  <w:style w:type="character" w:customStyle="1" w:styleId="111">
    <w:name w:val="样式 标题 3 + 宋体 Char"/>
    <w:link w:val="112"/>
    <w:qFormat/>
    <w:uiPriority w:val="0"/>
    <w:rPr>
      <w:rFonts w:ascii="宋体" w:hAnsi="宋体" w:eastAsia="宋体"/>
      <w:kern w:val="2"/>
      <w:sz w:val="21"/>
      <w:szCs w:val="21"/>
      <w:lang w:val="en-US" w:eastAsia="zh-CN" w:bidi="ar-SA"/>
    </w:rPr>
  </w:style>
  <w:style w:type="paragraph" w:customStyle="1" w:styleId="112">
    <w:name w:val="样式 标题 3 + 宋体"/>
    <w:basedOn w:val="4"/>
    <w:link w:val="111"/>
    <w:qFormat/>
    <w:uiPriority w:val="0"/>
    <w:pPr>
      <w:keepNext w:val="0"/>
      <w:keepLines w:val="0"/>
      <w:numPr>
        <w:numId w:val="0"/>
      </w:numPr>
      <w:tabs>
        <w:tab w:val="left" w:pos="1560"/>
        <w:tab w:val="clear" w:pos="2126"/>
      </w:tabs>
      <w:snapToGrid w:val="0"/>
      <w:spacing w:line="360" w:lineRule="auto"/>
      <w:ind w:left="360"/>
      <w:jc w:val="both"/>
    </w:pPr>
    <w:rPr>
      <w:rFonts w:ascii="宋体" w:hAnsi="宋体" w:eastAsia="宋体"/>
      <w:bCs w:val="0"/>
      <w:sz w:val="21"/>
      <w:szCs w:val="21"/>
    </w:rPr>
  </w:style>
  <w:style w:type="character" w:customStyle="1" w:styleId="113">
    <w:name w:val="批注框文本 Char1"/>
    <w:link w:val="50"/>
    <w:qFormat/>
    <w:locked/>
    <w:uiPriority w:val="99"/>
    <w:rPr>
      <w:kern w:val="2"/>
      <w:sz w:val="18"/>
      <w:szCs w:val="18"/>
    </w:rPr>
  </w:style>
  <w:style w:type="character" w:customStyle="1" w:styleId="114">
    <w:name w:val="表内居两端对齐 Char"/>
    <w:basedOn w:val="115"/>
    <w:link w:val="117"/>
    <w:qFormat/>
    <w:uiPriority w:val="0"/>
    <w:rPr>
      <w:rFonts w:eastAsia="宋体" w:cs="宋体"/>
      <w:kern w:val="2"/>
      <w:sz w:val="18"/>
      <w:szCs w:val="18"/>
      <w:lang w:val="en-US" w:eastAsia="zh-CN" w:bidi="ar-SA"/>
    </w:rPr>
  </w:style>
  <w:style w:type="character" w:customStyle="1" w:styleId="115">
    <w:name w:val="表内居中小五 Char"/>
    <w:link w:val="116"/>
    <w:qFormat/>
    <w:uiPriority w:val="0"/>
    <w:rPr>
      <w:rFonts w:eastAsia="宋体" w:cs="宋体"/>
      <w:kern w:val="2"/>
      <w:sz w:val="18"/>
      <w:szCs w:val="18"/>
      <w:lang w:val="en-US" w:eastAsia="zh-CN" w:bidi="ar-SA"/>
    </w:rPr>
  </w:style>
  <w:style w:type="paragraph" w:customStyle="1" w:styleId="116">
    <w:name w:val="表内居中小五"/>
    <w:basedOn w:val="1"/>
    <w:link w:val="115"/>
    <w:qFormat/>
    <w:uiPriority w:val="0"/>
    <w:pPr>
      <w:jc w:val="center"/>
    </w:pPr>
    <w:rPr>
      <w:rFonts w:cs="宋体"/>
      <w:sz w:val="18"/>
      <w:szCs w:val="18"/>
    </w:rPr>
  </w:style>
  <w:style w:type="paragraph" w:customStyle="1" w:styleId="117">
    <w:name w:val="表内居两端对齐"/>
    <w:basedOn w:val="116"/>
    <w:link w:val="114"/>
    <w:qFormat/>
    <w:uiPriority w:val="0"/>
    <w:pPr>
      <w:jc w:val="both"/>
    </w:pPr>
  </w:style>
  <w:style w:type="character" w:customStyle="1" w:styleId="118">
    <w:name w:val="节标题 1.1 Char"/>
    <w:qFormat/>
    <w:uiPriority w:val="0"/>
    <w:rPr>
      <w:rFonts w:eastAsia="黑体"/>
      <w:bCs/>
      <w:kern w:val="2"/>
      <w:sz w:val="21"/>
      <w:szCs w:val="21"/>
      <w:lang w:val="en-US" w:eastAsia="zh-CN" w:bidi="ar-SA"/>
    </w:rPr>
  </w:style>
  <w:style w:type="character" w:customStyle="1" w:styleId="119">
    <w:name w:val="标题 3 Char"/>
    <w:link w:val="4"/>
    <w:qFormat/>
    <w:uiPriority w:val="99"/>
    <w:rPr>
      <w:rFonts w:eastAsia="黑体"/>
      <w:bCs/>
      <w:kern w:val="2"/>
      <w:sz w:val="28"/>
      <w:szCs w:val="28"/>
    </w:rPr>
  </w:style>
  <w:style w:type="character" w:customStyle="1" w:styleId="120">
    <w:name w:val="Footer Char"/>
    <w:qFormat/>
    <w:uiPriority w:val="99"/>
    <w:rPr>
      <w:rFonts w:ascii="Times New Roman" w:hAnsi="Times New Roman"/>
      <w:sz w:val="18"/>
    </w:rPr>
  </w:style>
  <w:style w:type="character" w:customStyle="1" w:styleId="121">
    <w:name w:val="Char Char4"/>
    <w:qFormat/>
    <w:uiPriority w:val="0"/>
    <w:rPr>
      <w:rFonts w:eastAsia="汉仪大宋简"/>
      <w:kern w:val="44"/>
      <w:sz w:val="22"/>
      <w:szCs w:val="22"/>
      <w:lang w:val="en-US" w:eastAsia="zh-CN" w:bidi="ar-SA"/>
    </w:rPr>
  </w:style>
  <w:style w:type="character" w:customStyle="1" w:styleId="122">
    <w:name w:val="正文文本缩进 3 Char"/>
    <w:link w:val="65"/>
    <w:qFormat/>
    <w:locked/>
    <w:uiPriority w:val="99"/>
    <w:rPr>
      <w:kern w:val="2"/>
      <w:sz w:val="16"/>
      <w:szCs w:val="16"/>
    </w:rPr>
  </w:style>
  <w:style w:type="character" w:customStyle="1" w:styleId="123">
    <w:name w:val="表注 Char"/>
    <w:link w:val="124"/>
    <w:qFormat/>
    <w:locked/>
    <w:uiPriority w:val="99"/>
    <w:rPr>
      <w:kern w:val="2"/>
      <w:sz w:val="18"/>
      <w:szCs w:val="24"/>
    </w:rPr>
  </w:style>
  <w:style w:type="paragraph" w:customStyle="1" w:styleId="124">
    <w:name w:val="表注"/>
    <w:basedOn w:val="1"/>
    <w:link w:val="123"/>
    <w:qFormat/>
    <w:uiPriority w:val="99"/>
    <w:pPr>
      <w:autoSpaceDE w:val="0"/>
      <w:autoSpaceDN w:val="0"/>
      <w:adjustRightInd w:val="0"/>
      <w:spacing w:line="360" w:lineRule="auto"/>
      <w:jc w:val="left"/>
    </w:pPr>
    <w:rPr>
      <w:sz w:val="18"/>
    </w:rPr>
  </w:style>
  <w:style w:type="character" w:customStyle="1" w:styleId="125">
    <w:name w:val="Char Char41"/>
    <w:qFormat/>
    <w:locked/>
    <w:uiPriority w:val="99"/>
    <w:rPr>
      <w:rFonts w:ascii="宋体" w:hAnsi="宋体" w:eastAsia="宋体"/>
      <w:kern w:val="2"/>
      <w:sz w:val="24"/>
    </w:rPr>
  </w:style>
  <w:style w:type="character" w:customStyle="1" w:styleId="126">
    <w:name w:val="jl 三级 Char Char"/>
    <w:link w:val="127"/>
    <w:qFormat/>
    <w:uiPriority w:val="0"/>
    <w:rPr>
      <w:rFonts w:ascii="宋体" w:hAnsi="宋体" w:eastAsia="宋体"/>
      <w:b/>
      <w:color w:val="000000"/>
      <w:kern w:val="2"/>
      <w:sz w:val="24"/>
      <w:szCs w:val="24"/>
      <w:lang w:val="en-US" w:eastAsia="zh-CN" w:bidi="ar-SA"/>
    </w:rPr>
  </w:style>
  <w:style w:type="paragraph" w:customStyle="1" w:styleId="127">
    <w:name w:val="jl 三级 Char"/>
    <w:basedOn w:val="1"/>
    <w:link w:val="126"/>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28">
    <w:name w:val="页脚 Char1"/>
    <w:qFormat/>
    <w:locked/>
    <w:uiPriority w:val="99"/>
    <w:rPr>
      <w:sz w:val="18"/>
      <w:szCs w:val="18"/>
    </w:rPr>
  </w:style>
  <w:style w:type="character" w:customStyle="1" w:styleId="129">
    <w:name w:val="标题 Char"/>
    <w:link w:val="79"/>
    <w:qFormat/>
    <w:uiPriority w:val="99"/>
    <w:rPr>
      <w:rFonts w:ascii="Arial" w:hAnsi="Arial" w:cs="Arial"/>
      <w:b/>
      <w:bCs/>
      <w:kern w:val="2"/>
      <w:sz w:val="32"/>
      <w:szCs w:val="32"/>
    </w:rPr>
  </w:style>
  <w:style w:type="character" w:customStyle="1" w:styleId="130">
    <w:name w:val="Char Char11"/>
    <w:qFormat/>
    <w:locked/>
    <w:uiPriority w:val="99"/>
    <w:rPr>
      <w:rFonts w:ascii="Arial" w:hAnsi="Arial" w:eastAsia="宋体"/>
      <w:b/>
      <w:sz w:val="22"/>
      <w:lang w:val="en-US" w:eastAsia="zh-CN"/>
    </w:rPr>
  </w:style>
  <w:style w:type="character" w:customStyle="1" w:styleId="131">
    <w:name w:val="Char Char5"/>
    <w:qFormat/>
    <w:locked/>
    <w:uiPriority w:val="99"/>
    <w:rPr>
      <w:rFonts w:ascii="Arial" w:hAnsi="Arial" w:eastAsia="宋体"/>
      <w:b/>
      <w:kern w:val="2"/>
      <w:sz w:val="32"/>
    </w:rPr>
  </w:style>
  <w:style w:type="character" w:customStyle="1" w:styleId="132">
    <w:name w:val="文档结构图 Char"/>
    <w:link w:val="24"/>
    <w:qFormat/>
    <w:uiPriority w:val="99"/>
    <w:rPr>
      <w:kern w:val="2"/>
      <w:sz w:val="21"/>
      <w:szCs w:val="24"/>
      <w:shd w:val="clear" w:color="auto" w:fill="000080"/>
    </w:rPr>
  </w:style>
  <w:style w:type="character" w:customStyle="1" w:styleId="133">
    <w:name w:val="标题 4 Char"/>
    <w:link w:val="5"/>
    <w:qFormat/>
    <w:uiPriority w:val="99"/>
    <w:rPr>
      <w:rFonts w:ascii="Arial" w:hAnsi="Arial" w:eastAsia="黑体"/>
      <w:b/>
      <w:bCs/>
      <w:kern w:val="2"/>
      <w:sz w:val="28"/>
      <w:szCs w:val="28"/>
    </w:rPr>
  </w:style>
  <w:style w:type="character" w:customStyle="1" w:styleId="134">
    <w:name w:val="Char Char"/>
    <w:qFormat/>
    <w:locked/>
    <w:uiPriority w:val="99"/>
    <w:rPr>
      <w:rFonts w:ascii="宋体" w:hAnsi="宋体" w:eastAsia="宋体"/>
      <w:kern w:val="2"/>
      <w:sz w:val="24"/>
    </w:rPr>
  </w:style>
  <w:style w:type="character" w:customStyle="1" w:styleId="135">
    <w:name w:val="样式 Arial"/>
    <w:qFormat/>
    <w:uiPriority w:val="0"/>
    <w:rPr>
      <w:rFonts w:hint="default" w:ascii="Times New Roman" w:hAnsi="Times New Roman" w:eastAsia="宋体" w:cs="Times New Roman"/>
      <w:sz w:val="21"/>
      <w:szCs w:val="21"/>
    </w:rPr>
  </w:style>
  <w:style w:type="character" w:customStyle="1" w:styleId="136">
    <w:name w:val="Char Char16"/>
    <w:qFormat/>
    <w:uiPriority w:val="0"/>
    <w:rPr>
      <w:rFonts w:ascii="Arial" w:hAnsi="Arial" w:eastAsia="黑体"/>
      <w:b/>
      <w:bCs/>
      <w:kern w:val="2"/>
      <w:sz w:val="32"/>
      <w:szCs w:val="32"/>
      <w:lang w:val="en-US" w:eastAsia="zh-CN" w:bidi="ar-SA"/>
    </w:rPr>
  </w:style>
  <w:style w:type="character" w:customStyle="1" w:styleId="137">
    <w:name w:val="批注框文本 Char"/>
    <w:qFormat/>
    <w:uiPriority w:val="99"/>
    <w:rPr>
      <w:sz w:val="18"/>
      <w:szCs w:val="18"/>
    </w:rPr>
  </w:style>
  <w:style w:type="character" w:customStyle="1" w:styleId="138">
    <w:name w:val="页脚 Char"/>
    <w:link w:val="51"/>
    <w:qFormat/>
    <w:uiPriority w:val="99"/>
    <w:rPr>
      <w:rFonts w:eastAsia="宋体"/>
      <w:kern w:val="2"/>
      <w:sz w:val="18"/>
      <w:szCs w:val="18"/>
      <w:lang w:val="en-US" w:eastAsia="zh-CN" w:bidi="ar-SA"/>
    </w:rPr>
  </w:style>
  <w:style w:type="character" w:customStyle="1" w:styleId="139">
    <w:name w:val="fontstyle21"/>
    <w:qFormat/>
    <w:uiPriority w:val="0"/>
    <w:rPr>
      <w:rFonts w:hint="eastAsia" w:ascii="宋体" w:hAnsi="宋体" w:eastAsia="宋体"/>
      <w:color w:val="000000"/>
      <w:sz w:val="18"/>
      <w:szCs w:val="18"/>
    </w:rPr>
  </w:style>
  <w:style w:type="character" w:customStyle="1" w:styleId="140">
    <w:name w:val="页眉 Char"/>
    <w:link w:val="53"/>
    <w:qFormat/>
    <w:uiPriority w:val="99"/>
    <w:rPr>
      <w:rFonts w:eastAsia="宋体"/>
      <w:kern w:val="2"/>
      <w:sz w:val="18"/>
      <w:szCs w:val="18"/>
      <w:lang w:val="en-US" w:eastAsia="zh-CN" w:bidi="ar-SA"/>
    </w:rPr>
  </w:style>
  <w:style w:type="character" w:customStyle="1" w:styleId="141">
    <w:name w:val="Char Char2"/>
    <w:qFormat/>
    <w:uiPriority w:val="0"/>
    <w:rPr>
      <w:rFonts w:eastAsia="汉仪大宋简"/>
      <w:kern w:val="44"/>
      <w:sz w:val="22"/>
      <w:szCs w:val="22"/>
      <w:lang w:val="en-US" w:eastAsia="zh-CN" w:bidi="ar-SA"/>
    </w:rPr>
  </w:style>
  <w:style w:type="character" w:customStyle="1" w:styleId="142">
    <w:name w:val="标题 1 Char Char"/>
    <w:qFormat/>
    <w:uiPriority w:val="0"/>
    <w:rPr>
      <w:rFonts w:ascii="宋体" w:eastAsia="宋体"/>
      <w:b/>
      <w:bCs/>
      <w:kern w:val="44"/>
      <w:sz w:val="21"/>
      <w:szCs w:val="21"/>
      <w:lang w:val="en-US" w:eastAsia="zh-CN" w:bidi="ar-SA"/>
    </w:rPr>
  </w:style>
  <w:style w:type="character" w:customStyle="1" w:styleId="143">
    <w:name w:val="日期 Char"/>
    <w:link w:val="47"/>
    <w:qFormat/>
    <w:uiPriority w:val="99"/>
    <w:rPr>
      <w:kern w:val="2"/>
      <w:sz w:val="21"/>
      <w:szCs w:val="24"/>
    </w:rPr>
  </w:style>
  <w:style w:type="character" w:customStyle="1" w:styleId="144">
    <w:name w:val="Header Char"/>
    <w:qFormat/>
    <w:uiPriority w:val="99"/>
    <w:rPr>
      <w:rFonts w:ascii="Times New Roman" w:hAnsi="Times New Roman"/>
      <w:sz w:val="18"/>
    </w:rPr>
  </w:style>
  <w:style w:type="character" w:customStyle="1" w:styleId="145">
    <w:name w:val="批注主题 Char"/>
    <w:link w:val="80"/>
    <w:qFormat/>
    <w:uiPriority w:val="99"/>
    <w:rPr>
      <w:b/>
      <w:bCs/>
      <w:kern w:val="2"/>
      <w:sz w:val="21"/>
      <w:szCs w:val="24"/>
    </w:rPr>
  </w:style>
  <w:style w:type="character" w:customStyle="1" w:styleId="146">
    <w:name w:val="Char Char15"/>
    <w:qFormat/>
    <w:locked/>
    <w:uiPriority w:val="99"/>
    <w:rPr>
      <w:rFonts w:eastAsia="黑体"/>
      <w:sz w:val="36"/>
    </w:rPr>
  </w:style>
  <w:style w:type="character" w:customStyle="1" w:styleId="147">
    <w:name w:val="正文 Char"/>
    <w:qFormat/>
    <w:uiPriority w:val="0"/>
    <w:rPr>
      <w:rFonts w:eastAsia="宋体" w:cs="宋体"/>
      <w:kern w:val="2"/>
      <w:sz w:val="21"/>
      <w:lang w:val="en-US" w:eastAsia="zh-CN" w:bidi="ar-SA"/>
    </w:rPr>
  </w:style>
  <w:style w:type="character" w:customStyle="1" w:styleId="148">
    <w:name w:val="正文文本缩进 2 Char"/>
    <w:link w:val="48"/>
    <w:qFormat/>
    <w:locked/>
    <w:uiPriority w:val="99"/>
    <w:rPr>
      <w:kern w:val="2"/>
      <w:sz w:val="21"/>
      <w:szCs w:val="24"/>
    </w:rPr>
  </w:style>
  <w:style w:type="character" w:customStyle="1" w:styleId="149">
    <w:name w:val="标题 1 Char"/>
    <w:link w:val="2"/>
    <w:qFormat/>
    <w:uiPriority w:val="99"/>
    <w:rPr>
      <w:rFonts w:eastAsia="汉仪大宋简"/>
      <w:kern w:val="44"/>
      <w:sz w:val="22"/>
      <w:szCs w:val="22"/>
    </w:rPr>
  </w:style>
  <w:style w:type="character" w:customStyle="1" w:styleId="150">
    <w:name w:val="页眉 Char2"/>
    <w:qFormat/>
    <w:locked/>
    <w:uiPriority w:val="99"/>
    <w:rPr>
      <w:sz w:val="18"/>
      <w:szCs w:val="18"/>
    </w:rPr>
  </w:style>
  <w:style w:type="character" w:customStyle="1" w:styleId="151">
    <w:name w:val="正文格式 Char"/>
    <w:link w:val="152"/>
    <w:qFormat/>
    <w:uiPriority w:val="0"/>
    <w:rPr>
      <w:rFonts w:ascii="宋体" w:hAnsi="宋体" w:eastAsia="宋体"/>
      <w:bCs/>
      <w:kern w:val="2"/>
      <w:sz w:val="21"/>
      <w:szCs w:val="21"/>
      <w:lang w:val="en-US" w:eastAsia="zh-CN" w:bidi="ar-SA"/>
    </w:rPr>
  </w:style>
  <w:style w:type="paragraph" w:customStyle="1" w:styleId="152">
    <w:name w:val="正文格式"/>
    <w:basedOn w:val="1"/>
    <w:link w:val="151"/>
    <w:qFormat/>
    <w:uiPriority w:val="0"/>
    <w:pPr>
      <w:topLinePunct/>
      <w:ind w:firstLine="420" w:firstLineChars="200"/>
    </w:pPr>
    <w:rPr>
      <w:rFonts w:ascii="宋体" w:hAnsi="宋体"/>
      <w:bCs/>
      <w:szCs w:val="21"/>
    </w:rPr>
  </w:style>
  <w:style w:type="character" w:customStyle="1" w:styleId="153">
    <w:name w:val="fontstyle11"/>
    <w:qFormat/>
    <w:uiPriority w:val="0"/>
    <w:rPr>
      <w:rFonts w:hint="default" w:ascii="Times New Roman" w:hAnsi="Times New Roman" w:cs="Times New Roman"/>
      <w:color w:val="000000"/>
      <w:sz w:val="18"/>
      <w:szCs w:val="18"/>
    </w:rPr>
  </w:style>
  <w:style w:type="character" w:customStyle="1" w:styleId="154">
    <w:name w:val="页眉 Char1"/>
    <w:qFormat/>
    <w:uiPriority w:val="99"/>
    <w:rPr>
      <w:rFonts w:eastAsia="宋体"/>
      <w:kern w:val="2"/>
      <w:sz w:val="18"/>
      <w:lang w:val="en-US" w:eastAsia="zh-CN"/>
    </w:rPr>
  </w:style>
  <w:style w:type="character" w:customStyle="1" w:styleId="155">
    <w:name w:val="标题 2 Char"/>
    <w:link w:val="3"/>
    <w:qFormat/>
    <w:uiPriority w:val="99"/>
    <w:rPr>
      <w:rFonts w:eastAsia="黑体"/>
      <w:bCs/>
      <w:kern w:val="2"/>
      <w:sz w:val="21"/>
      <w:szCs w:val="21"/>
    </w:rPr>
  </w:style>
  <w:style w:type="character" w:customStyle="1" w:styleId="156">
    <w:name w:val="Heading 1 Char"/>
    <w:qFormat/>
    <w:locked/>
    <w:uiPriority w:val="99"/>
    <w:rPr>
      <w:b/>
      <w:kern w:val="44"/>
      <w:sz w:val="44"/>
    </w:rPr>
  </w:style>
  <w:style w:type="character" w:customStyle="1" w:styleId="157">
    <w:name w:val="Char Char8"/>
    <w:qFormat/>
    <w:uiPriority w:val="99"/>
    <w:rPr>
      <w:rFonts w:ascii="宋体" w:hAnsi="宋体" w:eastAsia="宋体"/>
      <w:b/>
      <w:sz w:val="36"/>
      <w:lang w:val="en-US" w:eastAsia="zh-CN"/>
    </w:rPr>
  </w:style>
  <w:style w:type="character" w:customStyle="1" w:styleId="158">
    <w:name w:val="纯文本 Char"/>
    <w:link w:val="42"/>
    <w:qFormat/>
    <w:uiPriority w:val="99"/>
    <w:rPr>
      <w:rFonts w:ascii="宋体" w:hAnsi="Courier New" w:eastAsia="宋体" w:cs="Courier New"/>
      <w:kern w:val="2"/>
      <w:sz w:val="21"/>
      <w:szCs w:val="21"/>
      <w:lang w:val="en-US" w:eastAsia="zh-CN" w:bidi="ar-SA"/>
    </w:rPr>
  </w:style>
  <w:style w:type="character" w:customStyle="1" w:styleId="159">
    <w:name w:val="style7"/>
    <w:qFormat/>
    <w:uiPriority w:val="99"/>
  </w:style>
  <w:style w:type="character" w:customStyle="1" w:styleId="160">
    <w:name w:val="二级条标题 Char"/>
    <w:link w:val="161"/>
    <w:qFormat/>
    <w:uiPriority w:val="0"/>
    <w:rPr>
      <w:rFonts w:ascii="黑体" w:eastAsia="黑体"/>
      <w:b/>
      <w:sz w:val="21"/>
      <w:lang w:val="en-US" w:eastAsia="zh-CN" w:bidi="ar-SA"/>
    </w:rPr>
  </w:style>
  <w:style w:type="paragraph" w:customStyle="1" w:styleId="161">
    <w:name w:val="二级条标题"/>
    <w:basedOn w:val="1"/>
    <w:next w:val="1"/>
    <w:link w:val="160"/>
    <w:qFormat/>
    <w:uiPriority w:val="0"/>
    <w:pPr>
      <w:widowControl/>
      <w:outlineLvl w:val="3"/>
    </w:pPr>
    <w:rPr>
      <w:rFonts w:ascii="黑体" w:eastAsia="黑体"/>
      <w:b/>
      <w:kern w:val="0"/>
      <w:szCs w:val="20"/>
    </w:rPr>
  </w:style>
  <w:style w:type="character" w:customStyle="1" w:styleId="162">
    <w:name w:val="标题 5 Char"/>
    <w:link w:val="6"/>
    <w:qFormat/>
    <w:uiPriority w:val="0"/>
    <w:rPr>
      <w:rFonts w:eastAsia="黑体"/>
      <w:bCs/>
      <w:kern w:val="2"/>
      <w:sz w:val="21"/>
      <w:szCs w:val="28"/>
    </w:rPr>
  </w:style>
  <w:style w:type="character" w:customStyle="1" w:styleId="163">
    <w:name w:val="样式6 Char"/>
    <w:link w:val="164"/>
    <w:qFormat/>
    <w:uiPriority w:val="0"/>
    <w:rPr>
      <w:kern w:val="2"/>
      <w:sz w:val="21"/>
      <w:szCs w:val="24"/>
    </w:rPr>
  </w:style>
  <w:style w:type="paragraph" w:customStyle="1" w:styleId="164">
    <w:name w:val="样式6"/>
    <w:basedOn w:val="1"/>
    <w:link w:val="163"/>
    <w:qFormat/>
    <w:uiPriority w:val="0"/>
    <w:pPr>
      <w:numPr>
        <w:ilvl w:val="2"/>
        <w:numId w:val="12"/>
      </w:numPr>
    </w:pPr>
  </w:style>
  <w:style w:type="character" w:customStyle="1" w:styleId="165">
    <w:name w:val="articlebody21"/>
    <w:qFormat/>
    <w:uiPriority w:val="0"/>
    <w:rPr>
      <w:rFonts w:hint="default"/>
      <w:sz w:val="21"/>
    </w:rPr>
  </w:style>
  <w:style w:type="character" w:customStyle="1" w:styleId="166">
    <w:name w:val="样式 标题 4 + (符号) 宋体 Char"/>
    <w:link w:val="167"/>
    <w:qFormat/>
    <w:uiPriority w:val="0"/>
    <w:rPr>
      <w:rFonts w:ascii="宋体" w:hAnsi="Arial"/>
      <w:b/>
      <w:bCs/>
      <w:kern w:val="2"/>
      <w:sz w:val="21"/>
      <w:szCs w:val="21"/>
    </w:rPr>
  </w:style>
  <w:style w:type="paragraph" w:customStyle="1" w:styleId="167">
    <w:name w:val="样式 标题 4 + (符号) 宋体"/>
    <w:basedOn w:val="5"/>
    <w:link w:val="166"/>
    <w:qFormat/>
    <w:uiPriority w:val="0"/>
    <w:pPr>
      <w:keepNext w:val="0"/>
      <w:keepLines w:val="0"/>
      <w:adjustRightInd w:val="0"/>
      <w:snapToGrid w:val="0"/>
      <w:spacing w:before="0" w:after="0" w:line="360" w:lineRule="auto"/>
    </w:pPr>
    <w:rPr>
      <w:rFonts w:ascii="宋体" w:eastAsia="宋体"/>
      <w:sz w:val="21"/>
      <w:szCs w:val="21"/>
    </w:rPr>
  </w:style>
  <w:style w:type="character" w:customStyle="1" w:styleId="168">
    <w:name w:val="jl 正文 Char Char Char"/>
    <w:link w:val="169"/>
    <w:qFormat/>
    <w:uiPriority w:val="0"/>
    <w:rPr>
      <w:rFonts w:ascii="宋体" w:eastAsia="宋体"/>
      <w:kern w:val="2"/>
      <w:sz w:val="24"/>
      <w:szCs w:val="24"/>
      <w:lang w:val="en-US" w:eastAsia="zh-CN" w:bidi="ar-SA"/>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标题 1 Char1"/>
    <w:qFormat/>
    <w:locked/>
    <w:uiPriority w:val="99"/>
    <w:rPr>
      <w:rFonts w:eastAsia="黑体"/>
      <w:kern w:val="0"/>
      <w:szCs w:val="36"/>
    </w:rPr>
  </w:style>
  <w:style w:type="character" w:customStyle="1" w:styleId="171">
    <w:name w:val="Style1 Char"/>
    <w:link w:val="172"/>
    <w:qFormat/>
    <w:locked/>
    <w:uiPriority w:val="99"/>
    <w:rPr>
      <w:rFonts w:ascii="宋体" w:hAnsi="宋体"/>
      <w:sz w:val="24"/>
      <w:szCs w:val="24"/>
    </w:rPr>
  </w:style>
  <w:style w:type="paragraph" w:customStyle="1" w:styleId="172">
    <w:name w:val="Style1"/>
    <w:basedOn w:val="1"/>
    <w:link w:val="171"/>
    <w:qFormat/>
    <w:uiPriority w:val="99"/>
    <w:pPr>
      <w:widowControl/>
      <w:spacing w:after="200"/>
      <w:contextualSpacing/>
      <w:jc w:val="left"/>
    </w:pPr>
    <w:rPr>
      <w:rFonts w:ascii="宋体" w:hAnsi="宋体"/>
      <w:kern w:val="0"/>
      <w:sz w:val="24"/>
    </w:rPr>
  </w:style>
  <w:style w:type="paragraph" w:customStyle="1" w:styleId="17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5">
    <w:name w:val="样式3"/>
    <w:basedOn w:val="4"/>
    <w:qFormat/>
    <w:uiPriority w:val="0"/>
    <w:pPr>
      <w:tabs>
        <w:tab w:val="left" w:pos="709"/>
        <w:tab w:val="clear" w:pos="2126"/>
      </w:tabs>
      <w:topLinePunct/>
      <w:spacing w:line="720" w:lineRule="auto"/>
      <w:jc w:val="left"/>
    </w:pPr>
    <w:rPr>
      <w:rFonts w:ascii="Arial" w:hAnsi="Arial"/>
      <w:b/>
      <w:bCs w:val="0"/>
      <w:sz w:val="30"/>
      <w:szCs w:val="30"/>
    </w:rPr>
  </w:style>
  <w:style w:type="paragraph" w:customStyle="1" w:styleId="176">
    <w:name w:val="样式5"/>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177">
    <w:name w:val="目次、标准名称标题"/>
    <w:basedOn w:val="1"/>
    <w:next w:val="178"/>
    <w:qFormat/>
    <w:uiPriority w:val="99"/>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178">
    <w:name w:val="段"/>
    <w:qFormat/>
    <w:uiPriority w:val="99"/>
    <w:pPr>
      <w:ind w:firstLine="200" w:firstLineChars="200"/>
      <w:jc w:val="both"/>
    </w:pPr>
    <w:rPr>
      <w:rFonts w:ascii="宋体" w:hAnsi="Times New Roman" w:eastAsia="宋体" w:cs="Times New Roman"/>
      <w:sz w:val="21"/>
      <w:lang w:val="en-US" w:eastAsia="zh-CN" w:bidi="ar-SA"/>
    </w:rPr>
  </w:style>
  <w:style w:type="paragraph" w:customStyle="1" w:styleId="179">
    <w:name w:val="_Style 178"/>
    <w:basedOn w:val="2"/>
    <w:next w:val="1"/>
    <w:qFormat/>
    <w:uiPriority w:val="0"/>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180">
    <w:name w:val="Char3"/>
    <w:basedOn w:val="1"/>
    <w:qFormat/>
    <w:uiPriority w:val="0"/>
    <w:rPr>
      <w:szCs w:val="20"/>
    </w:rPr>
  </w:style>
  <w:style w:type="paragraph" w:customStyle="1" w:styleId="181">
    <w:name w:val="p0"/>
    <w:basedOn w:val="1"/>
    <w:qFormat/>
    <w:uiPriority w:val="0"/>
    <w:pPr>
      <w:widowControl/>
      <w:jc w:val="left"/>
    </w:pPr>
    <w:rPr>
      <w:kern w:val="0"/>
      <w:szCs w:val="21"/>
    </w:rPr>
  </w:style>
  <w:style w:type="paragraph" w:customStyle="1" w:styleId="182">
    <w:name w:val="简单回函地址"/>
    <w:basedOn w:val="1"/>
    <w:qFormat/>
    <w:uiPriority w:val="99"/>
    <w:rPr>
      <w:szCs w:val="20"/>
    </w:rPr>
  </w:style>
  <w:style w:type="paragraph" w:customStyle="1" w:styleId="183">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84">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18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186">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87">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188">
    <w:name w:val="CM1"/>
    <w:basedOn w:val="189"/>
    <w:next w:val="189"/>
    <w:qFormat/>
    <w:uiPriority w:val="99"/>
    <w:rPr>
      <w:rFonts w:cs="Times New Roman"/>
      <w:color w:val="auto"/>
      <w:sz w:val="20"/>
    </w:rPr>
  </w:style>
  <w:style w:type="paragraph" w:customStyle="1" w:styleId="189">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0">
    <w:name w:val="样式 标题 2标题 2 Char + 宋体"/>
    <w:basedOn w:val="3"/>
    <w:qFormat/>
    <w:uiPriority w:val="0"/>
    <w:pPr>
      <w:keepNext w:val="0"/>
      <w:numPr>
        <w:numId w:val="13"/>
      </w:numPr>
      <w:tabs>
        <w:tab w:val="left" w:pos="1320"/>
      </w:tabs>
      <w:topLinePunct w:val="0"/>
      <w:adjustRightInd w:val="0"/>
      <w:snapToGrid w:val="0"/>
      <w:spacing w:line="360" w:lineRule="auto"/>
    </w:pPr>
    <w:rPr>
      <w:rFonts w:ascii="宋体" w:eastAsia="宋体"/>
      <w:bCs w:val="0"/>
    </w:rPr>
  </w:style>
  <w:style w:type="paragraph" w:customStyle="1" w:styleId="191">
    <w:name w:val="样式7"/>
    <w:basedOn w:val="1"/>
    <w:uiPriority w:val="0"/>
    <w:pPr>
      <w:numPr>
        <w:ilvl w:val="0"/>
        <w:numId w:val="14"/>
      </w:numPr>
    </w:pPr>
  </w:style>
  <w:style w:type="paragraph" w:customStyle="1" w:styleId="192">
    <w:name w:val="正文1"/>
    <w:basedOn w:val="193"/>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193">
    <w:name w:val="样式1"/>
    <w:basedOn w:val="1"/>
    <w:qFormat/>
    <w:uiPriority w:val="99"/>
    <w:pPr>
      <w:keepNext/>
      <w:keepLines/>
      <w:numPr>
        <w:ilvl w:val="3"/>
        <w:numId w:val="15"/>
      </w:numPr>
      <w:topLinePunct/>
      <w:spacing w:line="1200" w:lineRule="auto"/>
      <w:jc w:val="center"/>
      <w:outlineLvl w:val="0"/>
    </w:pPr>
    <w:rPr>
      <w:rFonts w:cs="宋体"/>
      <w:b/>
      <w:kern w:val="44"/>
      <w:sz w:val="52"/>
      <w:szCs w:val="52"/>
    </w:rPr>
  </w:style>
  <w:style w:type="paragraph" w:customStyle="1" w:styleId="19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5">
    <w:name w:val="标准书眉一"/>
    <w:qFormat/>
    <w:uiPriority w:val="0"/>
    <w:pPr>
      <w:numPr>
        <w:ilvl w:val="0"/>
        <w:numId w:val="15"/>
      </w:numPr>
      <w:jc w:val="both"/>
    </w:pPr>
    <w:rPr>
      <w:rFonts w:ascii="Times New Roman" w:hAnsi="Times New Roman" w:eastAsia="宋体" w:cs="Times New Roman"/>
      <w:lang w:val="en-US" w:eastAsia="zh-CN" w:bidi="ar-SA"/>
    </w:rPr>
  </w:style>
  <w:style w:type="paragraph" w:customStyle="1" w:styleId="196">
    <w:name w:val="其他标准称谓"/>
    <w:uiPriority w:val="0"/>
    <w:pPr>
      <w:spacing w:line="0" w:lineRule="atLeast"/>
      <w:jc w:val="distribute"/>
    </w:pPr>
    <w:rPr>
      <w:rFonts w:ascii="黑体" w:hAnsi="宋体" w:eastAsia="黑体" w:cs="Times New Roman"/>
      <w:sz w:val="52"/>
      <w:lang w:val="en-US" w:eastAsia="zh-CN" w:bidi="ar-SA"/>
    </w:rPr>
  </w:style>
  <w:style w:type="paragraph" w:customStyle="1" w:styleId="197">
    <w:name w:val="表文"/>
    <w:basedOn w:val="1"/>
    <w:qFormat/>
    <w:uiPriority w:val="0"/>
    <w:pPr>
      <w:topLinePunct/>
      <w:spacing w:before="40" w:after="40"/>
    </w:pPr>
    <w:rPr>
      <w:sz w:val="18"/>
      <w:szCs w:val="18"/>
    </w:rPr>
  </w:style>
  <w:style w:type="paragraph" w:customStyle="1" w:styleId="198">
    <w:name w:val="一级无标题条"/>
    <w:basedOn w:val="1"/>
    <w:qFormat/>
    <w:uiPriority w:val="0"/>
    <w:pPr>
      <w:numPr>
        <w:ilvl w:val="2"/>
        <w:numId w:val="16"/>
      </w:numPr>
    </w:pPr>
  </w:style>
  <w:style w:type="paragraph" w:customStyle="1" w:styleId="199">
    <w:name w:val="默认段落字体 Para Char Char Char Char Char"/>
    <w:basedOn w:val="1"/>
    <w:qFormat/>
    <w:uiPriority w:val="0"/>
    <w:rPr>
      <w:rFonts w:ascii="宋体" w:hAnsi="宋体"/>
      <w:b/>
      <w:color w:val="000000"/>
      <w:sz w:val="24"/>
    </w:rPr>
  </w:style>
  <w:style w:type="paragraph" w:customStyle="1" w:styleId="200">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样式4"/>
    <w:basedOn w:val="5"/>
    <w:qFormat/>
    <w:uiPriority w:val="0"/>
    <w:pPr>
      <w:topLinePunct/>
      <w:spacing w:before="0" w:after="0" w:line="480" w:lineRule="auto"/>
      <w:ind w:firstLine="420"/>
    </w:pPr>
    <w:rPr>
      <w:rFonts w:ascii="Times New Roman" w:hAnsi="Times New Roman" w:eastAsia="楷体_GB2312"/>
      <w:b w:val="0"/>
      <w:bCs w:val="0"/>
      <w:sz w:val="24"/>
      <w:szCs w:val="20"/>
    </w:rPr>
  </w:style>
  <w:style w:type="paragraph" w:customStyle="1" w:styleId="202">
    <w:name w:val="二级无标题条"/>
    <w:basedOn w:val="1"/>
    <w:uiPriority w:val="0"/>
    <w:pPr>
      <w:numPr>
        <w:ilvl w:val="3"/>
        <w:numId w:val="16"/>
      </w:numPr>
    </w:pPr>
  </w:style>
  <w:style w:type="paragraph" w:customStyle="1" w:styleId="203">
    <w:name w:val="_Style 202"/>
    <w:qFormat/>
    <w:uiPriority w:val="99"/>
    <w:rPr>
      <w:rFonts w:ascii="Times New Roman" w:hAnsi="Times New Roman" w:eastAsia="宋体" w:cs="Times New Roman"/>
      <w:kern w:val="2"/>
      <w:sz w:val="21"/>
      <w:szCs w:val="24"/>
      <w:lang w:val="en-US" w:eastAsia="zh-CN" w:bidi="ar-SA"/>
    </w:rPr>
  </w:style>
  <w:style w:type="paragraph" w:customStyle="1" w:styleId="20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05">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206">
    <w:name w:val="Style4"/>
    <w:basedOn w:val="3"/>
    <w:next w:val="1"/>
    <w:qFormat/>
    <w:uiPriority w:val="99"/>
    <w:pPr>
      <w:numPr>
        <w:ilvl w:val="0"/>
        <w:numId w:val="0"/>
      </w:numPr>
      <w:topLinePunct w:val="0"/>
      <w:spacing w:line="360" w:lineRule="auto"/>
      <w:jc w:val="left"/>
    </w:pPr>
    <w:rPr>
      <w:rFonts w:ascii="黑体" w:hAnsi="黑体" w:eastAsia="宋体"/>
      <w:szCs w:val="32"/>
    </w:rPr>
  </w:style>
  <w:style w:type="paragraph" w:customStyle="1" w:styleId="20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CM81"/>
    <w:basedOn w:val="189"/>
    <w:next w:val="189"/>
    <w:uiPriority w:val="99"/>
    <w:pPr>
      <w:spacing w:after="473"/>
    </w:pPr>
    <w:rPr>
      <w:rFonts w:cs="Times New Roman"/>
      <w:color w:val="auto"/>
      <w:sz w:val="20"/>
    </w:rPr>
  </w:style>
  <w:style w:type="paragraph" w:customStyle="1" w:styleId="210">
    <w:name w:val="发布日期"/>
    <w:qFormat/>
    <w:uiPriority w:val="0"/>
    <w:rPr>
      <w:rFonts w:ascii="Times New Roman" w:hAnsi="Times New Roman" w:eastAsia="黑体" w:cs="Times New Roman"/>
      <w:sz w:val="28"/>
      <w:lang w:val="en-US" w:eastAsia="zh-CN" w:bidi="ar-SA"/>
    </w:rPr>
  </w:style>
  <w:style w:type="paragraph" w:customStyle="1" w:styleId="21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2">
    <w:name w:val="样式 Arial 首行缩进:  2 字符"/>
    <w:basedOn w:val="1"/>
    <w:qFormat/>
    <w:uiPriority w:val="0"/>
    <w:pPr>
      <w:ind w:firstLine="403" w:firstLineChars="200"/>
    </w:pPr>
    <w:rPr>
      <w:rFonts w:cs="华文新魏"/>
      <w:szCs w:val="21"/>
    </w:rPr>
  </w:style>
  <w:style w:type="paragraph" w:customStyle="1" w:styleId="213">
    <w:name w:val="样式2"/>
    <w:basedOn w:val="3"/>
    <w:qFormat/>
    <w:uiPriority w:val="0"/>
    <w:pPr>
      <w:tabs>
        <w:tab w:val="left" w:pos="567"/>
        <w:tab w:val="left" w:pos="850"/>
        <w:tab w:val="clear" w:pos="1276"/>
      </w:tabs>
      <w:spacing w:line="960" w:lineRule="auto"/>
      <w:jc w:val="left"/>
    </w:pPr>
    <w:rPr>
      <w:b/>
      <w:bCs w:val="0"/>
      <w:sz w:val="36"/>
      <w:szCs w:val="36"/>
    </w:rPr>
  </w:style>
  <w:style w:type="paragraph" w:customStyle="1" w:styleId="214">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5">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6">
    <w:name w:val="标题 3 + 小四 段前: 0 磅 段后: 0 磅 行距: 1.5 倍行距"/>
    <w:basedOn w:val="4"/>
    <w:next w:val="4"/>
    <w:uiPriority w:val="0"/>
    <w:pPr>
      <w:spacing w:line="360" w:lineRule="auto"/>
    </w:pPr>
    <w:rPr>
      <w:rFonts w:cs="宋体"/>
      <w:sz w:val="24"/>
      <w:szCs w:val="20"/>
    </w:rPr>
  </w:style>
  <w:style w:type="paragraph" w:customStyle="1" w:styleId="217">
    <w:name w:val="列出段落1"/>
    <w:basedOn w:val="1"/>
    <w:qFormat/>
    <w:uiPriority w:val="99"/>
    <w:pPr>
      <w:spacing w:line="360" w:lineRule="auto"/>
      <w:ind w:firstLine="200" w:firstLineChars="200"/>
    </w:pPr>
    <w:rPr>
      <w:rFonts w:ascii="Calibri" w:hAnsi="Calibri"/>
      <w:szCs w:val="22"/>
    </w:rPr>
  </w:style>
  <w:style w:type="paragraph" w:customStyle="1" w:styleId="218">
    <w:name w:val="图说"/>
    <w:basedOn w:val="1"/>
    <w:qFormat/>
    <w:uiPriority w:val="0"/>
    <w:pPr>
      <w:topLinePunct/>
      <w:spacing w:before="40" w:after="160"/>
      <w:jc w:val="center"/>
    </w:pPr>
    <w:rPr>
      <w:rFonts w:cs="宋体"/>
      <w:sz w:val="18"/>
      <w:szCs w:val="20"/>
    </w:rPr>
  </w:style>
  <w:style w:type="paragraph" w:customStyle="1" w:styleId="219">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szCs w:val="20"/>
    </w:rPr>
  </w:style>
  <w:style w:type="paragraph" w:customStyle="1" w:styleId="220">
    <w:name w:val="样式 首行缩进:  0 厘米 行距: 单倍行距"/>
    <w:basedOn w:val="1"/>
    <w:qFormat/>
    <w:uiPriority w:val="0"/>
    <w:pPr>
      <w:adjustRightInd w:val="0"/>
      <w:textAlignment w:val="baseline"/>
    </w:pPr>
    <w:rPr>
      <w:kern w:val="0"/>
      <w:szCs w:val="20"/>
    </w:rPr>
  </w:style>
  <w:style w:type="paragraph" w:customStyle="1" w:styleId="22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CM75"/>
    <w:basedOn w:val="189"/>
    <w:next w:val="189"/>
    <w:qFormat/>
    <w:uiPriority w:val="99"/>
    <w:pPr>
      <w:spacing w:line="593" w:lineRule="atLeast"/>
    </w:pPr>
    <w:rPr>
      <w:rFonts w:cs="Times New Roman"/>
      <w:color w:val="auto"/>
      <w:sz w:val="20"/>
    </w:rPr>
  </w:style>
  <w:style w:type="paragraph" w:customStyle="1" w:styleId="223">
    <w:name w:val="无标题条"/>
    <w:next w:val="178"/>
    <w:qFormat/>
    <w:uiPriority w:val="0"/>
    <w:pPr>
      <w:jc w:val="both"/>
    </w:pPr>
    <w:rPr>
      <w:rFonts w:ascii="Times New Roman" w:hAnsi="Times New Roman" w:eastAsia="宋体" w:cs="Times New Roman"/>
      <w:sz w:val="21"/>
      <w:lang w:val="en-US" w:eastAsia="zh-CN" w:bidi="ar-SA"/>
    </w:rPr>
  </w:style>
  <w:style w:type="paragraph" w:customStyle="1" w:styleId="22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5">
    <w:name w:val="三级条标题"/>
    <w:basedOn w:val="161"/>
    <w:next w:val="178"/>
    <w:qFormat/>
    <w:uiPriority w:val="0"/>
    <w:pPr>
      <w:tabs>
        <w:tab w:val="left" w:pos="945"/>
        <w:tab w:val="left" w:pos="1080"/>
      </w:tabs>
      <w:outlineLvl w:val="4"/>
    </w:pPr>
  </w:style>
  <w:style w:type="paragraph" w:customStyle="1" w:styleId="226">
    <w:name w:val="1"/>
    <w:basedOn w:val="1"/>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2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2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29">
    <w:name w:val="scfAnschrift"/>
    <w:basedOn w:val="1"/>
    <w:qFormat/>
    <w:uiPriority w:val="99"/>
    <w:pPr>
      <w:widowControl/>
      <w:tabs>
        <w:tab w:val="left" w:pos="1701"/>
      </w:tabs>
      <w:spacing w:line="240" w:lineRule="exact"/>
      <w:jc w:val="left"/>
    </w:pPr>
    <w:rPr>
      <w:rFonts w:ascii="Arial" w:hAnsi="Arial"/>
      <w:kern w:val="0"/>
      <w:sz w:val="22"/>
      <w:szCs w:val="20"/>
      <w:lang w:val="en-GB"/>
    </w:rPr>
  </w:style>
  <w:style w:type="paragraph" w:customStyle="1" w:styleId="230">
    <w:name w:val="章标题"/>
    <w:next w:val="178"/>
    <w:qFormat/>
    <w:uiPriority w:val="0"/>
    <w:pPr>
      <w:numPr>
        <w:ilvl w:val="1"/>
        <w:numId w:val="17"/>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231">
    <w:name w:val="CM2"/>
    <w:basedOn w:val="189"/>
    <w:next w:val="189"/>
    <w:qFormat/>
    <w:uiPriority w:val="99"/>
    <w:pPr>
      <w:spacing w:line="313" w:lineRule="atLeast"/>
    </w:pPr>
    <w:rPr>
      <w:rFonts w:cs="Times New Roman"/>
      <w:color w:val="auto"/>
      <w:sz w:val="20"/>
    </w:rPr>
  </w:style>
  <w:style w:type="paragraph" w:customStyle="1" w:styleId="23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33">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3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35">
    <w:name w:val="实施日期"/>
    <w:basedOn w:val="1"/>
    <w:qFormat/>
    <w:uiPriority w:val="0"/>
    <w:pPr>
      <w:widowControl/>
      <w:jc w:val="right"/>
    </w:pPr>
    <w:rPr>
      <w:rFonts w:eastAsia="黑体"/>
      <w:kern w:val="0"/>
      <w:sz w:val="28"/>
      <w:szCs w:val="20"/>
    </w:rPr>
  </w:style>
  <w:style w:type="paragraph" w:customStyle="1" w:styleId="236">
    <w:name w:val="五级条标题"/>
    <w:basedOn w:val="237"/>
    <w:next w:val="178"/>
    <w:qFormat/>
    <w:uiPriority w:val="0"/>
    <w:pPr>
      <w:tabs>
        <w:tab w:val="left" w:pos="1021"/>
        <w:tab w:val="left" w:pos="1155"/>
        <w:tab w:val="left" w:pos="1407"/>
        <w:tab w:val="left" w:pos="1440"/>
      </w:tabs>
      <w:outlineLvl w:val="6"/>
    </w:pPr>
  </w:style>
  <w:style w:type="paragraph" w:customStyle="1" w:styleId="237">
    <w:name w:val="四级条标题"/>
    <w:basedOn w:val="225"/>
    <w:next w:val="178"/>
    <w:qFormat/>
    <w:uiPriority w:val="0"/>
    <w:pPr>
      <w:tabs>
        <w:tab w:val="left" w:pos="1021"/>
        <w:tab w:val="left" w:pos="1155"/>
        <w:tab w:val="clear" w:pos="945"/>
        <w:tab w:val="clear" w:pos="1080"/>
      </w:tabs>
      <w:outlineLvl w:val="5"/>
    </w:pPr>
  </w:style>
  <w:style w:type="paragraph" w:customStyle="1" w:styleId="238">
    <w:name w:val="CM32"/>
    <w:basedOn w:val="189"/>
    <w:next w:val="189"/>
    <w:qFormat/>
    <w:uiPriority w:val="99"/>
    <w:pPr>
      <w:spacing w:line="313" w:lineRule="atLeast"/>
    </w:pPr>
    <w:rPr>
      <w:rFonts w:cs="Times New Roman"/>
      <w:color w:val="auto"/>
      <w:sz w:val="20"/>
    </w:rPr>
  </w:style>
  <w:style w:type="paragraph" w:styleId="239">
    <w:name w:val="List Paragraph"/>
    <w:basedOn w:val="1"/>
    <w:qFormat/>
    <w:uiPriority w:val="99"/>
    <w:pPr>
      <w:ind w:firstLine="420" w:firstLineChars="200"/>
    </w:pPr>
  </w:style>
  <w:style w:type="paragraph" w:customStyle="1" w:styleId="240">
    <w:name w:val="样式 首行缩进:  0 厘米 行距: 单倍行距 Char"/>
    <w:basedOn w:val="1"/>
    <w:qFormat/>
    <w:uiPriority w:val="0"/>
    <w:pPr>
      <w:adjustRightInd w:val="0"/>
      <w:textAlignment w:val="baseline"/>
    </w:pPr>
    <w:rPr>
      <w:kern w:val="0"/>
      <w:szCs w:val="21"/>
    </w:rPr>
  </w:style>
  <w:style w:type="paragraph" w:customStyle="1" w:styleId="241">
    <w:name w:val="标准称谓"/>
    <w:next w:val="1"/>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4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43">
    <w:name w:val="样式 标题 2 + 黑体 段前: 10.25 磅 段后: 10.25 磅 行距: 单倍行距"/>
    <w:basedOn w:val="3"/>
    <w:qFormat/>
    <w:uiPriority w:val="0"/>
    <w:pPr>
      <w:topLinePunct w:val="0"/>
      <w:adjustRightInd w:val="0"/>
      <w:spacing w:before="156" w:beforeLines="50" w:after="156" w:afterLines="50"/>
      <w:jc w:val="left"/>
      <w:textAlignment w:val="baseline"/>
    </w:pPr>
    <w:rPr>
      <w:rFonts w:ascii="黑体" w:hAnsi="黑体"/>
      <w:b/>
      <w:bCs w:val="0"/>
      <w:kern w:val="0"/>
      <w:sz w:val="24"/>
      <w:szCs w:val="20"/>
    </w:rPr>
  </w:style>
  <w:style w:type="paragraph" w:customStyle="1" w:styleId="24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45">
    <w:name w:val="四级无标题条"/>
    <w:basedOn w:val="1"/>
    <w:qFormat/>
    <w:uiPriority w:val="0"/>
    <w:pPr>
      <w:numPr>
        <w:ilvl w:val="5"/>
        <w:numId w:val="16"/>
      </w:numPr>
    </w:pPr>
  </w:style>
  <w:style w:type="paragraph" w:customStyle="1" w:styleId="24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47">
    <w:name w:val="样式 黑体 段前: 6 磅 段后: 6 磅 行距: 1.5 倍行距"/>
    <w:basedOn w:val="1"/>
    <w:qFormat/>
    <w:uiPriority w:val="0"/>
    <w:pPr>
      <w:numPr>
        <w:ilvl w:val="0"/>
        <w:numId w:val="18"/>
      </w:numPr>
      <w:spacing w:before="120" w:after="120" w:line="360" w:lineRule="auto"/>
    </w:pPr>
    <w:rPr>
      <w:rFonts w:ascii="黑体" w:hAnsi="宋体" w:eastAsia="黑体" w:cs="宋体"/>
      <w:szCs w:val="20"/>
    </w:rPr>
  </w:style>
  <w:style w:type="paragraph" w:customStyle="1" w:styleId="248">
    <w:name w:val="CM89"/>
    <w:basedOn w:val="189"/>
    <w:next w:val="189"/>
    <w:qFormat/>
    <w:uiPriority w:val="99"/>
    <w:pPr>
      <w:spacing w:after="543"/>
    </w:pPr>
    <w:rPr>
      <w:rFonts w:cs="Times New Roman"/>
      <w:color w:val="auto"/>
      <w:sz w:val="20"/>
    </w:rPr>
  </w:style>
  <w:style w:type="paragraph" w:customStyle="1" w:styleId="249">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0">
    <w:name w:val="CM77"/>
    <w:basedOn w:val="189"/>
    <w:next w:val="189"/>
    <w:qFormat/>
    <w:uiPriority w:val="99"/>
    <w:pPr>
      <w:spacing w:after="283"/>
    </w:pPr>
    <w:rPr>
      <w:rFonts w:cs="Times New Roman"/>
      <w:color w:val="auto"/>
      <w:sz w:val="20"/>
    </w:rPr>
  </w:style>
  <w:style w:type="paragraph" w:customStyle="1" w:styleId="251">
    <w:name w:val="样式 标题 5 + 右侧:  1 字符"/>
    <w:basedOn w:val="6"/>
    <w:uiPriority w:val="0"/>
    <w:pPr>
      <w:numPr>
        <w:numId w:val="0"/>
      </w:numPr>
      <w:adjustRightInd w:val="0"/>
      <w:ind w:right="210" w:rightChars="100"/>
      <w:textAlignment w:val="baseline"/>
    </w:pPr>
    <w:rPr>
      <w:rFonts w:eastAsia="宋体" w:cs="宋体"/>
      <w:bCs w:val="0"/>
      <w:kern w:val="0"/>
      <w:szCs w:val="20"/>
    </w:rPr>
  </w:style>
  <w:style w:type="paragraph" w:customStyle="1" w:styleId="25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53">
    <w:name w:val="xl3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54">
    <w:name w:val="五级无标题条"/>
    <w:basedOn w:val="1"/>
    <w:qFormat/>
    <w:uiPriority w:val="0"/>
    <w:pPr>
      <w:numPr>
        <w:ilvl w:val="6"/>
        <w:numId w:val="16"/>
      </w:numPr>
    </w:pPr>
  </w:style>
  <w:style w:type="paragraph" w:customStyle="1" w:styleId="25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6">
    <w:name w:val="数字编号列项（二级）"/>
    <w:qFormat/>
    <w:uiPriority w:val="0"/>
    <w:pPr>
      <w:jc w:val="both"/>
    </w:pPr>
    <w:rPr>
      <w:rFonts w:ascii="宋体" w:hAnsi="Times New Roman" w:eastAsia="宋体" w:cs="Times New Roman"/>
      <w:sz w:val="21"/>
      <w:lang w:val="en-US" w:eastAsia="zh-CN" w:bidi="ar-SA"/>
    </w:rPr>
  </w:style>
  <w:style w:type="paragraph" w:customStyle="1" w:styleId="25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5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5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60">
    <w:name w:val="前言首行"/>
    <w:basedOn w:val="1"/>
    <w:qFormat/>
    <w:uiPriority w:val="99"/>
    <w:pPr>
      <w:spacing w:after="120"/>
      <w:jc w:val="center"/>
    </w:pPr>
    <w:rPr>
      <w:rFonts w:eastAsia="黑体" w:cs="宋体"/>
      <w:b/>
      <w:bCs/>
      <w:sz w:val="32"/>
      <w:szCs w:val="20"/>
    </w:rPr>
  </w:style>
  <w:style w:type="paragraph" w:customStyle="1" w:styleId="261">
    <w:name w:val="样式 标题 1 + 首行缩进:  2 字符 段前: 1 行 段后: 1 行"/>
    <w:basedOn w:val="2"/>
    <w:uiPriority w:val="0"/>
    <w:pPr>
      <w:topLinePunct w:val="0"/>
      <w:spacing w:before="312" w:beforeLines="100" w:after="312" w:afterLines="100" w:line="360" w:lineRule="auto"/>
      <w:textAlignment w:val="auto"/>
    </w:pPr>
    <w:rPr>
      <w:rFonts w:eastAsia="宋体"/>
      <w:b/>
      <w:sz w:val="28"/>
      <w:szCs w:val="20"/>
    </w:rPr>
  </w:style>
  <w:style w:type="paragraph" w:customStyle="1" w:styleId="26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6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4">
    <w:name w:val="Char"/>
    <w:basedOn w:val="1"/>
    <w:qFormat/>
    <w:uiPriority w:val="0"/>
  </w:style>
  <w:style w:type="paragraph" w:customStyle="1" w:styleId="26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66">
    <w:name w:val="一级条标题"/>
    <w:basedOn w:val="230"/>
    <w:next w:val="178"/>
    <w:qFormat/>
    <w:uiPriority w:val="0"/>
    <w:pPr>
      <w:numPr>
        <w:ilvl w:val="2"/>
      </w:numPr>
      <w:tabs>
        <w:tab w:val="left" w:pos="525"/>
      </w:tabs>
      <w:spacing w:before="0" w:beforeLines="0" w:after="0" w:afterLines="0"/>
      <w:outlineLvl w:val="2"/>
    </w:pPr>
  </w:style>
  <w:style w:type="paragraph" w:customStyle="1" w:styleId="267">
    <w:name w:val="样式 标题 3 + 宋体 段前: 7.8 磅"/>
    <w:basedOn w:val="4"/>
    <w:qFormat/>
    <w:uiPriority w:val="0"/>
    <w:pPr>
      <w:keepNext w:val="0"/>
      <w:keepLines w:val="0"/>
      <w:numPr>
        <w:numId w:val="13"/>
      </w:numPr>
      <w:tabs>
        <w:tab w:val="left" w:pos="1560"/>
        <w:tab w:val="left" w:pos="1740"/>
      </w:tabs>
      <w:adjustRightInd w:val="0"/>
      <w:snapToGrid w:val="0"/>
      <w:spacing w:before="156" w:line="360" w:lineRule="auto"/>
      <w:jc w:val="both"/>
    </w:pPr>
    <w:rPr>
      <w:rFonts w:ascii="宋体" w:hAnsi="宋体" w:eastAsia="宋体" w:cs="宋体"/>
      <w:bCs w:val="0"/>
      <w:sz w:val="21"/>
      <w:szCs w:val="20"/>
    </w:rPr>
  </w:style>
  <w:style w:type="paragraph" w:customStyle="1" w:styleId="268">
    <w:name w:val="Style3"/>
    <w:basedOn w:val="3"/>
    <w:qFormat/>
    <w:uiPriority w:val="99"/>
    <w:pPr>
      <w:numPr>
        <w:ilvl w:val="0"/>
        <w:numId w:val="0"/>
      </w:numPr>
      <w:topLinePunct w:val="0"/>
      <w:spacing w:line="360" w:lineRule="auto"/>
      <w:jc w:val="left"/>
    </w:pPr>
    <w:rPr>
      <w:rFonts w:ascii="黑体" w:hAnsi="黑体" w:eastAsia="宋体"/>
      <w:szCs w:val="32"/>
    </w:rPr>
  </w:style>
  <w:style w:type="paragraph" w:customStyle="1" w:styleId="269">
    <w:name w:val="三级无标题条"/>
    <w:basedOn w:val="1"/>
    <w:qFormat/>
    <w:uiPriority w:val="0"/>
    <w:pPr>
      <w:numPr>
        <w:ilvl w:val="4"/>
        <w:numId w:val="16"/>
      </w:numPr>
    </w:pPr>
  </w:style>
  <w:style w:type="paragraph" w:customStyle="1" w:styleId="270">
    <w:name w:val="Char Char Char Char Char Char Char"/>
    <w:basedOn w:val="1"/>
    <w:qFormat/>
    <w:uiPriority w:val="0"/>
  </w:style>
  <w:style w:type="paragraph" w:customStyle="1" w:styleId="271">
    <w:name w:val="图形标题"/>
    <w:basedOn w:val="20"/>
    <w:qFormat/>
    <w:uiPriority w:val="0"/>
    <w:pPr>
      <w:spacing w:before="0" w:after="0"/>
      <w:jc w:val="center"/>
    </w:pPr>
    <w:rPr>
      <w:rFonts w:ascii="宋体" w:hAnsi="Plotter" w:eastAsia="宋体"/>
      <w:sz w:val="21"/>
    </w:rPr>
  </w:style>
  <w:style w:type="paragraph" w:customStyle="1" w:styleId="272">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73">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7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76">
    <w:name w:val="Char Char Char"/>
    <w:basedOn w:val="1"/>
    <w:qFormat/>
    <w:uiPriority w:val="0"/>
  </w:style>
  <w:style w:type="paragraph" w:customStyle="1" w:styleId="277">
    <w:name w:val="附录"/>
    <w:basedOn w:val="2"/>
    <w:qFormat/>
    <w:uiPriority w:val="0"/>
    <w:pPr>
      <w:numPr>
        <w:numId w:val="0"/>
      </w:numPr>
      <w:spacing w:line="960" w:lineRule="auto"/>
      <w:ind w:firstLine="420"/>
      <w:jc w:val="center"/>
    </w:pPr>
    <w:rPr>
      <w:rFonts w:eastAsia="黑体"/>
      <w:kern w:val="2"/>
      <w:sz w:val="28"/>
      <w:szCs w:val="28"/>
    </w:rPr>
  </w:style>
  <w:style w:type="paragraph" w:customStyle="1" w:styleId="27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9">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80">
    <w:name w:val="默认段落字体 Para Char Char Char Char"/>
    <w:basedOn w:val="1"/>
    <w:qFormat/>
    <w:uiPriority w:val="0"/>
    <w:rPr>
      <w:rFonts w:ascii="宋体" w:hAnsi="宋体"/>
      <w:b/>
      <w:color w:val="000000"/>
      <w:sz w:val="24"/>
    </w:rPr>
  </w:style>
  <w:style w:type="paragraph" w:customStyle="1" w:styleId="281">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82">
    <w:name w:val="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283">
    <w:name w:val="TOC 标题1"/>
    <w:basedOn w:val="2"/>
    <w:next w:val="1"/>
    <w:qFormat/>
    <w:uiPriority w:val="99"/>
    <w:pPr>
      <w:widowControl/>
      <w:numPr>
        <w:numId w:val="0"/>
      </w:numPr>
      <w:topLinePunct w:val="0"/>
      <w:spacing w:before="480" w:after="60" w:line="276" w:lineRule="auto"/>
      <w:jc w:val="left"/>
      <w:textAlignment w:val="auto"/>
      <w:outlineLvl w:val="9"/>
    </w:pPr>
    <w:rPr>
      <w:rFonts w:ascii="Cambria" w:hAnsi="Cambria" w:eastAsia="黑体"/>
      <w:bCs/>
      <w:color w:val="365F91"/>
      <w:kern w:val="0"/>
      <w:sz w:val="28"/>
      <w:szCs w:val="28"/>
    </w:rPr>
  </w:style>
  <w:style w:type="paragraph" w:customStyle="1" w:styleId="284">
    <w:name w:val="Char Char Char1"/>
    <w:basedOn w:val="1"/>
    <w:qFormat/>
    <w:uiPriority w:val="0"/>
  </w:style>
  <w:style w:type="paragraph" w:customStyle="1" w:styleId="285">
    <w:name w:val="CM79"/>
    <w:basedOn w:val="189"/>
    <w:next w:val="189"/>
    <w:qFormat/>
    <w:uiPriority w:val="99"/>
    <w:pPr>
      <w:spacing w:after="353"/>
    </w:pPr>
    <w:rPr>
      <w:rFonts w:cs="Times New Roman"/>
      <w:color w:val="auto"/>
      <w:sz w:val="20"/>
    </w:rPr>
  </w:style>
  <w:style w:type="paragraph" w:customStyle="1" w:styleId="28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87">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88">
    <w:name w:val="CM73"/>
    <w:basedOn w:val="189"/>
    <w:next w:val="189"/>
    <w:qFormat/>
    <w:uiPriority w:val="99"/>
    <w:rPr>
      <w:rFonts w:cs="Times New Roman"/>
      <w:color w:val="auto"/>
      <w:sz w:val="20"/>
    </w:rPr>
  </w:style>
  <w:style w:type="paragraph" w:customStyle="1" w:styleId="28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table" w:customStyle="1" w:styleId="290">
    <w:name w:val="网格型1"/>
    <w:basedOn w:val="83"/>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2.w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B2CFA-C9EC-495D-ADA0-9656CFF42344}">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21</Pages>
  <Words>10663</Words>
  <Characters>13008</Characters>
  <Lines>116</Lines>
  <Paragraphs>32</Paragraphs>
  <TotalTime>101</TotalTime>
  <ScaleCrop>false</ScaleCrop>
  <LinksUpToDate>false</LinksUpToDate>
  <CharactersWithSpaces>13388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2022-08-29T07:10:00Z</dcterms:created>
  <dc:creator>liuruoqiao</dc:creator>
  <cp:lastModifiedBy>左左1407025380</cp:lastModifiedBy>
  <cp:lastPrinted>2014-09-16T00:44:00Z</cp:lastPrinted>
  <dcterms:modified xsi:type="dcterms:W3CDTF">2023-11-16T00:59:05Z</dcterms:modified>
  <dc:title>（2009年版）</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2052-12.1.0.15712</vt:lpwstr>
  </property>
  <property fmtid="{D5CDD505-2E9C-101B-9397-08002B2CF9AE}" pid="4" name="ICV">
    <vt:lpwstr>86841D802EE642EAB4D1C2636E30D2E4</vt:lpwstr>
  </property>
</Properties>
</file>