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CEF520">
      <w:pPr>
        <w:pStyle w:val="4"/>
      </w:pPr>
      <w:r>
        <w:rPr>
          <w:rFonts w:hint="eastAsia"/>
          <w:highlight w:val="none"/>
        </w:rPr>
        <w:t>广州黄埔供电局可快速适配环网柜的机器人手持外挂电操机构职创项目技术服务</w:t>
      </w:r>
      <w:r>
        <w:rPr>
          <w:rFonts w:hint="eastAsia"/>
        </w:rPr>
        <w:t>零星采购技术规范书</w:t>
      </w:r>
    </w:p>
    <w:p w14:paraId="0EDDE913">
      <w:pPr>
        <w:spacing w:line="360" w:lineRule="auto"/>
        <w:outlineLvl w:val="0"/>
        <w:rPr>
          <w:rFonts w:hint="eastAsia" w:ascii="仿宋" w:hAnsi="仿宋" w:eastAsia="仿宋" w:cs="仿宋"/>
          <w:b/>
          <w:bCs/>
          <w:sz w:val="24"/>
          <w:szCs w:val="24"/>
        </w:rPr>
      </w:pPr>
      <w:bookmarkStart w:id="0" w:name="_Toc441159752"/>
      <w:bookmarkEnd w:id="0"/>
      <w:r>
        <w:rPr>
          <w:rFonts w:hint="eastAsia" w:ascii="仿宋" w:hAnsi="仿宋" w:eastAsia="仿宋" w:cs="仿宋"/>
          <w:b/>
          <w:bCs/>
          <w:sz w:val="24"/>
          <w:szCs w:val="24"/>
        </w:rPr>
        <w:t>一.项目概要</w:t>
      </w:r>
    </w:p>
    <w:p w14:paraId="477C5A64">
      <w:pPr>
        <w:pStyle w:val="12"/>
        <w:adjustRightInd w:val="0"/>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本项目预期研制一种可快速适配环网柜的机器人手持外挂电操机构。通过模块化设计，可快速适配多种主流厂家柜型，无需对母排停电即可安装运行，实现对主开关的电动化改造，并且不影响接地机构操作。另外还可引出线连接至现场DTU，实现远程控制的三遥功能。在现场实操安全性方面，此机构配合五防闭锁保护，在确保与现有环网柜操作逻辑和信息状态一致的前提下，保留并兼容手动操作功能以应对特殊情况和故障应急。除此之外，增加固定支架作为锁止装置，套装于柜体上，受力均匀稳定，无需对柜体进行打孔切割改造。进一步对锁止装置优化，可实现由机器人手持完成安装、调试和操作全过程，避免人工在高温高压、易燃易爆等工作场景的操作隐患，提高作业安全性。</w:t>
      </w:r>
    </w:p>
    <w:p w14:paraId="1F25F5EA">
      <w:pPr>
        <w:numPr>
          <w:ilvl w:val="0"/>
          <w:numId w:val="1"/>
        </w:numPr>
        <w:spacing w:line="360" w:lineRule="auto"/>
        <w:outlineLvl w:val="0"/>
        <w:rPr>
          <w:rFonts w:hint="eastAsia" w:ascii="仿宋" w:hAnsi="仿宋" w:eastAsia="仿宋" w:cs="仿宋"/>
          <w:b/>
          <w:bCs/>
          <w:sz w:val="24"/>
          <w:szCs w:val="24"/>
        </w:rPr>
      </w:pPr>
      <w:r>
        <w:rPr>
          <w:rFonts w:hint="eastAsia" w:ascii="仿宋" w:hAnsi="仿宋" w:eastAsia="仿宋" w:cs="仿宋"/>
          <w:b/>
          <w:bCs/>
          <w:sz w:val="24"/>
          <w:szCs w:val="24"/>
        </w:rPr>
        <w:t>项目范围</w:t>
      </w:r>
    </w:p>
    <w:p w14:paraId="719D38A8">
      <w:pPr>
        <w:pStyle w:val="14"/>
        <w:spacing w:line="360" w:lineRule="auto"/>
        <w:ind w:firstLine="420"/>
        <w:rPr>
          <w:rFonts w:hint="default" w:ascii="仿宋" w:hAnsi="仿宋" w:eastAsia="仿宋" w:cs="仿宋"/>
          <w:sz w:val="24"/>
          <w:szCs w:val="24"/>
          <w:lang w:val="en-US" w:eastAsia="zh-CN"/>
        </w:rPr>
      </w:pPr>
      <w:r>
        <w:rPr>
          <w:rFonts w:hint="eastAsia" w:ascii="仿宋" w:hAnsi="仿宋" w:eastAsia="仿宋" w:cs="仿宋"/>
          <w:sz w:val="24"/>
          <w:szCs w:val="24"/>
        </w:rPr>
        <w:t>本项目拟采购</w:t>
      </w:r>
      <w:r>
        <w:rPr>
          <w:rFonts w:hint="eastAsia" w:ascii="仿宋" w:hAnsi="仿宋" w:eastAsia="仿宋" w:cs="仿宋"/>
          <w:sz w:val="24"/>
          <w:szCs w:val="24"/>
          <w:lang w:val="en-US" w:eastAsia="zh-CN"/>
        </w:rPr>
        <w:t>10kV环网柜外挂电操机构成套装置加工测试技术</w:t>
      </w:r>
      <w:r>
        <w:rPr>
          <w:rFonts w:hint="eastAsia" w:ascii="仿宋" w:hAnsi="仿宋" w:eastAsia="仿宋" w:cs="仿宋"/>
          <w:sz w:val="24"/>
          <w:szCs w:val="24"/>
        </w:rPr>
        <w:t>服务</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主要包括核心部件的加工，以及加工完成后成套装置的功能、性能、安全与安装调试测试，并出具相应的测试报告。</w:t>
      </w:r>
    </w:p>
    <w:p w14:paraId="37EEF086">
      <w:pPr>
        <w:spacing w:line="360" w:lineRule="auto"/>
        <w:outlineLvl w:val="0"/>
        <w:rPr>
          <w:rFonts w:hint="eastAsia" w:ascii="仿宋" w:hAnsi="仿宋" w:eastAsia="仿宋" w:cs="仿宋"/>
          <w:b/>
          <w:bCs/>
          <w:sz w:val="24"/>
          <w:szCs w:val="24"/>
          <w:lang w:val="en-US" w:eastAsia="zh-CN"/>
        </w:rPr>
      </w:pPr>
      <w:r>
        <w:rPr>
          <w:rFonts w:hint="eastAsia" w:ascii="仿宋" w:hAnsi="仿宋" w:eastAsia="仿宋" w:cs="仿宋"/>
          <w:b/>
          <w:bCs/>
          <w:sz w:val="24"/>
          <w:szCs w:val="24"/>
        </w:rPr>
        <w:t>三.项目技术</w:t>
      </w:r>
      <w:r>
        <w:rPr>
          <w:rFonts w:hint="eastAsia" w:ascii="仿宋" w:hAnsi="仿宋" w:eastAsia="仿宋" w:cs="仿宋"/>
          <w:b/>
          <w:bCs/>
          <w:sz w:val="24"/>
          <w:szCs w:val="24"/>
          <w:lang w:val="en-US" w:eastAsia="zh-CN"/>
        </w:rPr>
        <w:t>要求</w:t>
      </w:r>
    </w:p>
    <w:p w14:paraId="58C6105A">
      <w:pPr>
        <w:spacing w:beforeLines="0" w:afterLines="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10kV环网柜外挂电操机构成套装置样机，</w:t>
      </w:r>
      <w:r>
        <w:rPr>
          <w:rFonts w:hint="eastAsia" w:ascii="仿宋" w:hAnsi="仿宋" w:eastAsia="仿宋" w:cs="仿宋"/>
          <w:sz w:val="24"/>
          <w:szCs w:val="24"/>
          <w:lang w:val="en-US" w:eastAsia="zh-CN"/>
        </w:rPr>
        <w:t>技术规格如下：</w:t>
      </w:r>
    </w:p>
    <w:p w14:paraId="179292ED">
      <w:pPr>
        <w:spacing w:beforeLines="0" w:afterLines="0"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rPr>
        <w:t>部件功能描述</w:t>
      </w:r>
      <w:r>
        <w:rPr>
          <w:rFonts w:hint="eastAsia" w:ascii="仿宋" w:hAnsi="仿宋" w:eastAsia="仿宋" w:cs="仿宋"/>
          <w:sz w:val="24"/>
          <w:szCs w:val="24"/>
          <w:lang w:eastAsia="zh-CN"/>
        </w:rPr>
        <w:t>】</w:t>
      </w:r>
    </w:p>
    <w:p w14:paraId="760275D3">
      <w:pPr>
        <w:spacing w:beforeLines="0" w:afterLines="0" w:line="360" w:lineRule="auto"/>
        <w:ind w:firstLine="480" w:firstLineChars="200"/>
        <w:outlineLvl w:val="1"/>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3.1</w:t>
      </w:r>
      <w:r>
        <w:rPr>
          <w:rFonts w:hint="eastAsia" w:ascii="仿宋" w:hAnsi="仿宋" w:eastAsia="仿宋" w:cs="仿宋"/>
          <w:sz w:val="24"/>
          <w:szCs w:val="24"/>
        </w:rPr>
        <w:t>操作套筒</w:t>
      </w:r>
    </w:p>
    <w:p w14:paraId="386C2213">
      <w:pPr>
        <w:spacing w:beforeLines="0" w:afterLines="0" w:line="360" w:lineRule="auto"/>
        <w:ind w:firstLine="480" w:firstLineChars="200"/>
        <w:rPr>
          <w:rFonts w:hint="eastAsia" w:ascii="仿宋" w:hAnsi="仿宋" w:eastAsia="仿宋" w:cs="仿宋"/>
          <w:bCs w:val="0"/>
          <w:color w:val="auto"/>
          <w:sz w:val="24"/>
          <w:szCs w:val="24"/>
          <w:highlight w:val="none"/>
          <w:lang w:val="en-US" w:eastAsia="zh-CN"/>
        </w:rPr>
      </w:pPr>
      <w:r>
        <w:rPr>
          <w:rFonts w:hint="eastAsia" w:ascii="仿宋" w:hAnsi="仿宋" w:eastAsia="仿宋" w:cs="仿宋"/>
          <w:bCs w:val="0"/>
          <w:color w:val="auto"/>
          <w:sz w:val="24"/>
          <w:szCs w:val="24"/>
          <w:highlight w:val="none"/>
          <w:lang w:val="en-US" w:eastAsia="zh-CN"/>
        </w:rPr>
        <w:t>材质：高强度合金，表面处理。</w:t>
      </w:r>
    </w:p>
    <w:p w14:paraId="7C22E216">
      <w:pPr>
        <w:spacing w:beforeLines="0" w:afterLines="0" w:line="360" w:lineRule="auto"/>
        <w:ind w:firstLine="480" w:firstLineChars="200"/>
        <w:rPr>
          <w:rFonts w:hint="eastAsia" w:ascii="仿宋" w:hAnsi="仿宋" w:eastAsia="仿宋" w:cs="仿宋"/>
          <w:bCs w:val="0"/>
          <w:color w:val="auto"/>
          <w:sz w:val="24"/>
          <w:szCs w:val="24"/>
          <w:highlight w:val="none"/>
          <w:lang w:val="en-US" w:eastAsia="zh-CN"/>
        </w:rPr>
      </w:pPr>
      <w:r>
        <w:rPr>
          <w:rFonts w:hint="eastAsia" w:ascii="仿宋" w:hAnsi="仿宋" w:eastAsia="仿宋" w:cs="仿宋"/>
          <w:bCs w:val="0"/>
          <w:color w:val="auto"/>
          <w:sz w:val="24"/>
          <w:szCs w:val="24"/>
          <w:highlight w:val="none"/>
          <w:lang w:val="en-US" w:eastAsia="zh-CN"/>
        </w:rPr>
        <w:t>尺寸：适配多种主流厂家环网柜的操作机构。</w:t>
      </w:r>
    </w:p>
    <w:p w14:paraId="7E7A3CCF">
      <w:pPr>
        <w:spacing w:beforeLines="0" w:afterLines="0" w:line="360" w:lineRule="auto"/>
        <w:ind w:firstLine="480" w:firstLineChars="200"/>
        <w:rPr>
          <w:rFonts w:hint="eastAsia" w:ascii="仿宋" w:hAnsi="仿宋" w:eastAsia="仿宋" w:cs="仿宋"/>
          <w:bCs w:val="0"/>
          <w:color w:val="auto"/>
          <w:sz w:val="24"/>
          <w:szCs w:val="24"/>
          <w:highlight w:val="none"/>
          <w:lang w:val="en-US" w:eastAsia="zh-CN"/>
        </w:rPr>
      </w:pPr>
      <w:r>
        <w:rPr>
          <w:rFonts w:hint="eastAsia" w:ascii="仿宋" w:hAnsi="仿宋" w:eastAsia="仿宋" w:cs="仿宋"/>
          <w:bCs w:val="0"/>
          <w:color w:val="auto"/>
          <w:sz w:val="24"/>
          <w:szCs w:val="24"/>
          <w:highlight w:val="none"/>
          <w:lang w:val="en-US" w:eastAsia="zh-CN"/>
        </w:rPr>
        <w:t>功能：确保与环网柜操作机构的精确连接，操作顺畅无卡顿。</w:t>
      </w:r>
    </w:p>
    <w:p w14:paraId="3F727319">
      <w:pPr>
        <w:spacing w:beforeLines="0" w:afterLines="0" w:line="360" w:lineRule="auto"/>
        <w:ind w:firstLine="480" w:firstLineChars="200"/>
        <w:outlineLvl w:val="1"/>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3.2</w:t>
      </w:r>
      <w:r>
        <w:rPr>
          <w:rFonts w:hint="eastAsia" w:ascii="仿宋" w:hAnsi="仿宋" w:eastAsia="仿宋" w:cs="仿宋"/>
          <w:sz w:val="24"/>
          <w:szCs w:val="24"/>
        </w:rPr>
        <w:t>直流电机齿轮箱</w:t>
      </w:r>
    </w:p>
    <w:p w14:paraId="3C618314">
      <w:pPr>
        <w:spacing w:beforeLines="0" w:afterLines="0" w:line="360" w:lineRule="auto"/>
        <w:ind w:firstLine="480" w:firstLineChars="200"/>
        <w:rPr>
          <w:rFonts w:hint="eastAsia" w:ascii="仿宋" w:hAnsi="仿宋" w:eastAsia="仿宋" w:cs="仿宋"/>
          <w:bCs w:val="0"/>
          <w:color w:val="auto"/>
          <w:sz w:val="24"/>
          <w:szCs w:val="24"/>
          <w:highlight w:val="none"/>
          <w:lang w:val="en-US" w:eastAsia="zh-CN"/>
        </w:rPr>
      </w:pPr>
      <w:r>
        <w:rPr>
          <w:rFonts w:hint="eastAsia" w:ascii="仿宋" w:hAnsi="仿宋" w:eastAsia="仿宋" w:cs="仿宋"/>
          <w:bCs w:val="0"/>
          <w:color w:val="auto"/>
          <w:sz w:val="24"/>
          <w:szCs w:val="24"/>
          <w:highlight w:val="none"/>
          <w:lang w:val="en-US" w:eastAsia="zh-CN"/>
        </w:rPr>
        <w:t>输出扭矩：确保输出扭矩最大能达到150N。</w:t>
      </w:r>
    </w:p>
    <w:p w14:paraId="358C85BB">
      <w:pPr>
        <w:spacing w:beforeLines="0" w:afterLines="0" w:line="360" w:lineRule="auto"/>
        <w:ind w:firstLine="480" w:firstLineChars="200"/>
        <w:rPr>
          <w:rFonts w:hint="eastAsia" w:ascii="仿宋" w:hAnsi="仿宋" w:eastAsia="仿宋" w:cs="仿宋"/>
          <w:bCs w:val="0"/>
          <w:color w:val="auto"/>
          <w:sz w:val="24"/>
          <w:szCs w:val="24"/>
          <w:highlight w:val="none"/>
          <w:lang w:val="en-US" w:eastAsia="zh-CN"/>
        </w:rPr>
      </w:pPr>
      <w:r>
        <w:rPr>
          <w:rFonts w:hint="eastAsia" w:ascii="仿宋" w:hAnsi="仿宋" w:eastAsia="仿宋" w:cs="仿宋"/>
          <w:bCs w:val="0"/>
          <w:color w:val="auto"/>
          <w:sz w:val="24"/>
          <w:szCs w:val="24"/>
          <w:highlight w:val="none"/>
          <w:lang w:val="en-US" w:eastAsia="zh-CN"/>
        </w:rPr>
        <w:t>齿轮材质：高强度钢，确保传动的稳定性和耐用性。</w:t>
      </w:r>
    </w:p>
    <w:p w14:paraId="43DA0EAE">
      <w:pPr>
        <w:spacing w:beforeLines="0" w:afterLines="0" w:line="360" w:lineRule="auto"/>
        <w:ind w:firstLine="480" w:firstLineChars="200"/>
        <w:rPr>
          <w:rFonts w:hint="eastAsia" w:ascii="仿宋" w:hAnsi="仿宋" w:eastAsia="仿宋" w:cs="仿宋"/>
          <w:bCs w:val="0"/>
          <w:color w:val="auto"/>
          <w:sz w:val="24"/>
          <w:szCs w:val="24"/>
          <w:highlight w:val="none"/>
          <w:lang w:val="en-US" w:eastAsia="zh-CN"/>
        </w:rPr>
      </w:pPr>
      <w:r>
        <w:rPr>
          <w:rFonts w:hint="eastAsia" w:ascii="仿宋" w:hAnsi="仿宋" w:eastAsia="仿宋" w:cs="仿宋"/>
          <w:bCs w:val="0"/>
          <w:color w:val="auto"/>
          <w:sz w:val="24"/>
          <w:szCs w:val="24"/>
          <w:highlight w:val="none"/>
          <w:lang w:val="en-US" w:eastAsia="zh-CN"/>
        </w:rPr>
        <w:t>功能：直流电机通过齿轮传动带动开关机构转动，实现电动操作。</w:t>
      </w:r>
    </w:p>
    <w:p w14:paraId="003E1C1F">
      <w:pPr>
        <w:spacing w:beforeLines="0" w:afterLines="0" w:line="360" w:lineRule="auto"/>
        <w:ind w:firstLine="480" w:firstLineChars="200"/>
        <w:outlineLvl w:val="1"/>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3.3</w:t>
      </w:r>
      <w:r>
        <w:rPr>
          <w:rFonts w:hint="eastAsia" w:ascii="仿宋" w:hAnsi="仿宋" w:eastAsia="仿宋" w:cs="仿宋"/>
          <w:sz w:val="24"/>
          <w:szCs w:val="24"/>
        </w:rPr>
        <w:t>电动操作模块控制箱</w:t>
      </w:r>
    </w:p>
    <w:p w14:paraId="52BBBEB5">
      <w:pPr>
        <w:spacing w:beforeLines="0" w:afterLines="0" w:line="360" w:lineRule="auto"/>
        <w:ind w:firstLine="480" w:firstLineChars="200"/>
        <w:rPr>
          <w:rFonts w:hint="eastAsia" w:ascii="仿宋" w:hAnsi="仿宋" w:eastAsia="仿宋" w:cs="仿宋"/>
          <w:bCs w:val="0"/>
          <w:color w:val="auto"/>
          <w:sz w:val="24"/>
          <w:szCs w:val="24"/>
          <w:highlight w:val="none"/>
          <w:lang w:val="en-US" w:eastAsia="zh-CN"/>
        </w:rPr>
      </w:pPr>
      <w:r>
        <w:rPr>
          <w:rFonts w:hint="eastAsia" w:ascii="仿宋" w:hAnsi="仿宋" w:eastAsia="仿宋" w:cs="仿宋"/>
          <w:bCs w:val="0"/>
          <w:color w:val="auto"/>
          <w:sz w:val="24"/>
          <w:szCs w:val="24"/>
          <w:highlight w:val="none"/>
          <w:lang w:val="en-US" w:eastAsia="zh-CN"/>
        </w:rPr>
        <w:t>控制面板：电动操作按钮和状态指示灯。</w:t>
      </w:r>
    </w:p>
    <w:p w14:paraId="1055FF54">
      <w:pPr>
        <w:spacing w:beforeLines="0" w:afterLines="0" w:line="360" w:lineRule="auto"/>
        <w:ind w:firstLine="480" w:firstLineChars="200"/>
        <w:rPr>
          <w:rFonts w:hint="eastAsia" w:ascii="仿宋" w:hAnsi="仿宋" w:eastAsia="仿宋" w:cs="仿宋"/>
          <w:bCs w:val="0"/>
          <w:color w:val="auto"/>
          <w:sz w:val="24"/>
          <w:szCs w:val="24"/>
          <w:highlight w:val="none"/>
          <w:lang w:val="en-US" w:eastAsia="zh-CN"/>
        </w:rPr>
      </w:pPr>
      <w:r>
        <w:rPr>
          <w:rFonts w:hint="eastAsia" w:ascii="仿宋" w:hAnsi="仿宋" w:eastAsia="仿宋" w:cs="仿宋"/>
          <w:bCs w:val="0"/>
          <w:color w:val="auto"/>
          <w:sz w:val="24"/>
          <w:szCs w:val="24"/>
          <w:highlight w:val="none"/>
          <w:lang w:val="en-US" w:eastAsia="zh-CN"/>
        </w:rPr>
        <w:t>功能：实现对电机的精确控制，包括正反转控制、堵转保护、远程控制等功能。</w:t>
      </w:r>
    </w:p>
    <w:p w14:paraId="19D8FC89">
      <w:pPr>
        <w:spacing w:beforeLines="0" w:afterLines="0" w:line="360" w:lineRule="auto"/>
        <w:ind w:firstLine="480" w:firstLineChars="200"/>
        <w:outlineLvl w:val="1"/>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3.4</w:t>
      </w:r>
      <w:r>
        <w:rPr>
          <w:rFonts w:hint="eastAsia" w:ascii="仿宋" w:hAnsi="仿宋" w:eastAsia="仿宋" w:cs="仿宋"/>
          <w:sz w:val="24"/>
          <w:szCs w:val="24"/>
          <w:lang w:val="en-US" w:eastAsia="zh-CN"/>
        </w:rPr>
        <w:t>机构操作箱</w:t>
      </w:r>
    </w:p>
    <w:p w14:paraId="1C37029A">
      <w:pPr>
        <w:spacing w:beforeLines="0" w:afterLines="0" w:line="360" w:lineRule="auto"/>
        <w:ind w:firstLine="480" w:firstLineChars="200"/>
        <w:rPr>
          <w:rFonts w:hint="eastAsia" w:ascii="仿宋" w:hAnsi="仿宋" w:eastAsia="仿宋" w:cs="仿宋"/>
          <w:bCs w:val="0"/>
          <w:color w:val="auto"/>
          <w:sz w:val="24"/>
          <w:szCs w:val="24"/>
          <w:highlight w:val="none"/>
          <w:lang w:val="en-US" w:eastAsia="zh-CN"/>
        </w:rPr>
      </w:pPr>
      <w:r>
        <w:rPr>
          <w:rFonts w:hint="eastAsia" w:ascii="仿宋" w:hAnsi="仿宋" w:eastAsia="仿宋" w:cs="仿宋"/>
          <w:bCs w:val="0"/>
          <w:color w:val="auto"/>
          <w:sz w:val="24"/>
          <w:szCs w:val="24"/>
          <w:highlight w:val="none"/>
          <w:lang w:val="en-US" w:eastAsia="zh-CN"/>
        </w:rPr>
        <w:t>材质：高强度板材，具备良好的防护性能。</w:t>
      </w:r>
    </w:p>
    <w:p w14:paraId="3CF6CBBD">
      <w:pPr>
        <w:spacing w:beforeLines="0" w:afterLines="0" w:line="360" w:lineRule="auto"/>
        <w:ind w:firstLine="480" w:firstLineChars="200"/>
        <w:rPr>
          <w:rFonts w:hint="eastAsia" w:ascii="仿宋" w:hAnsi="仿宋" w:eastAsia="仿宋" w:cs="仿宋"/>
          <w:bCs w:val="0"/>
          <w:color w:val="auto"/>
          <w:sz w:val="24"/>
          <w:szCs w:val="24"/>
          <w:highlight w:val="none"/>
          <w:lang w:val="en-US" w:eastAsia="zh-CN"/>
        </w:rPr>
      </w:pPr>
      <w:r>
        <w:rPr>
          <w:rFonts w:hint="eastAsia" w:ascii="仿宋" w:hAnsi="仿宋" w:eastAsia="仿宋" w:cs="仿宋"/>
          <w:bCs w:val="0"/>
          <w:color w:val="auto"/>
          <w:sz w:val="24"/>
          <w:szCs w:val="24"/>
          <w:highlight w:val="none"/>
          <w:lang w:val="en-US" w:eastAsia="zh-CN"/>
        </w:rPr>
        <w:t>尺寸：紧凑设计，适配不同型号的环网柜。</w:t>
      </w:r>
    </w:p>
    <w:p w14:paraId="2145674C">
      <w:pPr>
        <w:spacing w:beforeLines="0" w:afterLines="0" w:line="360" w:lineRule="auto"/>
        <w:ind w:firstLine="480" w:firstLineChars="200"/>
        <w:rPr>
          <w:rFonts w:hint="eastAsia" w:ascii="仿宋" w:hAnsi="仿宋" w:eastAsia="仿宋" w:cs="仿宋"/>
          <w:bCs w:val="0"/>
          <w:color w:val="auto"/>
          <w:sz w:val="24"/>
          <w:szCs w:val="24"/>
          <w:highlight w:val="none"/>
          <w:lang w:val="en-US" w:eastAsia="zh-CN"/>
        </w:rPr>
      </w:pPr>
      <w:r>
        <w:rPr>
          <w:rFonts w:hint="eastAsia" w:ascii="仿宋" w:hAnsi="仿宋" w:eastAsia="仿宋" w:cs="仿宋"/>
          <w:bCs w:val="0"/>
          <w:color w:val="auto"/>
          <w:sz w:val="24"/>
          <w:szCs w:val="24"/>
          <w:highlight w:val="none"/>
          <w:lang w:val="en-US" w:eastAsia="zh-CN"/>
        </w:rPr>
        <w:t>功能：为机构提供物理保护，同时提供操作手动操作空间。</w:t>
      </w:r>
    </w:p>
    <w:p w14:paraId="2D0C2202">
      <w:pPr>
        <w:spacing w:beforeLines="0" w:afterLines="0" w:line="360" w:lineRule="auto"/>
        <w:ind w:firstLine="480" w:firstLineChars="200"/>
        <w:rPr>
          <w:rFonts w:hint="eastAsia" w:ascii="仿宋" w:hAnsi="仿宋" w:eastAsia="仿宋" w:cs="仿宋"/>
          <w:sz w:val="24"/>
          <w:szCs w:val="24"/>
        </w:rPr>
      </w:pPr>
    </w:p>
    <w:p w14:paraId="088CAD2F">
      <w:pPr>
        <w:spacing w:beforeLines="0" w:afterLines="0"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rPr>
        <w:t>主要参数</w:t>
      </w:r>
      <w:r>
        <w:rPr>
          <w:rFonts w:hint="eastAsia" w:ascii="仿宋" w:hAnsi="仿宋" w:eastAsia="仿宋" w:cs="仿宋"/>
          <w:sz w:val="24"/>
          <w:szCs w:val="24"/>
          <w:lang w:eastAsia="zh-CN"/>
        </w:rPr>
        <w:t>】</w:t>
      </w:r>
    </w:p>
    <w:p w14:paraId="69038BE2">
      <w:pPr>
        <w:spacing w:beforeLines="0" w:afterLines="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额定工作电压：48V，确保与现有环网柜的供电系统兼容。</w:t>
      </w:r>
    </w:p>
    <w:p w14:paraId="73C9C0FB">
      <w:pPr>
        <w:spacing w:beforeLines="0" w:afterLines="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额定输出扭矩：150N，满足环网柜开关操作的机械要求。</w:t>
      </w:r>
    </w:p>
    <w:p w14:paraId="331F68D8">
      <w:pPr>
        <w:spacing w:beforeLines="0" w:afterLines="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绝缘电阻：≥100MΩ，确保在高电压环境下操作的安全性。</w:t>
      </w:r>
    </w:p>
    <w:p w14:paraId="7425D9A2">
      <w:pPr>
        <w:spacing w:beforeLines="0" w:afterLines="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耐压测试：2kV/1min，确保设备绝缘性能。</w:t>
      </w:r>
    </w:p>
    <w:p w14:paraId="67CA767F">
      <w:pPr>
        <w:spacing w:beforeLines="0" w:afterLines="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机械寿命：≥3000次，确保设备在长期使用中的可靠性。</w:t>
      </w:r>
    </w:p>
    <w:p w14:paraId="0FDF8E5C">
      <w:pPr>
        <w:spacing w:beforeLines="0" w:afterLines="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传动要求：齿轮箱传动，确保传动的稳定性和精确性。</w:t>
      </w:r>
    </w:p>
    <w:p w14:paraId="2D0CB717">
      <w:pPr>
        <w:spacing w:beforeLines="0" w:afterLines="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操作功能：具备手动/电动离合器切换功能，确保在电动操作失效时，手动操作仍能正常进行。</w:t>
      </w:r>
    </w:p>
    <w:p w14:paraId="225E05CD">
      <w:pPr>
        <w:pStyle w:val="2"/>
        <w:rPr>
          <w:rFonts w:hint="eastAsia"/>
        </w:rPr>
      </w:pPr>
    </w:p>
    <w:p w14:paraId="0D5391E8">
      <w:pPr>
        <w:spacing w:line="360" w:lineRule="auto"/>
        <w:outlineLvl w:val="0"/>
        <w:rPr>
          <w:rFonts w:hint="eastAsia" w:ascii="仿宋" w:hAnsi="仿宋" w:eastAsia="仿宋" w:cs="仿宋"/>
          <w:b/>
          <w:bCs/>
          <w:sz w:val="24"/>
          <w:szCs w:val="24"/>
        </w:rPr>
      </w:pPr>
      <w:r>
        <w:rPr>
          <w:rFonts w:hint="eastAsia" w:ascii="仿宋" w:hAnsi="仿宋" w:eastAsia="仿宋" w:cs="仿宋"/>
          <w:b/>
          <w:bCs/>
          <w:sz w:val="24"/>
          <w:szCs w:val="24"/>
        </w:rPr>
        <w:t>四.服务要求</w:t>
      </w:r>
    </w:p>
    <w:p w14:paraId="0A735B0C">
      <w:pPr>
        <w:widowControl/>
        <w:adjustRightInd w:val="0"/>
        <w:snapToGrid w:val="0"/>
        <w:spacing w:line="360" w:lineRule="auto"/>
        <w:jc w:val="left"/>
        <w:outlineLvl w:val="1"/>
        <w:rPr>
          <w:rFonts w:hint="eastAsia" w:ascii="仿宋" w:hAnsi="仿宋" w:eastAsia="仿宋" w:cs="仿宋"/>
          <w:kern w:val="0"/>
          <w:sz w:val="24"/>
          <w:szCs w:val="24"/>
        </w:rPr>
      </w:pPr>
      <w:r>
        <w:rPr>
          <w:rFonts w:hint="eastAsia" w:ascii="仿宋" w:hAnsi="仿宋" w:eastAsia="仿宋" w:cs="仿宋"/>
          <w:b/>
          <w:bCs/>
          <w:kern w:val="0"/>
          <w:sz w:val="24"/>
          <w:szCs w:val="24"/>
        </w:rPr>
        <w:t>4.1 质量要求</w:t>
      </w:r>
      <w:bookmarkStart w:id="1" w:name="_GoBack"/>
      <w:bookmarkEnd w:id="1"/>
    </w:p>
    <w:p w14:paraId="2F713A54">
      <w:pPr>
        <w:widowControl/>
        <w:numPr>
          <w:ilvl w:val="0"/>
          <w:numId w:val="2"/>
        </w:numPr>
        <w:adjustRightInd w:val="0"/>
        <w:snapToGrid w:val="0"/>
        <w:spacing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rPr>
        <w:t>报价人需严格按照采购人要求实施质量管理。</w:t>
      </w:r>
    </w:p>
    <w:p w14:paraId="446AFC41">
      <w:pPr>
        <w:widowControl/>
        <w:numPr>
          <w:ilvl w:val="0"/>
          <w:numId w:val="2"/>
        </w:numPr>
        <w:adjustRightInd w:val="0"/>
        <w:snapToGrid w:val="0"/>
        <w:spacing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rPr>
        <w:t>报价人需要有独立的质量保证人员来配合采购人开展工作，从而保证工作过程和项目的质量。</w:t>
      </w:r>
    </w:p>
    <w:p w14:paraId="769C36A5">
      <w:pPr>
        <w:widowControl/>
        <w:numPr>
          <w:ilvl w:val="0"/>
          <w:numId w:val="2"/>
        </w:numPr>
        <w:adjustRightInd w:val="0"/>
        <w:snapToGrid w:val="0"/>
        <w:spacing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rPr>
        <w:t>报价人须配合采购人进行质量监测和关键点的质量评估。</w:t>
      </w:r>
    </w:p>
    <w:p w14:paraId="3446B209">
      <w:pPr>
        <w:widowControl/>
        <w:numPr>
          <w:ilvl w:val="0"/>
          <w:numId w:val="2"/>
        </w:numPr>
        <w:adjustRightInd w:val="0"/>
        <w:snapToGrid w:val="0"/>
        <w:spacing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rPr>
        <w:t>报价人团队在项目实施过程中应给出具体的风险管控措施，识别项目风险。</w:t>
      </w:r>
    </w:p>
    <w:p w14:paraId="47DEA298">
      <w:pPr>
        <w:widowControl/>
        <w:adjustRightInd w:val="0"/>
        <w:snapToGrid w:val="0"/>
        <w:spacing w:line="360" w:lineRule="auto"/>
        <w:jc w:val="left"/>
        <w:outlineLvl w:val="1"/>
        <w:rPr>
          <w:rFonts w:hint="eastAsia" w:ascii="仿宋" w:hAnsi="仿宋" w:eastAsia="仿宋" w:cs="仿宋"/>
          <w:b/>
          <w:bCs/>
          <w:kern w:val="0"/>
          <w:sz w:val="24"/>
          <w:szCs w:val="24"/>
        </w:rPr>
      </w:pPr>
      <w:r>
        <w:rPr>
          <w:rFonts w:hint="eastAsia" w:ascii="仿宋" w:hAnsi="仿宋" w:eastAsia="仿宋" w:cs="仿宋"/>
          <w:b/>
          <w:bCs/>
          <w:kern w:val="0"/>
          <w:sz w:val="24"/>
          <w:szCs w:val="24"/>
        </w:rPr>
        <w:t>4.2 进度要求</w:t>
      </w:r>
    </w:p>
    <w:p w14:paraId="2D63397F">
      <w:pPr>
        <w:widowControl/>
        <w:numPr>
          <w:ilvl w:val="0"/>
          <w:numId w:val="3"/>
        </w:numPr>
        <w:adjustRightInd w:val="0"/>
        <w:snapToGrid w:val="0"/>
        <w:spacing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rPr>
        <w:t>报价人须严格按照</w:t>
      </w:r>
      <w:r>
        <w:rPr>
          <w:rFonts w:hint="eastAsia" w:ascii="仿宋" w:hAnsi="仿宋" w:eastAsia="仿宋" w:cs="仿宋"/>
          <w:sz w:val="24"/>
          <w:szCs w:val="24"/>
        </w:rPr>
        <w:t>项目</w:t>
      </w:r>
      <w:r>
        <w:rPr>
          <w:rFonts w:hint="eastAsia" w:ascii="仿宋" w:hAnsi="仿宋" w:eastAsia="仿宋" w:cs="仿宋"/>
          <w:kern w:val="0"/>
          <w:sz w:val="24"/>
          <w:szCs w:val="24"/>
        </w:rPr>
        <w:t>工期要求开展相关工作并提供详细进度计划表。</w:t>
      </w:r>
    </w:p>
    <w:p w14:paraId="71F8A7C7">
      <w:pPr>
        <w:widowControl/>
        <w:numPr>
          <w:ilvl w:val="0"/>
          <w:numId w:val="3"/>
        </w:numPr>
        <w:adjustRightInd w:val="0"/>
        <w:snapToGrid w:val="0"/>
        <w:spacing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rPr>
        <w:t>报价人须严格按照项目里程碑开展工作。采购人将根据里程碑和里程碑产出物审核报价人工作。</w:t>
      </w:r>
    </w:p>
    <w:p w14:paraId="452799FF">
      <w:pPr>
        <w:widowControl/>
        <w:numPr>
          <w:ilvl w:val="0"/>
          <w:numId w:val="3"/>
        </w:numPr>
        <w:adjustRightInd w:val="0"/>
        <w:snapToGrid w:val="0"/>
        <w:spacing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rPr>
        <w:t>若由于报价人自身原因导致项目进度滞后于项目里程碑计划，采购人可追究报价人责任，每逾期一日，应向采购人支付总中标金额的</w:t>
      </w:r>
      <w:r>
        <w:rPr>
          <w:rFonts w:hint="eastAsia" w:ascii="仿宋" w:hAnsi="仿宋" w:eastAsia="仿宋" w:cs="仿宋"/>
          <w:kern w:val="0"/>
          <w:sz w:val="24"/>
          <w:szCs w:val="24"/>
          <w:u w:val="single"/>
        </w:rPr>
        <w:t xml:space="preserve"> 0.5 </w:t>
      </w:r>
      <w:r>
        <w:rPr>
          <w:rFonts w:hint="eastAsia" w:ascii="仿宋" w:hAnsi="仿宋" w:eastAsia="仿宋" w:cs="仿宋"/>
          <w:kern w:val="0"/>
          <w:sz w:val="24"/>
          <w:szCs w:val="24"/>
          <w:lang w:val="en-US" w:eastAsia="zh-CN"/>
        </w:rPr>
        <w:t>%</w:t>
      </w:r>
      <w:r>
        <w:rPr>
          <w:rFonts w:hint="eastAsia" w:ascii="仿宋" w:hAnsi="仿宋" w:eastAsia="仿宋" w:cs="仿宋"/>
          <w:kern w:val="0"/>
          <w:sz w:val="24"/>
          <w:szCs w:val="24"/>
        </w:rPr>
        <w:t>违约金。</w:t>
      </w:r>
    </w:p>
    <w:p w14:paraId="014DDFB4">
      <w:pPr>
        <w:widowControl/>
        <w:adjustRightInd w:val="0"/>
        <w:snapToGrid w:val="0"/>
        <w:spacing w:line="360" w:lineRule="auto"/>
        <w:jc w:val="left"/>
        <w:outlineLvl w:val="1"/>
        <w:rPr>
          <w:rFonts w:hint="eastAsia" w:ascii="仿宋" w:hAnsi="仿宋" w:eastAsia="仿宋" w:cs="仿宋"/>
          <w:b/>
          <w:bCs/>
          <w:kern w:val="0"/>
          <w:sz w:val="24"/>
          <w:szCs w:val="24"/>
        </w:rPr>
      </w:pPr>
      <w:r>
        <w:rPr>
          <w:rFonts w:hint="eastAsia" w:ascii="仿宋" w:hAnsi="仿宋" w:eastAsia="仿宋" w:cs="仿宋"/>
          <w:b/>
          <w:bCs/>
          <w:kern w:val="0"/>
          <w:sz w:val="24"/>
          <w:szCs w:val="24"/>
        </w:rPr>
        <w:t>4.3保密义务</w:t>
      </w:r>
    </w:p>
    <w:p w14:paraId="43D277B0">
      <w:pPr>
        <w:pStyle w:val="2"/>
        <w:ind w:firstLine="480" w:firstLineChars="200"/>
        <w:rPr>
          <w:rFonts w:hint="eastAsia" w:ascii="仿宋" w:hAnsi="仿宋" w:eastAsia="仿宋" w:cs="仿宋"/>
          <w:b/>
          <w:bCs/>
          <w:kern w:val="0"/>
          <w:sz w:val="24"/>
          <w:szCs w:val="24"/>
        </w:rPr>
      </w:pPr>
      <w:r>
        <w:rPr>
          <w:rFonts w:hint="eastAsia" w:ascii="仿宋" w:hAnsi="仿宋" w:eastAsia="仿宋" w:cs="仿宋"/>
          <w:kern w:val="0"/>
          <w:sz w:val="24"/>
          <w:szCs w:val="24"/>
        </w:rPr>
        <w:t>报价人应于中标通知书发布之日起7日内签订保密协议。</w:t>
      </w:r>
    </w:p>
    <w:p w14:paraId="03C79E8B">
      <w:pPr>
        <w:widowControl/>
        <w:adjustRightInd w:val="0"/>
        <w:snapToGrid w:val="0"/>
        <w:spacing w:line="360" w:lineRule="auto"/>
        <w:jc w:val="left"/>
        <w:outlineLvl w:val="1"/>
        <w:rPr>
          <w:rFonts w:hint="eastAsia" w:ascii="仿宋" w:hAnsi="仿宋" w:eastAsia="仿宋" w:cs="仿宋"/>
          <w:kern w:val="0"/>
          <w:sz w:val="24"/>
          <w:szCs w:val="24"/>
        </w:rPr>
      </w:pPr>
      <w:r>
        <w:rPr>
          <w:rFonts w:hint="eastAsia" w:ascii="仿宋" w:hAnsi="仿宋" w:eastAsia="仿宋" w:cs="仿宋"/>
          <w:b/>
          <w:bCs/>
          <w:kern w:val="0"/>
          <w:sz w:val="24"/>
          <w:szCs w:val="24"/>
        </w:rPr>
        <w:t>4.4 标的物交付时间</w:t>
      </w:r>
    </w:p>
    <w:p w14:paraId="716FBA9A">
      <w:pPr>
        <w:widowControl/>
        <w:numPr>
          <w:ilvl w:val="0"/>
          <w:numId w:val="4"/>
        </w:numPr>
        <w:adjustRightInd w:val="0"/>
        <w:snapToGrid w:val="0"/>
        <w:spacing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rPr>
        <w:t>服务期限：中标通知书发布之日</w:t>
      </w:r>
      <w:r>
        <w:rPr>
          <w:rFonts w:hint="eastAsia" w:ascii="仿宋" w:hAnsi="仿宋" w:eastAsia="仿宋" w:cs="仿宋"/>
          <w:sz w:val="24"/>
          <w:szCs w:val="24"/>
        </w:rPr>
        <w:t>起至2026年</w:t>
      </w:r>
      <w:r>
        <w:rPr>
          <w:rFonts w:hint="eastAsia" w:ascii="仿宋" w:hAnsi="仿宋" w:eastAsia="仿宋" w:cs="仿宋"/>
          <w:sz w:val="24"/>
          <w:szCs w:val="24"/>
          <w:lang w:val="en-US" w:eastAsia="zh-CN"/>
        </w:rPr>
        <w:t>6</w:t>
      </w:r>
      <w:r>
        <w:rPr>
          <w:rFonts w:hint="eastAsia" w:ascii="仿宋" w:hAnsi="仿宋" w:eastAsia="仿宋" w:cs="仿宋"/>
          <w:sz w:val="24"/>
          <w:szCs w:val="24"/>
        </w:rPr>
        <w:t>月3</w:t>
      </w:r>
      <w:r>
        <w:rPr>
          <w:rFonts w:hint="eastAsia" w:ascii="仿宋" w:hAnsi="仿宋" w:eastAsia="仿宋" w:cs="仿宋"/>
          <w:sz w:val="24"/>
          <w:szCs w:val="24"/>
          <w:lang w:val="en-US" w:eastAsia="zh-CN"/>
        </w:rPr>
        <w:t>0</w:t>
      </w:r>
      <w:r>
        <w:rPr>
          <w:rFonts w:hint="eastAsia" w:ascii="仿宋" w:hAnsi="仿宋" w:eastAsia="仿宋" w:cs="仿宋"/>
          <w:sz w:val="24"/>
          <w:szCs w:val="24"/>
        </w:rPr>
        <w:t>日</w:t>
      </w:r>
      <w:r>
        <w:rPr>
          <w:rFonts w:hint="eastAsia" w:ascii="仿宋" w:hAnsi="仿宋" w:eastAsia="仿宋" w:cs="仿宋"/>
          <w:kern w:val="0"/>
          <w:sz w:val="24"/>
          <w:szCs w:val="24"/>
        </w:rPr>
        <w:t>。</w:t>
      </w:r>
    </w:p>
    <w:p w14:paraId="562753B4">
      <w:pPr>
        <w:widowControl/>
        <w:numPr>
          <w:ilvl w:val="0"/>
          <w:numId w:val="4"/>
        </w:numPr>
        <w:adjustRightInd w:val="0"/>
        <w:snapToGrid w:val="0"/>
        <w:spacing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rPr>
        <w:t>如中标人逾期提供交付物，取消中标人中标资格，并依法追究其法律责任。</w:t>
      </w:r>
    </w:p>
    <w:p w14:paraId="630B2346">
      <w:pPr>
        <w:spacing w:line="360" w:lineRule="auto"/>
        <w:outlineLvl w:val="1"/>
        <w:rPr>
          <w:rFonts w:hint="eastAsia" w:ascii="仿宋" w:hAnsi="仿宋" w:eastAsia="仿宋" w:cs="仿宋"/>
          <w:b/>
          <w:bCs/>
          <w:kern w:val="0"/>
          <w:sz w:val="24"/>
          <w:szCs w:val="24"/>
        </w:rPr>
      </w:pPr>
      <w:r>
        <w:rPr>
          <w:rFonts w:hint="eastAsia" w:ascii="仿宋" w:hAnsi="仿宋" w:eastAsia="仿宋" w:cs="仿宋"/>
          <w:b/>
          <w:bCs/>
          <w:kern w:val="0"/>
          <w:sz w:val="24"/>
          <w:szCs w:val="24"/>
        </w:rPr>
        <w:t>4.5 验收地点</w:t>
      </w:r>
    </w:p>
    <w:p w14:paraId="1666F6D2">
      <w:pPr>
        <w:widowControl/>
        <w:adjustRightInd w:val="0"/>
        <w:snapToGrid w:val="0"/>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采购人指定地点。</w:t>
      </w:r>
    </w:p>
    <w:p w14:paraId="39CD3F5A">
      <w:pPr>
        <w:widowControl/>
        <w:adjustRightInd w:val="0"/>
        <w:snapToGrid w:val="0"/>
        <w:spacing w:line="360" w:lineRule="auto"/>
        <w:jc w:val="left"/>
        <w:outlineLvl w:val="1"/>
        <w:rPr>
          <w:rFonts w:hint="eastAsia" w:ascii="仿宋" w:hAnsi="仿宋" w:eastAsia="仿宋" w:cs="仿宋"/>
          <w:b/>
          <w:bCs/>
          <w:kern w:val="0"/>
          <w:sz w:val="24"/>
          <w:szCs w:val="24"/>
        </w:rPr>
      </w:pPr>
      <w:r>
        <w:rPr>
          <w:rFonts w:hint="eastAsia" w:ascii="仿宋" w:hAnsi="仿宋" w:eastAsia="仿宋" w:cs="仿宋"/>
          <w:b/>
          <w:bCs/>
          <w:kern w:val="0"/>
          <w:sz w:val="24"/>
          <w:szCs w:val="24"/>
        </w:rPr>
        <w:t>4.6 售后服务承诺</w:t>
      </w:r>
    </w:p>
    <w:p w14:paraId="4815EEB0">
      <w:pPr>
        <w:widowControl/>
        <w:numPr>
          <w:ilvl w:val="0"/>
          <w:numId w:val="5"/>
        </w:numPr>
        <w:adjustRightInd w:val="0"/>
        <w:snapToGrid w:val="0"/>
        <w:spacing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rPr>
        <w:t>报价人在接到采购人工作安排通知后的</w:t>
      </w:r>
      <w:r>
        <w:rPr>
          <w:rFonts w:hint="eastAsia" w:ascii="仿宋" w:hAnsi="仿宋" w:eastAsia="仿宋" w:cs="仿宋"/>
          <w:kern w:val="0"/>
          <w:sz w:val="24"/>
          <w:szCs w:val="24"/>
          <w:u w:val="single"/>
        </w:rPr>
        <w:t xml:space="preserve"> 24 </w:t>
      </w:r>
      <w:r>
        <w:rPr>
          <w:rFonts w:hint="eastAsia" w:ascii="仿宋" w:hAnsi="仿宋" w:eastAsia="仿宋" w:cs="仿宋"/>
          <w:kern w:val="0"/>
          <w:sz w:val="24"/>
          <w:szCs w:val="24"/>
        </w:rPr>
        <w:t>小时内答复并处理问题。</w:t>
      </w:r>
    </w:p>
    <w:p w14:paraId="5D7BA272">
      <w:pPr>
        <w:widowControl/>
        <w:numPr>
          <w:ilvl w:val="0"/>
          <w:numId w:val="5"/>
        </w:numPr>
        <w:adjustRightInd w:val="0"/>
        <w:snapToGrid w:val="0"/>
        <w:spacing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rPr>
        <w:t>报价人应及时提供与本技术规范书有关的服务。</w:t>
      </w:r>
    </w:p>
    <w:p w14:paraId="32626EE1">
      <w:pPr>
        <w:spacing w:line="360" w:lineRule="auto"/>
        <w:outlineLvl w:val="1"/>
        <w:rPr>
          <w:rFonts w:hint="eastAsia" w:ascii="仿宋" w:hAnsi="仿宋" w:eastAsia="仿宋" w:cs="仿宋"/>
          <w:b/>
          <w:bCs/>
          <w:sz w:val="24"/>
          <w:szCs w:val="24"/>
        </w:rPr>
      </w:pPr>
      <w:r>
        <w:rPr>
          <w:rFonts w:hint="eastAsia" w:ascii="仿宋" w:hAnsi="仿宋" w:eastAsia="仿宋" w:cs="仿宋"/>
          <w:b/>
          <w:bCs/>
          <w:sz w:val="24"/>
          <w:szCs w:val="24"/>
        </w:rPr>
        <w:t>4.7 交付成果、验收</w:t>
      </w:r>
    </w:p>
    <w:p w14:paraId="099B7140">
      <w:pPr>
        <w:widowControl/>
        <w:adjustRightInd w:val="0"/>
        <w:snapToGrid w:val="0"/>
        <w:spacing w:line="360" w:lineRule="auto"/>
        <w:ind w:firstLine="480" w:firstLineChars="200"/>
        <w:jc w:val="left"/>
        <w:rPr>
          <w:sz w:val="24"/>
          <w:szCs w:val="24"/>
        </w:rPr>
      </w:pPr>
      <w:r>
        <w:rPr>
          <w:rFonts w:hint="eastAsia" w:ascii="仿宋" w:hAnsi="仿宋" w:eastAsia="仿宋" w:cs="仿宋"/>
          <w:sz w:val="24"/>
          <w:szCs w:val="24"/>
        </w:rPr>
        <w:t>报价人按采购人要求完成项目即达到验收条件，</w:t>
      </w:r>
      <w:r>
        <w:rPr>
          <w:rFonts w:hint="eastAsia" w:ascii="仿宋" w:hAnsi="仿宋" w:eastAsia="仿宋" w:cs="仿宋"/>
          <w:kern w:val="0"/>
          <w:sz w:val="24"/>
          <w:szCs w:val="24"/>
        </w:rPr>
        <w:t>项目验收为技术规范书所要求的交付物提交给采购人完成。</w:t>
      </w:r>
    </w:p>
    <w:p w14:paraId="5059127A">
      <w:pPr>
        <w:widowControl/>
        <w:adjustRightInd w:val="0"/>
        <w:snapToGrid w:val="0"/>
        <w:spacing w:line="360" w:lineRule="auto"/>
        <w:jc w:val="left"/>
        <w:outlineLvl w:val="1"/>
        <w:rPr>
          <w:rFonts w:hint="eastAsia" w:ascii="仿宋" w:hAnsi="仿宋" w:eastAsia="仿宋" w:cs="仿宋"/>
          <w:b/>
          <w:bCs/>
          <w:kern w:val="0"/>
          <w:sz w:val="24"/>
          <w:szCs w:val="24"/>
        </w:rPr>
      </w:pPr>
      <w:r>
        <w:rPr>
          <w:rFonts w:hint="eastAsia" w:ascii="仿宋" w:hAnsi="仿宋" w:eastAsia="仿宋" w:cs="仿宋"/>
          <w:b/>
          <w:bCs/>
          <w:kern w:val="0"/>
          <w:sz w:val="24"/>
          <w:szCs w:val="24"/>
        </w:rPr>
        <w:t>4.8 采购清册及权重</w:t>
      </w:r>
    </w:p>
    <w:p w14:paraId="60D16561">
      <w:pPr>
        <w:widowControl/>
        <w:adjustRightInd w:val="0"/>
        <w:snapToGrid w:val="0"/>
        <w:spacing w:line="360" w:lineRule="auto"/>
        <w:jc w:val="center"/>
        <w:outlineLvl w:val="1"/>
        <w:rPr>
          <w:rFonts w:hint="eastAsia" w:ascii="仿宋" w:hAnsi="仿宋" w:eastAsia="仿宋" w:cs="仿宋"/>
          <w:b/>
          <w:bCs/>
          <w:sz w:val="24"/>
          <w:szCs w:val="24"/>
        </w:rPr>
      </w:pPr>
      <w:r>
        <w:rPr>
          <w:rFonts w:hint="eastAsia" w:ascii="仿宋" w:hAnsi="仿宋" w:eastAsia="仿宋" w:cs="仿宋"/>
          <w:b/>
          <w:bCs/>
          <w:kern w:val="0"/>
          <w:sz w:val="24"/>
          <w:szCs w:val="24"/>
        </w:rPr>
        <w:t>服务采购清册</w:t>
      </w:r>
    </w:p>
    <w:tbl>
      <w:tblPr>
        <w:tblStyle w:val="15"/>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6" w:type="dxa"/>
          <w:bottom w:w="0" w:type="dxa"/>
          <w:right w:w="36" w:type="dxa"/>
        </w:tblCellMar>
      </w:tblPr>
      <w:tblGrid>
        <w:gridCol w:w="630"/>
        <w:gridCol w:w="1983"/>
        <w:gridCol w:w="1538"/>
        <w:gridCol w:w="796"/>
        <w:gridCol w:w="935"/>
        <w:gridCol w:w="1596"/>
        <w:gridCol w:w="1042"/>
      </w:tblGrid>
      <w:tr w14:paraId="291D9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734" w:hRule="exact"/>
          <w:jc w:val="center"/>
        </w:trPr>
        <w:tc>
          <w:tcPr>
            <w:tcW w:w="630" w:type="dxa"/>
            <w:vAlign w:val="center"/>
          </w:tcPr>
          <w:p w14:paraId="67380234">
            <w:pPr>
              <w:autoSpaceDE w:val="0"/>
              <w:autoSpaceDN w:val="0"/>
              <w:adjustRightInd w:val="0"/>
              <w:spacing w:line="360" w:lineRule="auto"/>
              <w:jc w:val="center"/>
              <w:textAlignment w:val="baseline"/>
              <w:rPr>
                <w:rFonts w:hint="eastAsia" w:ascii="仿宋" w:hAnsi="仿宋" w:eastAsia="仿宋" w:cs="仿宋"/>
                <w:kern w:val="0"/>
                <w:sz w:val="24"/>
                <w:szCs w:val="24"/>
              </w:rPr>
            </w:pPr>
            <w:r>
              <w:rPr>
                <w:rFonts w:hint="eastAsia" w:ascii="仿宋" w:hAnsi="仿宋" w:eastAsia="仿宋" w:cs="仿宋"/>
                <w:kern w:val="0"/>
                <w:sz w:val="24"/>
                <w:szCs w:val="24"/>
              </w:rPr>
              <w:t>序号</w:t>
            </w:r>
          </w:p>
        </w:tc>
        <w:tc>
          <w:tcPr>
            <w:tcW w:w="1983" w:type="dxa"/>
            <w:vAlign w:val="center"/>
          </w:tcPr>
          <w:p w14:paraId="24221CBB">
            <w:pPr>
              <w:autoSpaceDE w:val="0"/>
              <w:autoSpaceDN w:val="0"/>
              <w:adjustRightInd w:val="0"/>
              <w:spacing w:line="360" w:lineRule="auto"/>
              <w:jc w:val="center"/>
              <w:textAlignment w:val="baseline"/>
              <w:rPr>
                <w:rFonts w:hint="eastAsia" w:ascii="仿宋" w:hAnsi="仿宋" w:eastAsia="仿宋" w:cs="仿宋"/>
                <w:kern w:val="0"/>
                <w:sz w:val="24"/>
                <w:szCs w:val="24"/>
              </w:rPr>
            </w:pPr>
            <w:r>
              <w:rPr>
                <w:rFonts w:hint="eastAsia" w:ascii="仿宋" w:hAnsi="仿宋" w:eastAsia="仿宋" w:cs="仿宋"/>
                <w:kern w:val="0"/>
                <w:sz w:val="24"/>
                <w:szCs w:val="24"/>
              </w:rPr>
              <w:t>名称</w:t>
            </w:r>
          </w:p>
        </w:tc>
        <w:tc>
          <w:tcPr>
            <w:tcW w:w="1538" w:type="dxa"/>
            <w:vAlign w:val="center"/>
          </w:tcPr>
          <w:p w14:paraId="3F32E6F4">
            <w:pPr>
              <w:autoSpaceDE w:val="0"/>
              <w:autoSpaceDN w:val="0"/>
              <w:adjustRightInd w:val="0"/>
              <w:spacing w:line="360" w:lineRule="auto"/>
              <w:jc w:val="center"/>
              <w:textAlignment w:val="baseline"/>
              <w:rPr>
                <w:rFonts w:hint="eastAsia" w:ascii="仿宋" w:hAnsi="仿宋" w:eastAsia="仿宋" w:cs="仿宋"/>
                <w:kern w:val="0"/>
                <w:sz w:val="24"/>
                <w:szCs w:val="24"/>
              </w:rPr>
            </w:pPr>
            <w:r>
              <w:rPr>
                <w:rFonts w:hint="eastAsia" w:ascii="仿宋" w:hAnsi="仿宋" w:eastAsia="仿宋" w:cs="仿宋"/>
                <w:kern w:val="0"/>
                <w:sz w:val="24"/>
                <w:szCs w:val="24"/>
              </w:rPr>
              <w:t>规格</w:t>
            </w:r>
          </w:p>
        </w:tc>
        <w:tc>
          <w:tcPr>
            <w:tcW w:w="796" w:type="dxa"/>
            <w:vAlign w:val="center"/>
          </w:tcPr>
          <w:p w14:paraId="35C743CC">
            <w:pPr>
              <w:autoSpaceDE w:val="0"/>
              <w:autoSpaceDN w:val="0"/>
              <w:adjustRightInd w:val="0"/>
              <w:spacing w:line="360" w:lineRule="auto"/>
              <w:jc w:val="center"/>
              <w:textAlignment w:val="baseline"/>
              <w:rPr>
                <w:rFonts w:hint="eastAsia" w:ascii="仿宋" w:hAnsi="仿宋" w:eastAsia="仿宋" w:cs="仿宋"/>
                <w:kern w:val="0"/>
                <w:sz w:val="24"/>
                <w:szCs w:val="24"/>
              </w:rPr>
            </w:pPr>
            <w:r>
              <w:rPr>
                <w:rFonts w:hint="eastAsia" w:ascii="仿宋" w:hAnsi="仿宋" w:eastAsia="仿宋" w:cs="仿宋"/>
                <w:kern w:val="0"/>
                <w:sz w:val="24"/>
                <w:szCs w:val="24"/>
              </w:rPr>
              <w:t>数量</w:t>
            </w:r>
          </w:p>
        </w:tc>
        <w:tc>
          <w:tcPr>
            <w:tcW w:w="935" w:type="dxa"/>
            <w:vAlign w:val="center"/>
          </w:tcPr>
          <w:p w14:paraId="3AFE1B53">
            <w:pPr>
              <w:autoSpaceDE w:val="0"/>
              <w:autoSpaceDN w:val="0"/>
              <w:adjustRightInd w:val="0"/>
              <w:spacing w:line="360" w:lineRule="auto"/>
              <w:jc w:val="center"/>
              <w:textAlignment w:val="baseline"/>
              <w:rPr>
                <w:rFonts w:hint="eastAsia" w:ascii="仿宋" w:hAnsi="仿宋" w:eastAsia="仿宋" w:cs="仿宋"/>
                <w:kern w:val="0"/>
                <w:sz w:val="24"/>
                <w:szCs w:val="24"/>
              </w:rPr>
            </w:pPr>
            <w:r>
              <w:rPr>
                <w:rFonts w:hint="eastAsia" w:ascii="仿宋" w:hAnsi="仿宋" w:eastAsia="仿宋" w:cs="仿宋"/>
                <w:kern w:val="0"/>
                <w:sz w:val="24"/>
                <w:szCs w:val="24"/>
              </w:rPr>
              <w:t>单位</w:t>
            </w:r>
          </w:p>
        </w:tc>
        <w:tc>
          <w:tcPr>
            <w:tcW w:w="1596" w:type="dxa"/>
            <w:vAlign w:val="center"/>
          </w:tcPr>
          <w:p w14:paraId="10FF8F54">
            <w:pPr>
              <w:autoSpaceDE w:val="0"/>
              <w:autoSpaceDN w:val="0"/>
              <w:adjustRightInd w:val="0"/>
              <w:spacing w:line="360" w:lineRule="auto"/>
              <w:jc w:val="center"/>
              <w:textAlignment w:val="baseline"/>
              <w:rPr>
                <w:rFonts w:hint="eastAsia" w:ascii="仿宋" w:hAnsi="仿宋" w:eastAsia="仿宋" w:cs="仿宋"/>
                <w:kern w:val="0"/>
                <w:sz w:val="24"/>
                <w:szCs w:val="24"/>
              </w:rPr>
            </w:pPr>
            <w:r>
              <w:rPr>
                <w:rFonts w:hint="eastAsia" w:ascii="仿宋" w:hAnsi="仿宋" w:eastAsia="仿宋" w:cs="仿宋"/>
                <w:kern w:val="0"/>
                <w:sz w:val="24"/>
                <w:szCs w:val="24"/>
              </w:rPr>
              <w:t>最高限价（元）</w:t>
            </w:r>
          </w:p>
        </w:tc>
        <w:tc>
          <w:tcPr>
            <w:tcW w:w="1042" w:type="dxa"/>
            <w:vAlign w:val="center"/>
          </w:tcPr>
          <w:p w14:paraId="18AA24E4">
            <w:pPr>
              <w:autoSpaceDE w:val="0"/>
              <w:autoSpaceDN w:val="0"/>
              <w:adjustRightInd w:val="0"/>
              <w:spacing w:line="360" w:lineRule="auto"/>
              <w:jc w:val="center"/>
              <w:textAlignment w:val="baseline"/>
              <w:rPr>
                <w:rFonts w:hint="eastAsia" w:ascii="仿宋" w:hAnsi="仿宋" w:eastAsia="仿宋" w:cs="仿宋"/>
                <w:kern w:val="0"/>
                <w:sz w:val="24"/>
                <w:szCs w:val="24"/>
              </w:rPr>
            </w:pPr>
            <w:r>
              <w:rPr>
                <w:rFonts w:hint="eastAsia" w:ascii="仿宋" w:hAnsi="仿宋" w:eastAsia="仿宋" w:cs="仿宋"/>
                <w:kern w:val="0"/>
                <w:sz w:val="24"/>
                <w:szCs w:val="24"/>
              </w:rPr>
              <w:t>备   注</w:t>
            </w:r>
          </w:p>
        </w:tc>
      </w:tr>
      <w:tr w14:paraId="37E94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14:paraId="2FB5D7ED">
            <w:pPr>
              <w:numPr>
                <w:ilvl w:val="0"/>
                <w:numId w:val="6"/>
              </w:numPr>
              <w:autoSpaceDE w:val="0"/>
              <w:autoSpaceDN w:val="0"/>
              <w:adjustRightInd w:val="0"/>
              <w:spacing w:line="360" w:lineRule="auto"/>
              <w:jc w:val="center"/>
              <w:textAlignment w:val="baseline"/>
              <w:rPr>
                <w:rFonts w:hint="eastAsia" w:ascii="仿宋" w:hAnsi="仿宋" w:eastAsia="仿宋" w:cs="仿宋"/>
                <w:kern w:val="0"/>
                <w:sz w:val="24"/>
                <w:szCs w:val="24"/>
              </w:rPr>
            </w:pPr>
          </w:p>
        </w:tc>
        <w:tc>
          <w:tcPr>
            <w:tcW w:w="1983" w:type="dxa"/>
            <w:vAlign w:val="center"/>
          </w:tcPr>
          <w:p w14:paraId="73C077B4">
            <w:pPr>
              <w:autoSpaceDE w:val="0"/>
              <w:autoSpaceDN w:val="0"/>
              <w:adjustRightInd w:val="0"/>
              <w:spacing w:line="360" w:lineRule="auto"/>
              <w:jc w:val="center"/>
              <w:textAlignment w:val="baseline"/>
              <w:rPr>
                <w:rFonts w:hint="default" w:ascii="仿宋" w:hAnsi="仿宋" w:eastAsia="仿宋" w:cs="仿宋"/>
                <w:kern w:val="0"/>
                <w:sz w:val="24"/>
                <w:szCs w:val="24"/>
                <w:lang w:val="en-US"/>
              </w:rPr>
            </w:pPr>
            <w:r>
              <w:rPr>
                <w:rFonts w:hint="eastAsia" w:ascii="仿宋" w:hAnsi="仿宋" w:eastAsia="仿宋" w:cs="仿宋"/>
                <w:kern w:val="0"/>
                <w:sz w:val="24"/>
                <w:szCs w:val="24"/>
                <w:lang w:val="en-US" w:eastAsia="zh-CN"/>
              </w:rPr>
              <w:t>10kV环网柜外挂电操机构成套装置加工测试技术服务</w:t>
            </w:r>
          </w:p>
        </w:tc>
        <w:tc>
          <w:tcPr>
            <w:tcW w:w="1538" w:type="dxa"/>
            <w:vAlign w:val="center"/>
          </w:tcPr>
          <w:p w14:paraId="7E1F4BC2">
            <w:pPr>
              <w:autoSpaceDE w:val="0"/>
              <w:autoSpaceDN w:val="0"/>
              <w:adjustRightInd w:val="0"/>
              <w:spacing w:line="360" w:lineRule="auto"/>
              <w:jc w:val="center"/>
              <w:textAlignment w:val="baseline"/>
              <w:rPr>
                <w:rFonts w:hint="eastAsia" w:ascii="仿宋" w:hAnsi="仿宋" w:eastAsia="仿宋" w:cs="仿宋"/>
                <w:sz w:val="24"/>
                <w:szCs w:val="24"/>
              </w:rPr>
            </w:pPr>
            <w:r>
              <w:rPr>
                <w:rFonts w:hint="eastAsia" w:ascii="仿宋" w:hAnsi="仿宋" w:eastAsia="仿宋" w:cs="仿宋"/>
                <w:kern w:val="0"/>
                <w:sz w:val="24"/>
                <w:szCs w:val="24"/>
                <w:lang w:val="en-US" w:eastAsia="zh-CN"/>
              </w:rPr>
              <w:t>/</w:t>
            </w:r>
          </w:p>
        </w:tc>
        <w:tc>
          <w:tcPr>
            <w:tcW w:w="796" w:type="dxa"/>
            <w:vAlign w:val="center"/>
          </w:tcPr>
          <w:p w14:paraId="359D2518">
            <w:pPr>
              <w:autoSpaceDE w:val="0"/>
              <w:autoSpaceDN w:val="0"/>
              <w:adjustRightInd w:val="0"/>
              <w:spacing w:line="360" w:lineRule="auto"/>
              <w:jc w:val="center"/>
              <w:textAlignment w:val="baseline"/>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935" w:type="dxa"/>
            <w:vAlign w:val="center"/>
          </w:tcPr>
          <w:p w14:paraId="730B0B82">
            <w:pPr>
              <w:autoSpaceDE w:val="0"/>
              <w:autoSpaceDN w:val="0"/>
              <w:adjustRightInd w:val="0"/>
              <w:spacing w:line="360" w:lineRule="auto"/>
              <w:jc w:val="center"/>
              <w:textAlignment w:val="baseline"/>
              <w:rPr>
                <w:rFonts w:hint="default"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项</w:t>
            </w:r>
          </w:p>
        </w:tc>
        <w:tc>
          <w:tcPr>
            <w:tcW w:w="1596" w:type="dxa"/>
            <w:vAlign w:val="center"/>
          </w:tcPr>
          <w:p w14:paraId="733E1779">
            <w:pPr>
              <w:autoSpaceDE w:val="0"/>
              <w:autoSpaceDN w:val="0"/>
              <w:adjustRightInd w:val="0"/>
              <w:spacing w:line="360" w:lineRule="auto"/>
              <w:jc w:val="center"/>
              <w:textAlignment w:val="baseline"/>
              <w:rPr>
                <w:rFonts w:hint="eastAsia" w:ascii="仿宋" w:hAnsi="仿宋" w:eastAsia="仿宋" w:cs="仿宋"/>
                <w:kern w:val="0"/>
                <w:sz w:val="24"/>
                <w:szCs w:val="24"/>
              </w:rPr>
            </w:pPr>
            <w:r>
              <w:rPr>
                <w:rFonts w:hint="eastAsia" w:ascii="仿宋" w:hAnsi="仿宋" w:eastAsia="仿宋" w:cs="仿宋"/>
                <w:kern w:val="0"/>
                <w:sz w:val="24"/>
                <w:szCs w:val="24"/>
              </w:rPr>
              <w:t>4</w:t>
            </w:r>
            <w:r>
              <w:rPr>
                <w:rFonts w:hint="eastAsia" w:ascii="仿宋" w:hAnsi="仿宋" w:eastAsia="仿宋" w:cs="仿宋"/>
                <w:kern w:val="0"/>
                <w:sz w:val="24"/>
                <w:szCs w:val="24"/>
                <w:lang w:val="en-US" w:eastAsia="zh-CN"/>
              </w:rPr>
              <w:t>8</w:t>
            </w:r>
            <w:r>
              <w:rPr>
                <w:rFonts w:hint="eastAsia" w:ascii="仿宋" w:hAnsi="仿宋" w:eastAsia="仿宋" w:cs="仿宋"/>
                <w:kern w:val="0"/>
                <w:sz w:val="24"/>
                <w:szCs w:val="24"/>
              </w:rPr>
              <w:t>000.00</w:t>
            </w:r>
          </w:p>
        </w:tc>
        <w:tc>
          <w:tcPr>
            <w:tcW w:w="1042" w:type="dxa"/>
            <w:vAlign w:val="center"/>
          </w:tcPr>
          <w:p w14:paraId="7576CCB4">
            <w:pPr>
              <w:autoSpaceDE w:val="0"/>
              <w:autoSpaceDN w:val="0"/>
              <w:adjustRightInd w:val="0"/>
              <w:spacing w:line="360" w:lineRule="auto"/>
              <w:jc w:val="center"/>
              <w:textAlignment w:val="baseline"/>
              <w:rPr>
                <w:rFonts w:hint="eastAsia" w:ascii="仿宋" w:hAnsi="仿宋" w:eastAsia="仿宋" w:cs="仿宋"/>
                <w:kern w:val="0"/>
                <w:sz w:val="24"/>
                <w:szCs w:val="24"/>
              </w:rPr>
            </w:pPr>
            <w:r>
              <w:rPr>
                <w:rFonts w:hint="eastAsia" w:ascii="仿宋" w:hAnsi="仿宋" w:eastAsia="仿宋" w:cs="仿宋"/>
                <w:kern w:val="0"/>
                <w:sz w:val="24"/>
                <w:szCs w:val="24"/>
              </w:rPr>
              <w:t>/</w:t>
            </w:r>
          </w:p>
        </w:tc>
      </w:tr>
    </w:tbl>
    <w:p w14:paraId="6691BFF0">
      <w:pPr>
        <w:widowControl/>
        <w:adjustRightInd w:val="0"/>
        <w:snapToGrid w:val="0"/>
        <w:spacing w:line="360" w:lineRule="auto"/>
        <w:jc w:val="left"/>
        <w:outlineLvl w:val="0"/>
        <w:rPr>
          <w:rFonts w:hint="eastAsia" w:ascii="仿宋" w:hAnsi="仿宋" w:eastAsia="仿宋" w:cs="仿宋"/>
          <w:b/>
          <w:bCs/>
          <w:kern w:val="0"/>
          <w:sz w:val="24"/>
          <w:szCs w:val="24"/>
        </w:rPr>
      </w:pPr>
      <w:r>
        <w:rPr>
          <w:rFonts w:hint="eastAsia" w:ascii="仿宋" w:hAnsi="仿宋" w:eastAsia="仿宋" w:cs="仿宋"/>
          <w:b/>
          <w:bCs/>
          <w:kern w:val="0"/>
          <w:sz w:val="24"/>
          <w:szCs w:val="24"/>
        </w:rPr>
        <w:t>五.管理人员为本项目的负责人。</w:t>
      </w:r>
    </w:p>
    <w:p w14:paraId="0ECED8FF">
      <w:pPr>
        <w:widowControl/>
        <w:adjustRightInd w:val="0"/>
        <w:snapToGrid w:val="0"/>
        <w:spacing w:line="360" w:lineRule="auto"/>
        <w:jc w:val="left"/>
        <w:outlineLvl w:val="0"/>
        <w:rPr>
          <w:rFonts w:hint="eastAsia" w:ascii="仿宋" w:hAnsi="仿宋" w:eastAsia="仿宋" w:cs="仿宋"/>
          <w:b/>
          <w:bCs/>
          <w:kern w:val="0"/>
          <w:sz w:val="24"/>
          <w:szCs w:val="24"/>
        </w:rPr>
      </w:pPr>
      <w:r>
        <w:rPr>
          <w:rFonts w:hint="eastAsia" w:ascii="仿宋" w:hAnsi="仿宋" w:eastAsia="仿宋" w:cs="仿宋"/>
          <w:b/>
          <w:bCs/>
          <w:kern w:val="0"/>
          <w:sz w:val="24"/>
          <w:szCs w:val="24"/>
        </w:rPr>
        <w:t>六.其他要求</w:t>
      </w:r>
    </w:p>
    <w:p w14:paraId="18D22093">
      <w:pPr>
        <w:numPr>
          <w:ilvl w:val="0"/>
          <w:numId w:val="7"/>
        </w:numPr>
        <w:rPr>
          <w:rFonts w:hint="eastAsia" w:ascii="仿宋" w:hAnsi="仿宋" w:eastAsia="仿宋" w:cs="仿宋"/>
          <w:b/>
          <w:bCs/>
          <w:sz w:val="24"/>
          <w:szCs w:val="24"/>
        </w:rPr>
      </w:pPr>
      <w:r>
        <w:rPr>
          <w:rFonts w:hint="eastAsia" w:ascii="仿宋" w:hAnsi="仿宋" w:eastAsia="仿宋" w:cs="仿宋"/>
          <w:b/>
          <w:bCs/>
          <w:sz w:val="24"/>
          <w:szCs w:val="24"/>
        </w:rPr>
        <w:t>报价人需具备</w:t>
      </w:r>
      <w:r>
        <w:rPr>
          <w:rFonts w:ascii="仿宋" w:hAnsi="仿宋" w:eastAsia="仿宋" w:cs="仿宋"/>
          <w:b/>
          <w:bCs/>
          <w:sz w:val="24"/>
          <w:szCs w:val="24"/>
        </w:rPr>
        <w:t>ISO9001</w:t>
      </w:r>
      <w:r>
        <w:rPr>
          <w:rFonts w:hint="eastAsia" w:ascii="仿宋" w:hAnsi="仿宋" w:eastAsia="仿宋" w:cs="仿宋"/>
          <w:b/>
          <w:bCs/>
          <w:sz w:val="24"/>
          <w:szCs w:val="24"/>
        </w:rPr>
        <w:t>质量管理体系认证资质</w:t>
      </w:r>
      <w:r>
        <w:rPr>
          <w:rFonts w:hint="eastAsia" w:ascii="仿宋" w:hAnsi="仿宋" w:eastAsia="仿宋" w:cs="仿宋"/>
          <w:b/>
          <w:bCs/>
          <w:sz w:val="24"/>
          <w:szCs w:val="24"/>
          <w:lang w:val="en-US" w:eastAsia="zh-CN"/>
        </w:rPr>
        <w:t>和CMA/CNAS等检测资质</w:t>
      </w:r>
      <w:r>
        <w:rPr>
          <w:rFonts w:hint="eastAsia" w:ascii="仿宋" w:hAnsi="仿宋" w:eastAsia="仿宋" w:cs="仿宋"/>
          <w:b/>
          <w:bCs/>
          <w:sz w:val="24"/>
          <w:szCs w:val="24"/>
        </w:rPr>
        <w:t>；</w:t>
      </w:r>
    </w:p>
    <w:p w14:paraId="08EEECAF">
      <w:pPr>
        <w:numPr>
          <w:ilvl w:val="0"/>
          <w:numId w:val="7"/>
        </w:numPr>
        <w:rPr>
          <w:rFonts w:hint="eastAsia" w:ascii="仿宋" w:hAnsi="仿宋" w:eastAsia="仿宋" w:cs="仿宋"/>
          <w:b/>
          <w:sz w:val="24"/>
          <w:szCs w:val="24"/>
        </w:rPr>
        <w:sectPr>
          <w:footerReference r:id="rId3" w:type="default"/>
          <w:pgSz w:w="11906" w:h="16838"/>
          <w:pgMar w:top="1440" w:right="1800" w:bottom="1440" w:left="1800" w:header="851" w:footer="992" w:gutter="0"/>
          <w:pgNumType w:fmt="numberInDash"/>
          <w:cols w:space="720" w:num="1"/>
          <w:docGrid w:type="lines" w:linePitch="312" w:charSpace="0"/>
        </w:sectPr>
      </w:pPr>
      <w:r>
        <w:rPr>
          <w:rFonts w:hint="eastAsia" w:ascii="仿宋" w:hAnsi="仿宋" w:eastAsia="仿宋" w:cs="仿宋"/>
          <w:b/>
          <w:bCs/>
          <w:sz w:val="24"/>
          <w:szCs w:val="24"/>
        </w:rPr>
        <w:t>报价人完成相应阶段服务后提供相关成果交付物给采购人，通过采购人验收后，报价人在验收完成7日内开具</w:t>
      </w:r>
      <w:r>
        <w:rPr>
          <w:rFonts w:hint="eastAsia" w:ascii="仿宋" w:hAnsi="仿宋" w:eastAsia="仿宋" w:cs="仿宋"/>
          <w:b/>
          <w:bCs/>
          <w:sz w:val="24"/>
          <w:szCs w:val="24"/>
          <w:lang w:val="en-US" w:eastAsia="zh-CN"/>
        </w:rPr>
        <w:t>等额的6%</w:t>
      </w:r>
      <w:r>
        <w:rPr>
          <w:rFonts w:hint="eastAsia" w:ascii="仿宋" w:hAnsi="仿宋" w:eastAsia="仿宋" w:cs="仿宋"/>
          <w:b/>
          <w:bCs/>
          <w:sz w:val="24"/>
          <w:szCs w:val="24"/>
        </w:rPr>
        <w:t>增值税专用发票给采购人，采购人在收到发票60日内完成付款</w:t>
      </w:r>
      <w:r>
        <w:rPr>
          <w:rFonts w:hint="eastAsia" w:ascii="仿宋" w:hAnsi="仿宋" w:eastAsia="仿宋" w:cs="仿宋"/>
          <w:b/>
          <w:bCs/>
          <w:sz w:val="24"/>
          <w:szCs w:val="24"/>
          <w:lang w:eastAsia="zh-CN"/>
        </w:rPr>
        <w:t>。</w:t>
      </w:r>
    </w:p>
    <w:p w14:paraId="66A77EBA">
      <w:pPr>
        <w:pStyle w:val="2"/>
        <w:rPr>
          <w:sz w:val="24"/>
          <w:szCs w:val="24"/>
        </w:rPr>
      </w:pPr>
    </w:p>
    <w:sectPr>
      <w:footerReference r:id="rId4"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1" w:fontKey="{B0FDEBE3-DA1C-463E-88F7-5D3D261A0D32}"/>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84098">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0AD1F4">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E0AD1F4">
                    <w:pPr>
                      <w:pStyle w:val="10"/>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C016E3">
    <w:pPr>
      <w:pStyle w:val="10"/>
    </w:pPr>
    <w:r>
      <w:rPr>
        <w:rFonts w:hint="eastAsia"/>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99E399"/>
    <w:multiLevelType w:val="singleLevel"/>
    <w:tmpl w:val="9399E399"/>
    <w:lvl w:ilvl="0" w:tentative="0">
      <w:start w:val="1"/>
      <w:numFmt w:val="decimal"/>
      <w:lvlText w:val="(%1)"/>
      <w:lvlJc w:val="left"/>
      <w:pPr>
        <w:ind w:left="425" w:hanging="425"/>
      </w:pPr>
      <w:rPr>
        <w:rFonts w:hint="default"/>
      </w:rPr>
    </w:lvl>
  </w:abstractNum>
  <w:abstractNum w:abstractNumId="1">
    <w:nsid w:val="A13E48A6"/>
    <w:multiLevelType w:val="singleLevel"/>
    <w:tmpl w:val="A13E48A6"/>
    <w:lvl w:ilvl="0" w:tentative="0">
      <w:start w:val="1"/>
      <w:numFmt w:val="decimal"/>
      <w:lvlText w:val="(%1)"/>
      <w:lvlJc w:val="left"/>
      <w:pPr>
        <w:ind w:left="425" w:hanging="425"/>
      </w:pPr>
      <w:rPr>
        <w:rFonts w:hint="default"/>
      </w:rPr>
    </w:lvl>
  </w:abstractNum>
  <w:abstractNum w:abstractNumId="2">
    <w:nsid w:val="A908C841"/>
    <w:multiLevelType w:val="singleLevel"/>
    <w:tmpl w:val="A908C841"/>
    <w:lvl w:ilvl="0" w:tentative="0">
      <w:start w:val="1"/>
      <w:numFmt w:val="decimal"/>
      <w:lvlText w:val="(%1)"/>
      <w:lvlJc w:val="left"/>
      <w:pPr>
        <w:ind w:left="425" w:hanging="425"/>
      </w:pPr>
      <w:rPr>
        <w:rFonts w:hint="default"/>
      </w:rPr>
    </w:lvl>
  </w:abstractNum>
  <w:abstractNum w:abstractNumId="3">
    <w:nsid w:val="B185F0AE"/>
    <w:multiLevelType w:val="singleLevel"/>
    <w:tmpl w:val="B185F0AE"/>
    <w:lvl w:ilvl="0" w:tentative="0">
      <w:start w:val="2"/>
      <w:numFmt w:val="chineseCounting"/>
      <w:lvlText w:val="%1."/>
      <w:lvlJc w:val="left"/>
      <w:pPr>
        <w:tabs>
          <w:tab w:val="left" w:pos="312"/>
        </w:tabs>
      </w:pPr>
      <w:rPr>
        <w:rFonts w:hint="eastAsia"/>
      </w:rPr>
    </w:lvl>
  </w:abstractNum>
  <w:abstractNum w:abstractNumId="4">
    <w:nsid w:val="E574A3D7"/>
    <w:multiLevelType w:val="singleLevel"/>
    <w:tmpl w:val="E574A3D7"/>
    <w:lvl w:ilvl="0" w:tentative="0">
      <w:start w:val="1"/>
      <w:numFmt w:val="decimal"/>
      <w:lvlText w:val="%1."/>
      <w:lvlJc w:val="left"/>
      <w:pPr>
        <w:ind w:left="425" w:hanging="425"/>
      </w:pPr>
      <w:rPr>
        <w:rFonts w:hint="default"/>
      </w:rPr>
    </w:lvl>
  </w:abstractNum>
  <w:abstractNum w:abstractNumId="5">
    <w:nsid w:val="FAFBD6D4"/>
    <w:multiLevelType w:val="singleLevel"/>
    <w:tmpl w:val="FAFBD6D4"/>
    <w:lvl w:ilvl="0" w:tentative="0">
      <w:start w:val="1"/>
      <w:numFmt w:val="decimal"/>
      <w:lvlText w:val="%1."/>
      <w:lvlJc w:val="left"/>
      <w:pPr>
        <w:ind w:left="425" w:hanging="425"/>
      </w:pPr>
      <w:rPr>
        <w:rFonts w:hint="default"/>
      </w:rPr>
    </w:lvl>
  </w:abstractNum>
  <w:abstractNum w:abstractNumId="6">
    <w:nsid w:val="0C4555FD"/>
    <w:multiLevelType w:val="singleLevel"/>
    <w:tmpl w:val="0C4555FD"/>
    <w:lvl w:ilvl="0" w:tentative="0">
      <w:start w:val="1"/>
      <w:numFmt w:val="decimal"/>
      <w:lvlText w:val="(%1)"/>
      <w:lvlJc w:val="left"/>
      <w:pPr>
        <w:ind w:left="425" w:hanging="425"/>
      </w:pPr>
      <w:rPr>
        <w:rFonts w:hint="default"/>
      </w:rPr>
    </w:lvl>
  </w:abstractNum>
  <w:num w:numId="1">
    <w:abstractNumId w:val="3"/>
  </w:num>
  <w:num w:numId="2">
    <w:abstractNumId w:val="6"/>
  </w:num>
  <w:num w:numId="3">
    <w:abstractNumId w:val="2"/>
  </w:num>
  <w:num w:numId="4">
    <w:abstractNumId w:val="0"/>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I4YTA3NTg2YjE0NmQ2Yjk1YmYyMTU4YjI3NmJlYzUifQ=="/>
    <w:docVar w:name="KSO_WPS_MARK_KEY" w:val="01300cc6-ef2f-40a9-b8f0-fb4b4405e6d2"/>
  </w:docVars>
  <w:rsids>
    <w:rsidRoot w:val="0B496AB8"/>
    <w:rsid w:val="000F01D9"/>
    <w:rsid w:val="000F47DF"/>
    <w:rsid w:val="001E6462"/>
    <w:rsid w:val="0036392B"/>
    <w:rsid w:val="003F2E9B"/>
    <w:rsid w:val="0040315F"/>
    <w:rsid w:val="004760CC"/>
    <w:rsid w:val="004943C6"/>
    <w:rsid w:val="00500745"/>
    <w:rsid w:val="00564B1E"/>
    <w:rsid w:val="005A4D59"/>
    <w:rsid w:val="005A76CD"/>
    <w:rsid w:val="005D47A3"/>
    <w:rsid w:val="005F45F4"/>
    <w:rsid w:val="00684BA2"/>
    <w:rsid w:val="00687CB5"/>
    <w:rsid w:val="00766636"/>
    <w:rsid w:val="007730ED"/>
    <w:rsid w:val="00780252"/>
    <w:rsid w:val="007A5908"/>
    <w:rsid w:val="007D34CC"/>
    <w:rsid w:val="008C7A68"/>
    <w:rsid w:val="009519AA"/>
    <w:rsid w:val="009D6C96"/>
    <w:rsid w:val="00A818F6"/>
    <w:rsid w:val="00AE49B0"/>
    <w:rsid w:val="00B253FD"/>
    <w:rsid w:val="00BD4BDF"/>
    <w:rsid w:val="00D05BF8"/>
    <w:rsid w:val="00DD3C47"/>
    <w:rsid w:val="00DE783B"/>
    <w:rsid w:val="00DF4AA0"/>
    <w:rsid w:val="00DF5AB0"/>
    <w:rsid w:val="00E64DC3"/>
    <w:rsid w:val="00E7204D"/>
    <w:rsid w:val="00E803AB"/>
    <w:rsid w:val="02123F53"/>
    <w:rsid w:val="037F1D87"/>
    <w:rsid w:val="042325A8"/>
    <w:rsid w:val="05400366"/>
    <w:rsid w:val="069C5030"/>
    <w:rsid w:val="087E2573"/>
    <w:rsid w:val="08A50D30"/>
    <w:rsid w:val="09E32030"/>
    <w:rsid w:val="0B496AB8"/>
    <w:rsid w:val="0DA51436"/>
    <w:rsid w:val="0EDD62D9"/>
    <w:rsid w:val="0F4D15C5"/>
    <w:rsid w:val="10060CE1"/>
    <w:rsid w:val="12326D28"/>
    <w:rsid w:val="137A2F78"/>
    <w:rsid w:val="155E115F"/>
    <w:rsid w:val="15853D9C"/>
    <w:rsid w:val="16416786"/>
    <w:rsid w:val="17964283"/>
    <w:rsid w:val="184A2154"/>
    <w:rsid w:val="1A58299E"/>
    <w:rsid w:val="1C7C7028"/>
    <w:rsid w:val="1CA867D3"/>
    <w:rsid w:val="1D8B5A09"/>
    <w:rsid w:val="1FCB1B55"/>
    <w:rsid w:val="21E872A6"/>
    <w:rsid w:val="22AB3347"/>
    <w:rsid w:val="22F9768B"/>
    <w:rsid w:val="23225886"/>
    <w:rsid w:val="2386460C"/>
    <w:rsid w:val="23AB3753"/>
    <w:rsid w:val="24D348AC"/>
    <w:rsid w:val="2585331D"/>
    <w:rsid w:val="26CF1691"/>
    <w:rsid w:val="270D7567"/>
    <w:rsid w:val="27A47ADE"/>
    <w:rsid w:val="27DA2611"/>
    <w:rsid w:val="2A9F0F94"/>
    <w:rsid w:val="2DC4361D"/>
    <w:rsid w:val="2E88639D"/>
    <w:rsid w:val="2F172E4F"/>
    <w:rsid w:val="2FB611C3"/>
    <w:rsid w:val="302B55BD"/>
    <w:rsid w:val="33247B60"/>
    <w:rsid w:val="34290560"/>
    <w:rsid w:val="351F7640"/>
    <w:rsid w:val="365E6C24"/>
    <w:rsid w:val="36640C9D"/>
    <w:rsid w:val="36825278"/>
    <w:rsid w:val="36C2367A"/>
    <w:rsid w:val="37B759F1"/>
    <w:rsid w:val="39DA3E3D"/>
    <w:rsid w:val="3AA47E97"/>
    <w:rsid w:val="3C367E66"/>
    <w:rsid w:val="3CC34A0E"/>
    <w:rsid w:val="3CF40011"/>
    <w:rsid w:val="3D70388E"/>
    <w:rsid w:val="3DC45517"/>
    <w:rsid w:val="3EA36FB8"/>
    <w:rsid w:val="3ECD47FA"/>
    <w:rsid w:val="3F945576"/>
    <w:rsid w:val="3F954ACC"/>
    <w:rsid w:val="404B0529"/>
    <w:rsid w:val="41474FAB"/>
    <w:rsid w:val="41CC723D"/>
    <w:rsid w:val="423E1A74"/>
    <w:rsid w:val="42FE3875"/>
    <w:rsid w:val="43FD5B2D"/>
    <w:rsid w:val="44354C47"/>
    <w:rsid w:val="45485D39"/>
    <w:rsid w:val="460625D2"/>
    <w:rsid w:val="46E922D4"/>
    <w:rsid w:val="47804667"/>
    <w:rsid w:val="47C56D56"/>
    <w:rsid w:val="47D46A8D"/>
    <w:rsid w:val="4AE93EEB"/>
    <w:rsid w:val="4C034A63"/>
    <w:rsid w:val="4C1A2475"/>
    <w:rsid w:val="4D65200F"/>
    <w:rsid w:val="4DCA41B4"/>
    <w:rsid w:val="4F085632"/>
    <w:rsid w:val="4F521086"/>
    <w:rsid w:val="4F5F2349"/>
    <w:rsid w:val="4F67373F"/>
    <w:rsid w:val="4FFE4653"/>
    <w:rsid w:val="502409A5"/>
    <w:rsid w:val="51B2537C"/>
    <w:rsid w:val="51E62F85"/>
    <w:rsid w:val="53B425FE"/>
    <w:rsid w:val="55695878"/>
    <w:rsid w:val="56AE6BB1"/>
    <w:rsid w:val="584E7351"/>
    <w:rsid w:val="594A6206"/>
    <w:rsid w:val="59E66889"/>
    <w:rsid w:val="59FD1C19"/>
    <w:rsid w:val="5A2369E2"/>
    <w:rsid w:val="5A5C6842"/>
    <w:rsid w:val="5ABD2D80"/>
    <w:rsid w:val="5CA327E2"/>
    <w:rsid w:val="5D0964D7"/>
    <w:rsid w:val="5DE40802"/>
    <w:rsid w:val="5E6802D2"/>
    <w:rsid w:val="5F2E70E2"/>
    <w:rsid w:val="600F3CAA"/>
    <w:rsid w:val="60231E43"/>
    <w:rsid w:val="614149A0"/>
    <w:rsid w:val="61C832F9"/>
    <w:rsid w:val="62D6562F"/>
    <w:rsid w:val="63696264"/>
    <w:rsid w:val="63E34892"/>
    <w:rsid w:val="65331F9D"/>
    <w:rsid w:val="667B252D"/>
    <w:rsid w:val="6712276E"/>
    <w:rsid w:val="67226D85"/>
    <w:rsid w:val="686477A2"/>
    <w:rsid w:val="68E951CF"/>
    <w:rsid w:val="692A07F0"/>
    <w:rsid w:val="6A3774AE"/>
    <w:rsid w:val="6A3D6A20"/>
    <w:rsid w:val="6A6073AA"/>
    <w:rsid w:val="6A90057A"/>
    <w:rsid w:val="6B7C4AA2"/>
    <w:rsid w:val="6BCF6090"/>
    <w:rsid w:val="6BD6020E"/>
    <w:rsid w:val="6E32225B"/>
    <w:rsid w:val="6E5A4C86"/>
    <w:rsid w:val="6E804558"/>
    <w:rsid w:val="7005337A"/>
    <w:rsid w:val="702673BD"/>
    <w:rsid w:val="71512718"/>
    <w:rsid w:val="72581325"/>
    <w:rsid w:val="725A72D6"/>
    <w:rsid w:val="73897365"/>
    <w:rsid w:val="73E6218B"/>
    <w:rsid w:val="74CD2319"/>
    <w:rsid w:val="758B64FA"/>
    <w:rsid w:val="75BB144B"/>
    <w:rsid w:val="75D2529A"/>
    <w:rsid w:val="765B22E2"/>
    <w:rsid w:val="76F94263"/>
    <w:rsid w:val="78292797"/>
    <w:rsid w:val="78F162D2"/>
    <w:rsid w:val="79FE7F34"/>
    <w:rsid w:val="7A9A229C"/>
    <w:rsid w:val="7B897CC5"/>
    <w:rsid w:val="7C5D7B71"/>
    <w:rsid w:val="7EBB5AC6"/>
    <w:rsid w:val="7F004096"/>
    <w:rsid w:val="7F2E7899"/>
    <w:rsid w:val="7F720E6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pageBreakBefore/>
      <w:spacing w:line="576" w:lineRule="auto"/>
      <w:jc w:val="center"/>
      <w:outlineLvl w:val="0"/>
    </w:pPr>
    <w:rPr>
      <w:rFonts w:ascii="Times New Roman" w:hAnsi="Times New Roman"/>
      <w:b/>
      <w:kern w:val="44"/>
      <w:sz w:val="28"/>
    </w:rPr>
  </w:style>
  <w:style w:type="paragraph" w:styleId="5">
    <w:name w:val="heading 2"/>
    <w:basedOn w:val="1"/>
    <w:next w:val="1"/>
    <w:link w:val="19"/>
    <w:unhideWhenUsed/>
    <w:qFormat/>
    <w:uiPriority w:val="0"/>
    <w:pPr>
      <w:keepNext/>
      <w:keepLines/>
      <w:snapToGrid w:val="0"/>
      <w:spacing w:line="560" w:lineRule="exact"/>
      <w:ind w:firstLine="800"/>
      <w:jc w:val="left"/>
      <w:outlineLvl w:val="1"/>
    </w:pPr>
    <w:rPr>
      <w:rFonts w:ascii="Arial" w:hAnsi="Arial" w:eastAsia="仿宋"/>
      <w:sz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b/>
      <w:sz w:val="32"/>
    </w:rPr>
  </w:style>
  <w:style w:type="paragraph" w:styleId="6">
    <w:name w:val="annotation text"/>
    <w:basedOn w:val="1"/>
    <w:qFormat/>
    <w:uiPriority w:val="0"/>
    <w:pPr>
      <w:jc w:val="left"/>
    </w:pPr>
  </w:style>
  <w:style w:type="paragraph" w:styleId="7">
    <w:name w:val="Body Text Indent"/>
    <w:basedOn w:val="1"/>
    <w:next w:val="1"/>
    <w:qFormat/>
    <w:uiPriority w:val="0"/>
    <w:pPr>
      <w:spacing w:after="120"/>
      <w:ind w:left="420"/>
    </w:pPr>
  </w:style>
  <w:style w:type="paragraph" w:styleId="8">
    <w:name w:val="toc 3"/>
    <w:basedOn w:val="1"/>
    <w:next w:val="1"/>
    <w:qFormat/>
    <w:uiPriority w:val="0"/>
    <w:pPr>
      <w:ind w:left="840" w:leftChars="400"/>
    </w:pPr>
  </w:style>
  <w:style w:type="paragraph" w:styleId="9">
    <w:name w:val="Balloon Text"/>
    <w:basedOn w:val="1"/>
    <w:link w:val="22"/>
    <w:qFormat/>
    <w:uiPriority w:val="0"/>
    <w:rPr>
      <w:sz w:val="18"/>
      <w:szCs w:val="18"/>
    </w:rPr>
  </w:style>
  <w:style w:type="paragraph" w:styleId="10">
    <w:name w:val="footer"/>
    <w:basedOn w:val="1"/>
    <w:qFormat/>
    <w:uiPriority w:val="0"/>
    <w:pPr>
      <w:tabs>
        <w:tab w:val="center" w:pos="4153"/>
        <w:tab w:val="right" w:pos="8306"/>
      </w:tabs>
      <w:snapToGrid w:val="0"/>
      <w:jc w:val="left"/>
    </w:pPr>
    <w:rPr>
      <w:kern w:val="0"/>
      <w:sz w:val="18"/>
      <w:szCs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Body Text 2"/>
    <w:basedOn w:val="1"/>
    <w:qFormat/>
    <w:uiPriority w:val="0"/>
    <w:pPr>
      <w:spacing w:after="120" w:line="480" w:lineRule="auto"/>
    </w:pPr>
  </w:style>
  <w:style w:type="paragraph" w:styleId="13">
    <w:name w:val="Body Text First Indent 2"/>
    <w:basedOn w:val="7"/>
    <w:next w:val="14"/>
    <w:qFormat/>
    <w:uiPriority w:val="0"/>
    <w:pPr>
      <w:ind w:left="200" w:leftChars="200" w:firstLine="420" w:firstLineChars="200"/>
    </w:pPr>
  </w:style>
  <w:style w:type="paragraph" w:customStyle="1" w:styleId="14">
    <w:name w:val="正文内容"/>
    <w:basedOn w:val="1"/>
    <w:qFormat/>
    <w:uiPriority w:val="0"/>
    <w:pPr>
      <w:ind w:firstLine="200" w:firstLineChars="200"/>
      <w:jc w:val="left"/>
    </w:pPr>
    <w:rPr>
      <w:rFonts w:ascii="Times New Roman" w:hAnsi="Times New Roman" w:eastAsia="仿宋_GB2312"/>
      <w:sz w:val="24"/>
    </w:rPr>
  </w:style>
  <w:style w:type="table" w:styleId="16">
    <w:name w:val="Table Grid"/>
    <w:basedOn w:val="1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annotation reference"/>
    <w:basedOn w:val="17"/>
    <w:qFormat/>
    <w:uiPriority w:val="0"/>
    <w:rPr>
      <w:sz w:val="21"/>
      <w:szCs w:val="21"/>
    </w:rPr>
  </w:style>
  <w:style w:type="character" w:customStyle="1" w:styleId="19">
    <w:name w:val="标题 2 字符"/>
    <w:basedOn w:val="17"/>
    <w:link w:val="5"/>
    <w:qFormat/>
    <w:uiPriority w:val="0"/>
    <w:rPr>
      <w:rFonts w:ascii="Cambria" w:hAnsi="Cambria" w:eastAsia="宋体" w:cs="Times New Roman"/>
      <w:b/>
      <w:bCs/>
      <w:kern w:val="2"/>
      <w:sz w:val="32"/>
      <w:szCs w:val="32"/>
    </w:rPr>
  </w:style>
  <w:style w:type="paragraph" w:customStyle="1" w:styleId="20">
    <w:name w:val="GEDI正文样式"/>
    <w:basedOn w:val="1"/>
    <w:qFormat/>
    <w:uiPriority w:val="0"/>
    <w:pPr>
      <w:adjustRightInd w:val="0"/>
      <w:snapToGrid w:val="0"/>
      <w:spacing w:line="480" w:lineRule="atLeast"/>
      <w:ind w:firstLine="480" w:firstLineChars="200"/>
    </w:pPr>
    <w:rPr>
      <w:szCs w:val="24"/>
    </w:rPr>
  </w:style>
  <w:style w:type="paragraph" w:customStyle="1" w:styleId="21">
    <w:name w:val="正文文本缩进1"/>
    <w:basedOn w:val="1"/>
    <w:qFormat/>
    <w:uiPriority w:val="0"/>
    <w:pPr>
      <w:spacing w:line="300" w:lineRule="auto"/>
      <w:ind w:firstLine="480"/>
    </w:pPr>
    <w:rPr>
      <w:rFonts w:ascii="宋体" w:hAnsi="宋体"/>
      <w:kern w:val="0"/>
      <w:sz w:val="24"/>
      <w:szCs w:val="24"/>
    </w:rPr>
  </w:style>
  <w:style w:type="character" w:customStyle="1" w:styleId="22">
    <w:name w:val="批注框文本 字符"/>
    <w:basedOn w:val="17"/>
    <w:link w:val="9"/>
    <w:qFormat/>
    <w:uiPriority w:val="0"/>
    <w:rPr>
      <w:rFonts w:ascii="Calibri" w:hAnsi="Calibri"/>
      <w:kern w:val="2"/>
      <w:sz w:val="18"/>
      <w:szCs w:val="18"/>
    </w:rPr>
  </w:style>
  <w:style w:type="paragraph" w:customStyle="1" w:styleId="23">
    <w:name w:val="p0"/>
    <w:basedOn w:val="1"/>
    <w:qFormat/>
    <w:uiPriority w:val="0"/>
    <w:pPr>
      <w:widowControl/>
    </w:pPr>
    <w:rPr>
      <w:rFonts w:ascii="Times New Roman" w:hAnsi="Times New Roman"/>
      <w:kern w:val="0"/>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dw</Company>
  <Pages>4</Pages>
  <Words>4045</Words>
  <Characters>4178</Characters>
  <Lines>37</Lines>
  <Paragraphs>10</Paragraphs>
  <TotalTime>14</TotalTime>
  <ScaleCrop>false</ScaleCrop>
  <LinksUpToDate>false</LinksUpToDate>
  <CharactersWithSpaces>4908</CharactersWithSpaces>
  <Application>WPS Office_12.8.2.21549_F1E327BC-269C-435d-A152-05C5408002CA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2019-03-11T01:45:00Z</dcterms:created>
  <dc:creator>杨雯雁</dc:creator>
  <cp:lastModifiedBy>00009346.gz_gzj</cp:lastModifiedBy>
  <dcterms:modified xsi:type="dcterms:W3CDTF">2025-11-11T02:56:18Z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2052-12.8.2.21549</vt:lpwstr>
  </property>
  <property fmtid="{D5CDD505-2E9C-101B-9397-08002B2CF9AE}" pid="3" name="ICV">
    <vt:lpwstr>FEF1761EFBED4C5A8476C1FD4CE6C667</vt:lpwstr>
  </property>
  <property fmtid="{D5CDD505-2E9C-101B-9397-08002B2CF9AE}" pid="4" name="KSOTemplateDocerSaveRecord">
    <vt:lpwstr>eyJoZGlkIjoiMzEwNTM5NzYwMDRjMzkwZTVkZjY2ODkwMGIxNGU0OTUiLCJ1c2VySWQiOiI1Njg5Nzg0MDEifQ==</vt:lpwstr>
  </property>
</Properties>
</file>