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eastAsia="宋体" w:cs="宋体"/>
          <w:b/>
          <w:bCs/>
          <w:color w:val="auto"/>
          <w:sz w:val="44"/>
          <w:szCs w:val="44"/>
          <w:highlight w:val="none"/>
          <w:lang w:eastAsia="zh-CN"/>
        </w:rPr>
      </w:pPr>
      <w:bookmarkStart w:id="5" w:name="_GoBack"/>
      <w:bookmarkEnd w:id="5"/>
    </w:p>
    <w:p>
      <w:pPr>
        <w:jc w:val="center"/>
        <w:rPr>
          <w:rFonts w:hint="eastAsia" w:ascii="宋体" w:eastAsia="宋体" w:cs="宋体"/>
          <w:b/>
          <w:bCs/>
          <w:color w:val="auto"/>
          <w:sz w:val="44"/>
          <w:szCs w:val="44"/>
          <w:highlight w:val="none"/>
          <w:lang w:eastAsia="zh-CN"/>
        </w:rPr>
      </w:pPr>
    </w:p>
    <w:p>
      <w:pPr>
        <w:jc w:val="center"/>
        <w:rPr>
          <w:rFonts w:hint="eastAsia" w:ascii="宋体" w:eastAsia="宋体" w:cs="宋体"/>
          <w:b/>
          <w:bCs/>
          <w:color w:val="auto"/>
          <w:sz w:val="44"/>
          <w:szCs w:val="44"/>
          <w:highlight w:val="none"/>
          <w:lang w:eastAsia="zh-CN"/>
        </w:rPr>
      </w:pPr>
    </w:p>
    <w:p>
      <w:pPr>
        <w:jc w:val="center"/>
        <w:rPr>
          <w:rFonts w:hint="eastAsia" w:ascii="宋体" w:eastAsia="宋体" w:cs="宋体"/>
          <w:b/>
          <w:bCs/>
          <w:color w:val="auto"/>
          <w:sz w:val="44"/>
          <w:szCs w:val="44"/>
          <w:highlight w:val="none"/>
          <w:lang w:eastAsia="zh-CN"/>
        </w:rPr>
      </w:pPr>
    </w:p>
    <w:p>
      <w:pPr>
        <w:jc w:val="center"/>
        <w:rPr>
          <w:rFonts w:hint="eastAsia" w:ascii="黑体" w:eastAsia="黑体" w:cs="黑体"/>
          <w:b/>
          <w:bCs/>
          <w:color w:val="auto"/>
          <w:sz w:val="52"/>
          <w:szCs w:val="52"/>
          <w:highlight w:val="none"/>
          <w:lang w:eastAsia="zh-CN"/>
        </w:rPr>
      </w:pPr>
      <w:r>
        <w:rPr>
          <w:rFonts w:hint="eastAsia" w:ascii="黑体" w:eastAsia="黑体" w:cs="黑体"/>
          <w:b/>
          <w:bCs/>
          <w:color w:val="auto"/>
          <w:sz w:val="52"/>
          <w:szCs w:val="52"/>
          <w:highlight w:val="none"/>
          <w:lang w:eastAsia="zh-CN"/>
        </w:rPr>
        <w:t>贵港供电局202</w:t>
      </w:r>
      <w:r>
        <w:rPr>
          <w:rFonts w:hint="eastAsia" w:ascii="黑体" w:eastAsia="黑体" w:cs="黑体"/>
          <w:b/>
          <w:bCs/>
          <w:color w:val="auto"/>
          <w:sz w:val="52"/>
          <w:szCs w:val="52"/>
          <w:highlight w:val="none"/>
          <w:lang w:val="en-US" w:eastAsia="zh-CN"/>
        </w:rPr>
        <w:t>5</w:t>
      </w:r>
      <w:r>
        <w:rPr>
          <w:rFonts w:hint="eastAsia" w:ascii="黑体" w:eastAsia="黑体" w:cs="黑体"/>
          <w:b/>
          <w:bCs/>
          <w:color w:val="auto"/>
          <w:sz w:val="52"/>
          <w:szCs w:val="52"/>
          <w:highlight w:val="none"/>
          <w:lang w:eastAsia="zh-CN"/>
        </w:rPr>
        <w:t>年档案库房</w:t>
      </w:r>
    </w:p>
    <w:p>
      <w:pPr>
        <w:jc w:val="center"/>
        <w:rPr>
          <w:rFonts w:hint="eastAsia" w:ascii="黑体" w:eastAsia="黑体" w:cs="黑体"/>
          <w:b/>
          <w:bCs/>
          <w:color w:val="auto"/>
          <w:sz w:val="52"/>
          <w:szCs w:val="52"/>
          <w:highlight w:val="none"/>
          <w:lang w:eastAsia="zh-CN"/>
        </w:rPr>
      </w:pPr>
      <w:r>
        <w:rPr>
          <w:rFonts w:hint="eastAsia" w:ascii="黑体" w:eastAsia="黑体" w:cs="黑体"/>
          <w:b/>
          <w:bCs/>
          <w:color w:val="auto"/>
          <w:sz w:val="52"/>
          <w:szCs w:val="52"/>
          <w:highlight w:val="none"/>
          <w:lang w:eastAsia="zh-CN"/>
        </w:rPr>
        <w:t>密集架维修保养项目</w:t>
      </w:r>
    </w:p>
    <w:p>
      <w:pPr>
        <w:jc w:val="center"/>
        <w:rPr>
          <w:rFonts w:hint="eastAsia" w:ascii="黑体" w:eastAsia="黑体" w:cs="黑体"/>
          <w:color w:val="auto"/>
          <w:sz w:val="52"/>
          <w:szCs w:val="52"/>
          <w:highlight w:val="none"/>
          <w:lang w:eastAsia="zh-CN"/>
        </w:rPr>
      </w:pPr>
      <w:r>
        <w:rPr>
          <w:rFonts w:hint="eastAsia" w:ascii="黑体" w:eastAsia="黑体" w:cs="黑体"/>
          <w:b/>
          <w:bCs/>
          <w:color w:val="auto"/>
          <w:sz w:val="52"/>
          <w:szCs w:val="52"/>
          <w:highlight w:val="none"/>
          <w:lang w:eastAsia="zh-CN"/>
        </w:rPr>
        <w:t>技术规范书</w:t>
      </w:r>
    </w:p>
    <w:p>
      <w:pPr>
        <w:rPr>
          <w:rFonts w:hint="eastAsia" w:ascii="宋体" w:cs="宋体"/>
          <w:b/>
          <w:bCs/>
          <w:color w:val="auto"/>
          <w:sz w:val="28"/>
          <w:szCs w:val="28"/>
          <w:highlight w:val="none"/>
          <w:lang w:eastAsia="zh-CN"/>
        </w:rPr>
      </w:pPr>
    </w:p>
    <w:p>
      <w:pPr>
        <w:rPr>
          <w:rFonts w:hint="eastAsia" w:ascii="宋体" w:cs="宋体"/>
          <w:b/>
          <w:bCs/>
          <w:color w:val="auto"/>
          <w:sz w:val="28"/>
          <w:szCs w:val="28"/>
          <w:highlight w:val="none"/>
          <w:lang w:eastAsia="zh-CN"/>
        </w:rPr>
      </w:pPr>
    </w:p>
    <w:p>
      <w:pPr>
        <w:rPr>
          <w:rFonts w:hint="eastAsia" w:ascii="宋体" w:cs="宋体"/>
          <w:b/>
          <w:bCs/>
          <w:color w:val="auto"/>
          <w:sz w:val="28"/>
          <w:szCs w:val="28"/>
          <w:highlight w:val="none"/>
          <w:lang w:eastAsia="zh-CN"/>
        </w:rPr>
      </w:pPr>
    </w:p>
    <w:p>
      <w:pPr>
        <w:rPr>
          <w:rFonts w:hint="eastAsia" w:ascii="宋体" w:cs="宋体"/>
          <w:b/>
          <w:bCs/>
          <w:color w:val="auto"/>
          <w:sz w:val="28"/>
          <w:szCs w:val="28"/>
          <w:highlight w:val="none"/>
          <w:lang w:eastAsia="zh-CN"/>
        </w:rPr>
      </w:pPr>
    </w:p>
    <w:p>
      <w:pPr>
        <w:rPr>
          <w:rFonts w:hint="eastAsia" w:ascii="宋体" w:cs="宋体"/>
          <w:b/>
          <w:bCs/>
          <w:color w:val="auto"/>
          <w:sz w:val="28"/>
          <w:szCs w:val="28"/>
          <w:highlight w:val="none"/>
          <w:lang w:eastAsia="zh-CN"/>
        </w:rPr>
      </w:pPr>
    </w:p>
    <w:p>
      <w:pPr>
        <w:rPr>
          <w:rFonts w:hint="eastAsia" w:ascii="宋体" w:cs="宋体"/>
          <w:b/>
          <w:bCs/>
          <w:color w:val="auto"/>
          <w:sz w:val="28"/>
          <w:szCs w:val="28"/>
          <w:highlight w:val="none"/>
          <w:lang w:eastAsia="zh-CN"/>
        </w:rPr>
      </w:pPr>
    </w:p>
    <w:p>
      <w:pPr>
        <w:rPr>
          <w:rFonts w:hint="eastAsia" w:ascii="宋体" w:cs="宋体"/>
          <w:b/>
          <w:bCs/>
          <w:color w:val="auto"/>
          <w:sz w:val="28"/>
          <w:szCs w:val="28"/>
          <w:highlight w:val="none"/>
          <w:lang w:eastAsia="zh-CN"/>
        </w:rPr>
      </w:pPr>
    </w:p>
    <w:p>
      <w:pPr>
        <w:rPr>
          <w:rFonts w:hint="eastAsia" w:ascii="宋体" w:cs="宋体"/>
          <w:b/>
          <w:bCs/>
          <w:color w:val="auto"/>
          <w:sz w:val="28"/>
          <w:szCs w:val="28"/>
          <w:highlight w:val="none"/>
          <w:lang w:eastAsia="zh-CN"/>
        </w:rPr>
      </w:pPr>
    </w:p>
    <w:p>
      <w:pPr>
        <w:rPr>
          <w:rFonts w:hint="eastAsia" w:ascii="宋体" w:cs="宋体"/>
          <w:b/>
          <w:bCs/>
          <w:color w:val="auto"/>
          <w:sz w:val="28"/>
          <w:szCs w:val="28"/>
          <w:highlight w:val="none"/>
          <w:lang w:eastAsia="zh-CN"/>
        </w:rPr>
      </w:pPr>
    </w:p>
    <w:p>
      <w:pPr>
        <w:rPr>
          <w:rFonts w:hint="eastAsia" w:ascii="宋体" w:cs="宋体"/>
          <w:b/>
          <w:bCs/>
          <w:color w:val="auto"/>
          <w:sz w:val="28"/>
          <w:szCs w:val="28"/>
          <w:highlight w:val="none"/>
          <w:lang w:eastAsia="zh-CN"/>
        </w:rPr>
      </w:pPr>
    </w:p>
    <w:p>
      <w:pPr>
        <w:jc w:val="center"/>
        <w:rPr>
          <w:rFonts w:hint="eastAsia"/>
          <w:sz w:val="28"/>
          <w:szCs w:val="28"/>
          <w:highlight w:val="none"/>
          <w:lang w:val="en-US" w:eastAsia="zh-CN"/>
        </w:rPr>
      </w:pPr>
      <w:r>
        <w:rPr>
          <w:rFonts w:hint="eastAsia"/>
          <w:sz w:val="28"/>
          <w:szCs w:val="28"/>
          <w:highlight w:val="none"/>
          <w:lang w:val="en-US" w:eastAsia="zh-CN"/>
        </w:rPr>
        <w:t>广西电网有限责任公司贵港供电局</w:t>
      </w:r>
    </w:p>
    <w:p>
      <w:pPr>
        <w:pStyle w:val="2"/>
        <w:jc w:val="center"/>
        <w:rPr>
          <w:rFonts w:hint="default"/>
          <w:highlight w:val="none"/>
          <w:lang w:val="en-US" w:eastAsia="zh-CN"/>
        </w:rPr>
      </w:pPr>
      <w:r>
        <w:rPr>
          <w:rFonts w:hint="eastAsia"/>
          <w:sz w:val="28"/>
          <w:szCs w:val="28"/>
          <w:highlight w:val="none"/>
          <w:lang w:val="en-US" w:eastAsia="zh-CN"/>
        </w:rPr>
        <w:t>2025年11月</w:t>
      </w:r>
    </w:p>
    <w:p>
      <w:pPr>
        <w:rPr>
          <w:rFonts w:hint="eastAsia" w:ascii="宋体" w:cs="宋体"/>
          <w:b/>
          <w:bCs/>
          <w:color w:val="auto"/>
          <w:sz w:val="28"/>
          <w:szCs w:val="28"/>
          <w:highlight w:val="none"/>
          <w:lang w:eastAsia="zh-CN"/>
        </w:rPr>
      </w:pPr>
    </w:p>
    <w:p>
      <w:pPr>
        <w:keepNext w:val="0"/>
        <w:keepLines w:val="0"/>
        <w:pageBreakBefore w:val="0"/>
        <w:widowControl w:val="0"/>
        <w:kinsoku/>
        <w:wordWrap/>
        <w:overflowPunct/>
        <w:topLinePunct w:val="0"/>
        <w:autoSpaceDE/>
        <w:autoSpaceDN/>
        <w:bidi w:val="0"/>
        <w:adjustRightInd/>
        <w:snapToGrid/>
        <w:spacing w:line="580" w:lineRule="exact"/>
        <w:ind w:firstLine="562" w:firstLineChars="200"/>
        <w:textAlignment w:val="auto"/>
        <w:rPr>
          <w:rFonts w:hint="eastAsia" w:ascii="黑体" w:hAnsi="黑体" w:eastAsia="黑体" w:cs="黑体"/>
          <w:b/>
          <w:bCs w:val="0"/>
          <w:color w:val="auto"/>
          <w:sz w:val="28"/>
          <w:szCs w:val="28"/>
          <w:highlight w:val="none"/>
        </w:rPr>
      </w:pPr>
      <w:r>
        <w:rPr>
          <w:rFonts w:hint="eastAsia" w:ascii="黑体" w:hAnsi="黑体" w:eastAsia="黑体" w:cs="黑体"/>
          <w:b/>
          <w:bCs w:val="0"/>
          <w:color w:val="auto"/>
          <w:sz w:val="28"/>
          <w:szCs w:val="28"/>
          <w:highlight w:val="none"/>
          <w:lang w:eastAsia="zh-CN"/>
        </w:rPr>
        <w:t>一、</w:t>
      </w:r>
      <w:r>
        <w:rPr>
          <w:rFonts w:hint="eastAsia" w:ascii="黑体" w:hAnsi="黑体" w:eastAsia="黑体" w:cs="黑体"/>
          <w:b/>
          <w:bCs w:val="0"/>
          <w:color w:val="auto"/>
          <w:sz w:val="28"/>
          <w:szCs w:val="28"/>
          <w:highlight w:val="none"/>
        </w:rPr>
        <w:t>总则</w:t>
      </w:r>
    </w:p>
    <w:p>
      <w:pPr>
        <w:keepNext w:val="0"/>
        <w:keepLines w:val="0"/>
        <w:pageBreakBefore w:val="0"/>
        <w:widowControl w:val="0"/>
        <w:kinsoku/>
        <w:wordWrap/>
        <w:overflowPunct/>
        <w:topLinePunct w:val="0"/>
        <w:autoSpaceDE/>
        <w:autoSpaceDN/>
        <w:bidi w:val="0"/>
        <w:adjustRightInd/>
        <w:snapToGrid/>
        <w:spacing w:line="580" w:lineRule="exact"/>
        <w:ind w:firstLine="560" w:firstLineChars="200"/>
        <w:textAlignment w:val="auto"/>
        <w:rPr>
          <w:rFonts w:hint="eastAsia" w:ascii="宋体"/>
          <w:color w:val="auto"/>
          <w:sz w:val="28"/>
          <w:szCs w:val="28"/>
          <w:highlight w:val="none"/>
        </w:rPr>
      </w:pPr>
      <w:r>
        <w:rPr>
          <w:rFonts w:hint="eastAsia" w:ascii="宋体"/>
          <w:color w:val="auto"/>
          <w:sz w:val="28"/>
          <w:szCs w:val="28"/>
          <w:highlight w:val="none"/>
          <w:lang w:val="en-US" w:eastAsia="zh-CN"/>
        </w:rPr>
        <w:t>1.</w:t>
      </w:r>
      <w:r>
        <w:rPr>
          <w:rFonts w:hint="eastAsia" w:ascii="宋体"/>
          <w:color w:val="auto"/>
          <w:sz w:val="28"/>
          <w:szCs w:val="28"/>
          <w:highlight w:val="none"/>
        </w:rPr>
        <w:t>本规范书适用于</w:t>
      </w:r>
      <w:r>
        <w:rPr>
          <w:rFonts w:hint="eastAsia" w:ascii="宋体" w:cs="宋体"/>
          <w:color w:val="auto"/>
          <w:sz w:val="28"/>
          <w:szCs w:val="28"/>
          <w:highlight w:val="none"/>
          <w:lang w:eastAsia="zh-CN"/>
        </w:rPr>
        <w:t>贵港供电局202</w:t>
      </w:r>
      <w:r>
        <w:rPr>
          <w:rFonts w:hint="eastAsia" w:ascii="宋体" w:cs="宋体"/>
          <w:color w:val="auto"/>
          <w:sz w:val="28"/>
          <w:szCs w:val="28"/>
          <w:highlight w:val="none"/>
          <w:lang w:val="en-US" w:eastAsia="zh-CN"/>
        </w:rPr>
        <w:t>5</w:t>
      </w:r>
      <w:r>
        <w:rPr>
          <w:rFonts w:hint="eastAsia" w:ascii="宋体" w:cs="宋体"/>
          <w:color w:val="auto"/>
          <w:sz w:val="28"/>
          <w:szCs w:val="28"/>
          <w:highlight w:val="none"/>
          <w:lang w:eastAsia="zh-CN"/>
        </w:rPr>
        <w:t>年档案密集架维修保养项目项目</w:t>
      </w:r>
      <w:r>
        <w:rPr>
          <w:rFonts w:hint="eastAsia" w:ascii="宋体"/>
          <w:color w:val="auto"/>
          <w:sz w:val="28"/>
          <w:szCs w:val="28"/>
          <w:highlight w:val="none"/>
        </w:rPr>
        <w:t>的技术性能、要求等。</w:t>
      </w:r>
    </w:p>
    <w:p>
      <w:pPr>
        <w:keepNext w:val="0"/>
        <w:keepLines w:val="0"/>
        <w:pageBreakBefore w:val="0"/>
        <w:widowControl w:val="0"/>
        <w:kinsoku/>
        <w:wordWrap/>
        <w:overflowPunct/>
        <w:topLinePunct w:val="0"/>
        <w:autoSpaceDE/>
        <w:autoSpaceDN/>
        <w:bidi w:val="0"/>
        <w:adjustRightInd/>
        <w:snapToGrid/>
        <w:spacing w:line="580" w:lineRule="exact"/>
        <w:ind w:firstLine="560" w:firstLineChars="200"/>
        <w:textAlignment w:val="auto"/>
        <w:rPr>
          <w:rFonts w:hint="eastAsia" w:ascii="宋体" w:eastAsia="宋体" w:cs="Times New Roman"/>
          <w:color w:val="auto"/>
          <w:sz w:val="28"/>
          <w:szCs w:val="28"/>
          <w:highlight w:val="none"/>
        </w:rPr>
      </w:pPr>
      <w:r>
        <w:rPr>
          <w:rFonts w:hint="eastAsia" w:ascii="宋体"/>
          <w:color w:val="auto"/>
          <w:sz w:val="28"/>
          <w:szCs w:val="28"/>
          <w:highlight w:val="none"/>
          <w:lang w:val="en-US" w:eastAsia="zh-CN"/>
        </w:rPr>
        <w:t>2.</w:t>
      </w:r>
      <w:r>
        <w:rPr>
          <w:rFonts w:hint="eastAsia" w:ascii="宋体"/>
          <w:color w:val="auto"/>
          <w:sz w:val="28"/>
          <w:szCs w:val="28"/>
          <w:highlight w:val="none"/>
        </w:rPr>
        <w:t>本规范书中提出的是最低限度的技术要求，并未对一切技术细节作出规定，也未充分引述有关的技术标准和规范的条文，</w:t>
      </w:r>
      <w:r>
        <w:rPr>
          <w:rFonts w:hint="eastAsia" w:ascii="宋体"/>
          <w:color w:val="auto"/>
          <w:sz w:val="28"/>
          <w:szCs w:val="28"/>
          <w:highlight w:val="none"/>
          <w:lang w:eastAsia="zh-CN"/>
        </w:rPr>
        <w:t>投标方</w:t>
      </w:r>
      <w:r>
        <w:rPr>
          <w:rFonts w:hint="eastAsia" w:ascii="宋体"/>
          <w:color w:val="auto"/>
          <w:sz w:val="28"/>
          <w:szCs w:val="28"/>
          <w:highlight w:val="none"/>
        </w:rPr>
        <w:t>应提供符合本</w:t>
      </w:r>
      <w:r>
        <w:rPr>
          <w:rFonts w:hint="eastAsia" w:ascii="宋体" w:eastAsia="宋体" w:cs="Times New Roman"/>
          <w:color w:val="auto"/>
          <w:sz w:val="28"/>
          <w:szCs w:val="28"/>
          <w:highlight w:val="none"/>
        </w:rPr>
        <w:t>规范书和国家标准要求的高质量产品。</w:t>
      </w:r>
    </w:p>
    <w:p>
      <w:pPr>
        <w:keepNext w:val="0"/>
        <w:keepLines w:val="0"/>
        <w:pageBreakBefore w:val="0"/>
        <w:widowControl w:val="0"/>
        <w:kinsoku/>
        <w:wordWrap/>
        <w:overflowPunct/>
        <w:topLinePunct w:val="0"/>
        <w:autoSpaceDE/>
        <w:autoSpaceDN/>
        <w:bidi w:val="0"/>
        <w:adjustRightInd/>
        <w:snapToGrid/>
        <w:spacing w:line="580" w:lineRule="exact"/>
        <w:ind w:firstLine="560" w:firstLineChars="200"/>
        <w:textAlignment w:val="auto"/>
        <w:rPr>
          <w:rFonts w:hint="eastAsia" w:ascii="宋体"/>
          <w:color w:val="auto"/>
          <w:sz w:val="28"/>
          <w:szCs w:val="28"/>
          <w:highlight w:val="none"/>
        </w:rPr>
      </w:pPr>
      <w:r>
        <w:rPr>
          <w:rFonts w:hint="eastAsia" w:ascii="宋体" w:eastAsia="宋体" w:cs="Times New Roman"/>
          <w:color w:val="auto"/>
          <w:sz w:val="28"/>
          <w:szCs w:val="28"/>
          <w:highlight w:val="none"/>
          <w:lang w:val="en-US" w:eastAsia="zh-CN"/>
        </w:rPr>
        <w:t>3.</w:t>
      </w:r>
      <w:r>
        <w:rPr>
          <w:rFonts w:hint="eastAsia" w:ascii="宋体" w:eastAsia="宋体" w:cs="Times New Roman"/>
          <w:color w:val="auto"/>
          <w:sz w:val="28"/>
          <w:szCs w:val="28"/>
          <w:highlight w:val="none"/>
        </w:rPr>
        <w:t>本规范书指标要求中，凡标有下划线或加“★”的地方均被视为重要的技术指标要求或性能要求。投标方要特别加以注意，必须完全满足这些要求。</w:t>
      </w:r>
    </w:p>
    <w:p>
      <w:pPr>
        <w:keepNext w:val="0"/>
        <w:keepLines w:val="0"/>
        <w:pageBreakBefore w:val="0"/>
        <w:widowControl w:val="0"/>
        <w:kinsoku/>
        <w:wordWrap/>
        <w:overflowPunct/>
        <w:topLinePunct w:val="0"/>
        <w:autoSpaceDE/>
        <w:autoSpaceDN/>
        <w:bidi w:val="0"/>
        <w:adjustRightInd/>
        <w:snapToGrid/>
        <w:spacing w:line="580" w:lineRule="exact"/>
        <w:ind w:firstLine="560" w:firstLineChars="200"/>
        <w:textAlignment w:val="auto"/>
        <w:rPr>
          <w:rFonts w:hint="eastAsia" w:ascii="宋体" w:eastAsia="宋体" w:cs="Times New Roman"/>
          <w:color w:val="auto"/>
          <w:sz w:val="28"/>
          <w:szCs w:val="28"/>
          <w:highlight w:val="none"/>
        </w:rPr>
      </w:pPr>
      <w:r>
        <w:rPr>
          <w:rFonts w:hint="eastAsia" w:ascii="宋体" w:eastAsia="宋体" w:cs="Times New Roman"/>
          <w:color w:val="auto"/>
          <w:sz w:val="28"/>
          <w:szCs w:val="28"/>
          <w:highlight w:val="none"/>
          <w:lang w:val="en-US" w:eastAsia="zh-CN"/>
        </w:rPr>
        <w:t>4.</w:t>
      </w:r>
      <w:r>
        <w:rPr>
          <w:rFonts w:hint="eastAsia" w:ascii="宋体" w:eastAsia="宋体" w:cs="Times New Roman"/>
          <w:color w:val="auto"/>
          <w:sz w:val="28"/>
          <w:szCs w:val="28"/>
          <w:highlight w:val="none"/>
        </w:rPr>
        <w:t>如果投标方没有以书面形式对本招标文件技术规范的条文提出差异，则意味着投标方提供的服务完全符合本招标文件的要求。若有与本招标文件要求不一致的地方，必须逐项在“技术差异表”中列出。</w:t>
      </w:r>
    </w:p>
    <w:p>
      <w:pPr>
        <w:keepNext w:val="0"/>
        <w:keepLines w:val="0"/>
        <w:pageBreakBefore w:val="0"/>
        <w:widowControl w:val="0"/>
        <w:kinsoku/>
        <w:wordWrap/>
        <w:overflowPunct/>
        <w:topLinePunct w:val="0"/>
        <w:autoSpaceDE/>
        <w:autoSpaceDN/>
        <w:bidi w:val="0"/>
        <w:adjustRightInd/>
        <w:snapToGrid/>
        <w:spacing w:line="580" w:lineRule="exact"/>
        <w:ind w:firstLine="560" w:firstLineChars="200"/>
        <w:textAlignment w:val="auto"/>
        <w:rPr>
          <w:rFonts w:hint="eastAsia" w:ascii="宋体"/>
          <w:color w:val="auto"/>
          <w:sz w:val="28"/>
          <w:szCs w:val="28"/>
          <w:highlight w:val="none"/>
        </w:rPr>
      </w:pPr>
      <w:r>
        <w:rPr>
          <w:rFonts w:hint="eastAsia" w:ascii="宋体"/>
          <w:color w:val="auto"/>
          <w:sz w:val="28"/>
          <w:szCs w:val="28"/>
          <w:highlight w:val="none"/>
          <w:lang w:val="en-US" w:eastAsia="zh-CN"/>
        </w:rPr>
        <w:t>5.</w:t>
      </w:r>
      <w:r>
        <w:rPr>
          <w:rFonts w:hint="eastAsia" w:ascii="宋体"/>
          <w:color w:val="auto"/>
          <w:sz w:val="28"/>
          <w:szCs w:val="28"/>
          <w:highlight w:val="none"/>
        </w:rPr>
        <w:t>本规范书经供需双方确认后作为订货合同的技术附件，与合同正文具有同等法律效力。</w:t>
      </w:r>
    </w:p>
    <w:p>
      <w:pPr>
        <w:keepNext w:val="0"/>
        <w:keepLines w:val="0"/>
        <w:pageBreakBefore w:val="0"/>
        <w:widowControl w:val="0"/>
        <w:kinsoku/>
        <w:wordWrap/>
        <w:overflowPunct/>
        <w:topLinePunct w:val="0"/>
        <w:autoSpaceDE/>
        <w:autoSpaceDN/>
        <w:bidi w:val="0"/>
        <w:adjustRightInd/>
        <w:snapToGrid/>
        <w:spacing w:line="580" w:lineRule="exact"/>
        <w:ind w:firstLine="560" w:firstLineChars="200"/>
        <w:textAlignment w:val="auto"/>
        <w:rPr>
          <w:rFonts w:hint="eastAsia" w:ascii="宋体" w:cs="宋体"/>
          <w:b/>
          <w:bCs/>
          <w:color w:val="auto"/>
          <w:sz w:val="28"/>
          <w:szCs w:val="28"/>
          <w:highlight w:val="none"/>
          <w:lang w:eastAsia="zh-CN"/>
        </w:rPr>
      </w:pPr>
      <w:r>
        <w:rPr>
          <w:rFonts w:hint="eastAsia" w:ascii="宋体"/>
          <w:color w:val="auto"/>
          <w:sz w:val="28"/>
          <w:szCs w:val="28"/>
          <w:highlight w:val="none"/>
          <w:lang w:val="en-US" w:eastAsia="zh-CN"/>
        </w:rPr>
        <w:t>6.</w:t>
      </w:r>
      <w:r>
        <w:rPr>
          <w:rFonts w:hint="eastAsia" w:ascii="宋体"/>
          <w:color w:val="auto"/>
          <w:sz w:val="28"/>
          <w:szCs w:val="28"/>
          <w:highlight w:val="none"/>
        </w:rPr>
        <w:t>本规范书未尽事宜，由供需双方协商确定。</w:t>
      </w:r>
    </w:p>
    <w:p>
      <w:pPr>
        <w:keepNext w:val="0"/>
        <w:keepLines w:val="0"/>
        <w:pageBreakBefore w:val="0"/>
        <w:widowControl w:val="0"/>
        <w:kinsoku/>
        <w:wordWrap/>
        <w:overflowPunct/>
        <w:topLinePunct w:val="0"/>
        <w:autoSpaceDE/>
        <w:autoSpaceDN/>
        <w:bidi w:val="0"/>
        <w:adjustRightInd/>
        <w:snapToGrid/>
        <w:spacing w:line="580" w:lineRule="exact"/>
        <w:ind w:firstLine="562" w:firstLineChars="200"/>
        <w:textAlignment w:val="auto"/>
        <w:rPr>
          <w:rFonts w:hint="eastAsia" w:ascii="黑体" w:hAnsi="黑体" w:eastAsia="黑体" w:cs="黑体"/>
          <w:b/>
          <w:color w:val="auto"/>
          <w:sz w:val="28"/>
          <w:szCs w:val="28"/>
          <w:highlight w:val="none"/>
          <w:lang w:eastAsia="zh-CN"/>
        </w:rPr>
      </w:pPr>
      <w:r>
        <w:rPr>
          <w:rFonts w:hint="eastAsia" w:ascii="黑体" w:hAnsi="黑体" w:eastAsia="黑体" w:cs="黑体"/>
          <w:b/>
          <w:color w:val="auto"/>
          <w:sz w:val="28"/>
          <w:szCs w:val="28"/>
          <w:highlight w:val="none"/>
          <w:lang w:eastAsia="zh-CN"/>
        </w:rPr>
        <w:t>二、服务范围</w:t>
      </w:r>
    </w:p>
    <w:tbl>
      <w:tblPr>
        <w:tblStyle w:val="8"/>
        <w:tblW w:w="654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94"/>
        <w:gridCol w:w="2610"/>
        <w:gridCol w:w="793"/>
        <w:gridCol w:w="981"/>
        <w:gridCol w:w="137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6"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类别</w:t>
            </w:r>
          </w:p>
        </w:tc>
        <w:tc>
          <w:tcPr>
            <w:tcW w:w="261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名称</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单位</w:t>
            </w:r>
          </w:p>
        </w:tc>
        <w:tc>
          <w:tcPr>
            <w:tcW w:w="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数量</w:t>
            </w:r>
          </w:p>
        </w:tc>
        <w:tc>
          <w:tcPr>
            <w:tcW w:w="13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备 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1"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手摇军工传动板</w:t>
            </w:r>
          </w:p>
        </w:tc>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套</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c>
          <w:tcPr>
            <w:tcW w:w="13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1"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轨道轴</w:t>
            </w:r>
          </w:p>
        </w:tc>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c>
          <w:tcPr>
            <w:tcW w:w="13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7"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路轨下滑</w:t>
            </w:r>
          </w:p>
        </w:tc>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米</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kern w:val="0"/>
                <w:sz w:val="20"/>
                <w:szCs w:val="20"/>
                <w:highlight w:val="none"/>
                <w:u w:val="none"/>
                <w:lang w:val="en-US" w:eastAsia="zh-CN" w:bidi="ar"/>
              </w:rPr>
              <w:t>21</w:t>
            </w:r>
          </w:p>
        </w:tc>
        <w:tc>
          <w:tcPr>
            <w:tcW w:w="13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6"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下架传动链条</w:t>
            </w:r>
          </w:p>
        </w:tc>
        <w:tc>
          <w:tcPr>
            <w:tcW w:w="793"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套</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6</w:t>
            </w:r>
          </w:p>
        </w:tc>
        <w:tc>
          <w:tcPr>
            <w:tcW w:w="13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6"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下架传动轴</w:t>
            </w:r>
          </w:p>
        </w:tc>
        <w:tc>
          <w:tcPr>
            <w:tcW w:w="793"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个</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17</w:t>
            </w:r>
          </w:p>
        </w:tc>
        <w:tc>
          <w:tcPr>
            <w:tcW w:w="13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6"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6</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下架传动摇杆</w:t>
            </w:r>
          </w:p>
        </w:tc>
        <w:tc>
          <w:tcPr>
            <w:tcW w:w="793"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架</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7</w:t>
            </w:r>
          </w:p>
        </w:tc>
        <w:tc>
          <w:tcPr>
            <w:tcW w:w="13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6"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7</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齿轮</w:t>
            </w:r>
          </w:p>
        </w:tc>
        <w:tc>
          <w:tcPr>
            <w:tcW w:w="793"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只</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8</w:t>
            </w:r>
          </w:p>
        </w:tc>
        <w:tc>
          <w:tcPr>
            <w:tcW w:w="13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6"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8</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轴承</w:t>
            </w:r>
          </w:p>
        </w:tc>
        <w:tc>
          <w:tcPr>
            <w:tcW w:w="793"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个</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15</w:t>
            </w:r>
          </w:p>
        </w:tc>
        <w:tc>
          <w:tcPr>
            <w:tcW w:w="13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6"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9</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密集架倾斜脱轨</w:t>
            </w:r>
          </w:p>
        </w:tc>
        <w:tc>
          <w:tcPr>
            <w:tcW w:w="793"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列</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7</w:t>
            </w:r>
          </w:p>
        </w:tc>
        <w:tc>
          <w:tcPr>
            <w:tcW w:w="13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6"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10</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传动摇盘</w:t>
            </w:r>
          </w:p>
        </w:tc>
        <w:tc>
          <w:tcPr>
            <w:tcW w:w="793"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套</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7</w:t>
            </w:r>
          </w:p>
        </w:tc>
        <w:tc>
          <w:tcPr>
            <w:tcW w:w="13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highlight w:val="none"/>
                <w:u w:val="none"/>
              </w:rPr>
            </w:pPr>
          </w:p>
        </w:tc>
      </w:tr>
    </w:tbl>
    <w:p>
      <w:pPr>
        <w:keepNext w:val="0"/>
        <w:keepLines w:val="0"/>
        <w:pageBreakBefore w:val="0"/>
        <w:widowControl w:val="0"/>
        <w:kinsoku/>
        <w:wordWrap/>
        <w:overflowPunct/>
        <w:topLinePunct w:val="0"/>
        <w:autoSpaceDE/>
        <w:autoSpaceDN/>
        <w:bidi w:val="0"/>
        <w:adjustRightInd/>
        <w:snapToGrid/>
        <w:spacing w:line="580" w:lineRule="exact"/>
        <w:ind w:firstLine="560" w:firstLineChars="200"/>
        <w:textAlignment w:val="auto"/>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lang w:eastAsia="zh-CN"/>
        </w:rPr>
        <w:t>三、</w:t>
      </w:r>
      <w:r>
        <w:rPr>
          <w:rFonts w:hint="eastAsia" w:ascii="黑体" w:hAnsi="黑体" w:eastAsia="黑体" w:cs="黑体"/>
          <w:b w:val="0"/>
          <w:bCs/>
          <w:color w:val="auto"/>
          <w:sz w:val="28"/>
          <w:szCs w:val="28"/>
          <w:highlight w:val="none"/>
        </w:rPr>
        <w:t>技术要求</w:t>
      </w:r>
    </w:p>
    <w:p>
      <w:pPr>
        <w:ind w:firstLine="560" w:firstLineChars="200"/>
        <w:rPr>
          <w:rFonts w:hint="eastAsia" w:ascii="宋体" w:cs="宋体"/>
          <w:b w:val="0"/>
          <w:bCs w:val="0"/>
          <w:color w:val="auto"/>
          <w:sz w:val="28"/>
          <w:szCs w:val="28"/>
          <w:highlight w:val="none"/>
          <w:lang w:val="en-US" w:eastAsia="zh-CN"/>
        </w:rPr>
      </w:pPr>
      <w:r>
        <w:rPr>
          <w:rFonts w:hint="eastAsia" w:ascii="宋体" w:cs="宋体"/>
          <w:b w:val="0"/>
          <w:bCs w:val="0"/>
          <w:color w:val="auto"/>
          <w:sz w:val="28"/>
          <w:szCs w:val="28"/>
          <w:highlight w:val="none"/>
          <w:lang w:val="en-US" w:eastAsia="zh-CN"/>
        </w:rPr>
        <w:t>1. 故障处理：</w:t>
      </w:r>
    </w:p>
    <w:p>
      <w:pPr>
        <w:ind w:firstLine="560" w:firstLineChars="200"/>
        <w:rPr>
          <w:rFonts w:hint="eastAsia" w:ascii="宋体" w:cs="宋体"/>
          <w:b w:val="0"/>
          <w:bCs w:val="0"/>
          <w:color w:val="auto"/>
          <w:sz w:val="28"/>
          <w:szCs w:val="28"/>
          <w:highlight w:val="none"/>
          <w:lang w:val="en-US" w:eastAsia="zh-CN"/>
        </w:rPr>
      </w:pPr>
      <w:r>
        <w:rPr>
          <w:rFonts w:hint="eastAsia" w:ascii="宋体" w:cs="宋体"/>
          <w:b w:val="0"/>
          <w:bCs w:val="0"/>
          <w:color w:val="auto"/>
          <w:sz w:val="28"/>
          <w:szCs w:val="28"/>
          <w:highlight w:val="none"/>
          <w:lang w:val="en-US" w:eastAsia="zh-CN"/>
        </w:rPr>
        <w:t>（1）投标方负责对出现故障的密集架设备进行拆装、维修和调试。</w:t>
      </w:r>
    </w:p>
    <w:p>
      <w:pPr>
        <w:pStyle w:val="2"/>
        <w:ind w:firstLine="560" w:firstLineChars="200"/>
        <w:rPr>
          <w:rFonts w:hint="eastAsia"/>
          <w:lang w:val="en-US" w:eastAsia="zh-CN"/>
        </w:rPr>
      </w:pPr>
      <w:r>
        <w:rPr>
          <w:rFonts w:hint="eastAsia" w:ascii="宋体" w:cs="宋体"/>
          <w:b w:val="0"/>
          <w:bCs w:val="0"/>
          <w:color w:val="auto"/>
          <w:sz w:val="28"/>
          <w:szCs w:val="28"/>
          <w:highlight w:val="none"/>
          <w:lang w:val="en-US" w:eastAsia="zh-CN"/>
        </w:rPr>
        <w:t>（2）质量要求、技术标准：符合国家技术标准的原厂合格配套产品。</w:t>
      </w:r>
    </w:p>
    <w:p>
      <w:pPr>
        <w:ind w:firstLine="640" w:firstLineChars="200"/>
        <w:rPr>
          <w:rFonts w:hint="eastAsia" w:ascii="宋体" w:cs="宋体"/>
          <w:b w:val="0"/>
          <w:bCs w:val="0"/>
          <w:color w:val="auto"/>
          <w:sz w:val="28"/>
          <w:szCs w:val="28"/>
          <w:highlight w:val="none"/>
          <w:lang w:val="en-US" w:eastAsia="zh-CN"/>
        </w:rPr>
      </w:pPr>
      <w:r>
        <w:rPr>
          <w:rFonts w:hint="eastAsia" w:ascii="宋体" w:hAnsi="宋体" w:cs="宋体"/>
          <w:sz w:val="32"/>
          <w:szCs w:val="36"/>
          <w:highlight w:val="none"/>
        </w:rPr>
        <w:t>★</w:t>
      </w:r>
      <w:r>
        <w:rPr>
          <w:rFonts w:hint="eastAsia" w:ascii="宋体" w:cs="宋体"/>
          <w:b w:val="0"/>
          <w:bCs w:val="0"/>
          <w:color w:val="auto"/>
          <w:sz w:val="28"/>
          <w:szCs w:val="28"/>
          <w:highlight w:val="none"/>
          <w:lang w:val="en-US" w:eastAsia="zh-CN"/>
        </w:rPr>
        <w:t>（3）</w:t>
      </w:r>
      <w:r>
        <w:rPr>
          <w:rFonts w:hint="eastAsia" w:ascii="宋体" w:cs="宋体"/>
          <w:b/>
          <w:bCs/>
          <w:color w:val="auto"/>
          <w:sz w:val="28"/>
          <w:szCs w:val="28"/>
          <w:highlight w:val="none"/>
          <w:lang w:val="en-US" w:eastAsia="zh-CN"/>
        </w:rPr>
        <w:t>维修密集架设备时投标方需负责需维修设备密集架上的档案搬运、原还，其中所涉及需要的人工费用由投标方负责</w:t>
      </w:r>
      <w:r>
        <w:rPr>
          <w:rFonts w:hint="eastAsia" w:ascii="宋体" w:cs="宋体"/>
          <w:b w:val="0"/>
          <w:bCs w:val="0"/>
          <w:color w:val="auto"/>
          <w:sz w:val="28"/>
          <w:szCs w:val="28"/>
          <w:highlight w:val="none"/>
          <w:lang w:val="en-US" w:eastAsia="zh-CN"/>
        </w:rPr>
        <w:t>。</w:t>
      </w:r>
    </w:p>
    <w:p>
      <w:pPr>
        <w:ind w:firstLine="560" w:firstLineChars="200"/>
        <w:rPr>
          <w:rFonts w:hint="eastAsia" w:ascii="宋体" w:cs="宋体"/>
          <w:b w:val="0"/>
          <w:bCs w:val="0"/>
          <w:color w:val="auto"/>
          <w:sz w:val="28"/>
          <w:szCs w:val="28"/>
          <w:highlight w:val="none"/>
          <w:lang w:val="en-US" w:eastAsia="zh-CN"/>
        </w:rPr>
      </w:pPr>
      <w:r>
        <w:rPr>
          <w:rFonts w:hint="eastAsia" w:ascii="宋体" w:cs="宋体"/>
          <w:b w:val="0"/>
          <w:bCs w:val="0"/>
          <w:color w:val="auto"/>
          <w:sz w:val="28"/>
          <w:szCs w:val="28"/>
          <w:highlight w:val="none"/>
          <w:lang w:val="en-US" w:eastAsia="zh-CN"/>
        </w:rPr>
        <w:t>2. 异常检查：</w:t>
      </w:r>
    </w:p>
    <w:p>
      <w:pPr>
        <w:ind w:firstLine="560" w:firstLineChars="200"/>
        <w:rPr>
          <w:rFonts w:hint="eastAsia" w:ascii="宋体" w:cs="宋体"/>
          <w:b w:val="0"/>
          <w:bCs w:val="0"/>
          <w:color w:val="auto"/>
          <w:sz w:val="28"/>
          <w:szCs w:val="28"/>
          <w:highlight w:val="none"/>
          <w:lang w:val="en-US" w:eastAsia="zh-CN"/>
        </w:rPr>
      </w:pPr>
      <w:r>
        <w:rPr>
          <w:rFonts w:hint="eastAsia" w:ascii="宋体" w:cs="宋体"/>
          <w:b w:val="0"/>
          <w:bCs w:val="0"/>
          <w:color w:val="auto"/>
          <w:sz w:val="28"/>
          <w:szCs w:val="28"/>
          <w:highlight w:val="none"/>
          <w:lang w:val="en-US" w:eastAsia="zh-CN"/>
        </w:rPr>
        <w:t>结构检查：查看密集架的整体结构，包括立柱、搁板、侧板、挂板等部件是否牢固，有无变形、松动、损坏等情况。检查各连接部位的螺丝、螺栓、螺母等紧固件是否齐全且紧固，如有松动应及时拧紧；焊接部位是否牢固，有无脱焊、裂缝等问题。</w:t>
      </w:r>
    </w:p>
    <w:p>
      <w:pPr>
        <w:ind w:firstLine="560" w:firstLineChars="200"/>
        <w:rPr>
          <w:rFonts w:hint="eastAsia" w:ascii="宋体" w:cs="宋体"/>
          <w:b w:val="0"/>
          <w:bCs w:val="0"/>
          <w:color w:val="auto"/>
          <w:sz w:val="28"/>
          <w:szCs w:val="28"/>
          <w:highlight w:val="none"/>
          <w:lang w:val="en-US" w:eastAsia="zh-CN"/>
        </w:rPr>
      </w:pPr>
      <w:r>
        <w:rPr>
          <w:rFonts w:hint="eastAsia" w:ascii="宋体" w:cs="宋体"/>
          <w:b w:val="0"/>
          <w:bCs w:val="0"/>
          <w:color w:val="auto"/>
          <w:sz w:val="28"/>
          <w:szCs w:val="28"/>
          <w:highlight w:val="none"/>
          <w:lang w:val="en-US" w:eastAsia="zh-CN"/>
        </w:rPr>
        <w:t>轨道检查：检查轨道是否平整、笔直，有无变形、磨损、凹陷等情况。轨道上应无杂物、灰尘、油污等，保证轨道的清洁和顺畅。同时，检查轨道的固定件是否牢固，如膨胀螺栓、地脚螺丝等，如有松动应及时加固。</w:t>
      </w:r>
    </w:p>
    <w:p>
      <w:pPr>
        <w:ind w:firstLine="560" w:firstLineChars="200"/>
        <w:rPr>
          <w:rFonts w:hint="eastAsia" w:ascii="宋体" w:cs="宋体"/>
          <w:b w:val="0"/>
          <w:bCs w:val="0"/>
          <w:color w:val="auto"/>
          <w:sz w:val="28"/>
          <w:szCs w:val="28"/>
          <w:highlight w:val="none"/>
          <w:lang w:val="en-US" w:eastAsia="zh-CN"/>
        </w:rPr>
      </w:pPr>
      <w:r>
        <w:rPr>
          <w:rFonts w:hint="eastAsia" w:ascii="宋体" w:cs="宋体"/>
          <w:b w:val="0"/>
          <w:bCs w:val="0"/>
          <w:color w:val="auto"/>
          <w:sz w:val="28"/>
          <w:szCs w:val="28"/>
          <w:highlight w:val="none"/>
          <w:lang w:val="en-US" w:eastAsia="zh-CN"/>
        </w:rPr>
        <w:t>传动部件检查：手动密集架要检查链轮、链条、轴承、摇手等传动部件是否运转灵活，有无卡滞、磨损、变形等情况。对于电动密集架，还要检查电机、控制器、传感器等电气部件是否正常工作，线路是否连接良好，有无短路、断路等故障。</w:t>
      </w:r>
    </w:p>
    <w:p>
      <w:pPr>
        <w:ind w:firstLine="560" w:firstLineChars="200"/>
        <w:rPr>
          <w:rFonts w:hint="eastAsia" w:ascii="宋体" w:cs="宋体"/>
          <w:b w:val="0"/>
          <w:bCs w:val="0"/>
          <w:color w:val="auto"/>
          <w:sz w:val="28"/>
          <w:szCs w:val="28"/>
          <w:highlight w:val="none"/>
          <w:lang w:val="en-US" w:eastAsia="zh-CN"/>
        </w:rPr>
      </w:pPr>
      <w:r>
        <w:rPr>
          <w:rFonts w:hint="eastAsia" w:ascii="宋体" w:cs="宋体"/>
          <w:b w:val="0"/>
          <w:bCs w:val="0"/>
          <w:color w:val="auto"/>
          <w:sz w:val="28"/>
          <w:szCs w:val="28"/>
          <w:highlight w:val="none"/>
          <w:lang w:val="en-US" w:eastAsia="zh-CN"/>
        </w:rPr>
        <w:t>制动装置检查：检查密集架的制动装置是否有效，如手刹、自锁柄等。当制动装置处于锁定状态时，密集架应无法移动；解锁后，密集架应能正常移动。</w:t>
      </w:r>
    </w:p>
    <w:p>
      <w:pPr>
        <w:ind w:firstLine="560" w:firstLineChars="200"/>
        <w:rPr>
          <w:rFonts w:hint="eastAsia" w:ascii="宋体" w:cs="宋体"/>
          <w:b w:val="0"/>
          <w:bCs w:val="0"/>
          <w:color w:val="auto"/>
          <w:sz w:val="28"/>
          <w:szCs w:val="28"/>
          <w:highlight w:val="none"/>
          <w:lang w:val="en-US" w:eastAsia="zh-CN"/>
        </w:rPr>
      </w:pPr>
      <w:r>
        <w:rPr>
          <w:rFonts w:hint="eastAsia" w:ascii="宋体" w:cs="宋体"/>
          <w:b w:val="0"/>
          <w:bCs w:val="0"/>
          <w:color w:val="auto"/>
          <w:sz w:val="28"/>
          <w:szCs w:val="28"/>
          <w:highlight w:val="none"/>
          <w:lang w:val="en-US" w:eastAsia="zh-CN"/>
        </w:rPr>
        <w:t>导轨润滑：在轨道上涂抹适量的润滑脂，使密集架在移动时更加平稳、顺畅。但要注意不要涂抹过多的润滑脂，以免吸附灰尘和杂物。</w:t>
      </w:r>
    </w:p>
    <w:p>
      <w:pPr>
        <w:ind w:firstLine="560" w:firstLineChars="200"/>
        <w:rPr>
          <w:rFonts w:hint="eastAsia" w:ascii="宋体"/>
          <w:color w:val="auto"/>
          <w:sz w:val="28"/>
          <w:szCs w:val="28"/>
          <w:highlight w:val="none"/>
        </w:rPr>
      </w:pPr>
      <w:r>
        <w:rPr>
          <w:rFonts w:hint="eastAsia" w:ascii="宋体"/>
          <w:color w:val="auto"/>
          <w:sz w:val="28"/>
          <w:szCs w:val="28"/>
          <w:highlight w:val="none"/>
          <w:lang w:eastAsia="zh-CN"/>
        </w:rPr>
        <w:t>货物</w:t>
      </w:r>
      <w:r>
        <w:rPr>
          <w:rFonts w:hint="eastAsia" w:ascii="宋体"/>
          <w:color w:val="auto"/>
          <w:sz w:val="28"/>
          <w:szCs w:val="28"/>
          <w:highlight w:val="none"/>
        </w:rPr>
        <w:t>到达</w:t>
      </w:r>
      <w:r>
        <w:rPr>
          <w:rFonts w:hint="eastAsia" w:ascii="宋体"/>
          <w:color w:val="auto"/>
          <w:sz w:val="28"/>
          <w:szCs w:val="28"/>
          <w:highlight w:val="none"/>
          <w:lang w:eastAsia="zh-CN"/>
        </w:rPr>
        <w:t>招标方</w:t>
      </w:r>
      <w:r>
        <w:rPr>
          <w:rFonts w:hint="eastAsia" w:ascii="宋体"/>
          <w:color w:val="auto"/>
          <w:sz w:val="28"/>
          <w:szCs w:val="28"/>
          <w:highlight w:val="none"/>
        </w:rPr>
        <w:t>指定的地点后，由</w:t>
      </w:r>
      <w:r>
        <w:rPr>
          <w:rFonts w:hint="eastAsia" w:ascii="宋体"/>
          <w:color w:val="auto"/>
          <w:sz w:val="28"/>
          <w:szCs w:val="28"/>
          <w:highlight w:val="none"/>
          <w:lang w:eastAsia="zh-CN"/>
        </w:rPr>
        <w:t>招标方</w:t>
      </w:r>
      <w:r>
        <w:rPr>
          <w:rFonts w:hint="eastAsia" w:ascii="宋体"/>
          <w:color w:val="auto"/>
          <w:sz w:val="28"/>
          <w:szCs w:val="28"/>
          <w:highlight w:val="none"/>
          <w:lang w:val="en-US" w:eastAsia="zh-CN"/>
        </w:rPr>
        <w:t>测试</w:t>
      </w:r>
      <w:r>
        <w:rPr>
          <w:rFonts w:hint="eastAsia" w:ascii="宋体"/>
          <w:color w:val="auto"/>
          <w:sz w:val="28"/>
          <w:szCs w:val="28"/>
          <w:highlight w:val="none"/>
        </w:rPr>
        <w:t>，发现不合格的，</w:t>
      </w:r>
      <w:r>
        <w:rPr>
          <w:rFonts w:hint="eastAsia" w:ascii="宋体"/>
          <w:color w:val="auto"/>
          <w:sz w:val="28"/>
          <w:szCs w:val="28"/>
          <w:highlight w:val="none"/>
          <w:lang w:eastAsia="zh-CN"/>
        </w:rPr>
        <w:t>投标方</w:t>
      </w:r>
      <w:r>
        <w:rPr>
          <w:rFonts w:hint="eastAsia" w:ascii="宋体"/>
          <w:color w:val="auto"/>
          <w:sz w:val="28"/>
          <w:szCs w:val="28"/>
          <w:highlight w:val="none"/>
        </w:rPr>
        <w:t>必须重新供货。</w:t>
      </w:r>
    </w:p>
    <w:p>
      <w:pPr>
        <w:ind w:left="0" w:firstLine="562" w:firstLineChars="200"/>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lang w:eastAsia="zh-CN"/>
        </w:rPr>
        <w:t>四、质量保证及售后服务</w:t>
      </w:r>
    </w:p>
    <w:p>
      <w:pPr>
        <w:ind w:left="0" w:firstLine="560" w:firstLineChars="200"/>
        <w:rPr>
          <w:rFonts w:hint="eastAsia" w:ascii="宋体"/>
          <w:b w:val="0"/>
          <w:bCs/>
          <w:color w:val="auto"/>
          <w:sz w:val="28"/>
          <w:szCs w:val="28"/>
          <w:highlight w:val="none"/>
          <w:lang w:val="en-US" w:eastAsia="zh-CN"/>
        </w:rPr>
      </w:pPr>
      <w:r>
        <w:rPr>
          <w:rFonts w:hint="eastAsia" w:ascii="宋体"/>
          <w:b w:val="0"/>
          <w:bCs/>
          <w:color w:val="auto"/>
          <w:sz w:val="28"/>
          <w:szCs w:val="28"/>
          <w:highlight w:val="none"/>
          <w:lang w:val="en-US" w:eastAsia="zh-CN"/>
        </w:rPr>
        <w:t>1.乙方应按规定的货物规格型号及技术指标向甲方提供。</w:t>
      </w:r>
    </w:p>
    <w:p>
      <w:pPr>
        <w:ind w:left="0" w:firstLine="560" w:firstLineChars="200"/>
        <w:rPr>
          <w:rFonts w:hint="default" w:ascii="宋体"/>
          <w:b w:val="0"/>
          <w:bCs/>
          <w:color w:val="auto"/>
          <w:sz w:val="28"/>
          <w:szCs w:val="28"/>
          <w:highlight w:val="none"/>
          <w:lang w:val="en-US" w:eastAsia="zh-CN"/>
        </w:rPr>
      </w:pPr>
      <w:r>
        <w:rPr>
          <w:rFonts w:hint="eastAsia" w:ascii="宋体"/>
          <w:b w:val="0"/>
          <w:bCs/>
          <w:color w:val="auto"/>
          <w:sz w:val="28"/>
          <w:szCs w:val="28"/>
          <w:highlight w:val="none"/>
          <w:lang w:val="en-US" w:eastAsia="zh-CN"/>
        </w:rPr>
        <w:t>2.在“三包”期内，乙方应对货物及服务出现的质量及安全问题负责处理解决并承担一切费用。</w:t>
      </w:r>
    </w:p>
    <w:p>
      <w:pPr>
        <w:ind w:left="0" w:firstLine="562" w:firstLineChars="200"/>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lang w:eastAsia="zh-CN"/>
        </w:rPr>
        <w:t>五、验收</w:t>
      </w:r>
      <w:r>
        <w:rPr>
          <w:rFonts w:hint="eastAsia" w:ascii="黑体" w:hAnsi="黑体" w:eastAsia="黑体" w:cs="黑体"/>
          <w:b/>
          <w:color w:val="auto"/>
          <w:sz w:val="28"/>
          <w:szCs w:val="28"/>
          <w:highlight w:val="none"/>
        </w:rPr>
        <w:t>地点</w:t>
      </w:r>
    </w:p>
    <w:p>
      <w:pPr>
        <w:ind w:left="0" w:firstLine="560" w:firstLineChars="200"/>
        <w:rPr>
          <w:rFonts w:hint="eastAsia" w:ascii="宋体"/>
          <w:color w:val="auto"/>
          <w:sz w:val="28"/>
          <w:szCs w:val="28"/>
          <w:highlight w:val="none"/>
        </w:rPr>
      </w:pPr>
      <w:r>
        <w:rPr>
          <w:rFonts w:hint="eastAsia" w:ascii="宋体"/>
          <w:color w:val="auto"/>
          <w:sz w:val="28"/>
          <w:szCs w:val="28"/>
          <w:highlight w:val="none"/>
          <w:lang w:eastAsia="zh-CN"/>
        </w:rPr>
        <w:t>验收</w:t>
      </w:r>
      <w:r>
        <w:rPr>
          <w:rFonts w:hint="eastAsia" w:ascii="宋体"/>
          <w:color w:val="auto"/>
          <w:sz w:val="28"/>
          <w:szCs w:val="28"/>
          <w:highlight w:val="none"/>
        </w:rPr>
        <w:t>地点：</w:t>
      </w:r>
    </w:p>
    <w:p>
      <w:pPr>
        <w:ind w:firstLine="560" w:firstLineChars="200"/>
        <w:rPr>
          <w:rFonts w:hint="eastAsia" w:ascii="宋体"/>
          <w:color w:val="auto"/>
          <w:sz w:val="28"/>
          <w:szCs w:val="28"/>
          <w:highlight w:val="none"/>
          <w:lang w:eastAsia="zh-CN"/>
        </w:rPr>
      </w:pPr>
      <w:r>
        <w:rPr>
          <w:rFonts w:hint="eastAsia" w:ascii="宋体"/>
          <w:color w:val="auto"/>
          <w:sz w:val="28"/>
          <w:szCs w:val="28"/>
          <w:highlight w:val="none"/>
        </w:rPr>
        <w:t>联系人：</w:t>
      </w:r>
    </w:p>
    <w:p>
      <w:pPr>
        <w:ind w:firstLine="560" w:firstLineChars="200"/>
        <w:rPr>
          <w:rFonts w:hint="eastAsia" w:ascii="宋体"/>
          <w:color w:val="auto"/>
          <w:sz w:val="28"/>
          <w:szCs w:val="28"/>
          <w:highlight w:val="none"/>
        </w:rPr>
      </w:pPr>
      <w:r>
        <w:rPr>
          <w:rFonts w:hint="eastAsia" w:ascii="宋体"/>
          <w:color w:val="auto"/>
          <w:sz w:val="28"/>
          <w:szCs w:val="28"/>
          <w:highlight w:val="none"/>
        </w:rPr>
        <w:t>联系方式：</w:t>
      </w:r>
    </w:p>
    <w:p>
      <w:pPr>
        <w:pStyle w:val="3"/>
        <w:numPr>
          <w:ilvl w:val="0"/>
          <w:numId w:val="0"/>
        </w:numPr>
        <w:spacing w:before="0" w:after="0" w:line="360" w:lineRule="auto"/>
        <w:ind w:leftChars="0"/>
        <w:rPr>
          <w:rFonts w:ascii="Times New Roman"/>
          <w:color w:val="auto"/>
          <w:sz w:val="28"/>
          <w:szCs w:val="28"/>
          <w:highlight w:val="none"/>
        </w:rPr>
      </w:pPr>
      <w:bookmarkStart w:id="0" w:name="_Toc5748"/>
      <w:bookmarkStart w:id="1" w:name="_Toc317801721"/>
      <w:bookmarkStart w:id="2" w:name="_Toc32767"/>
      <w:r>
        <w:rPr>
          <w:rFonts w:ascii="Times New Roman"/>
          <w:color w:val="auto"/>
          <w:sz w:val="28"/>
          <w:szCs w:val="28"/>
          <w:highlight w:val="none"/>
        </w:rPr>
        <w:t>附件  技术差异表</w:t>
      </w:r>
      <w:bookmarkEnd w:id="0"/>
      <w:bookmarkEnd w:id="1"/>
      <w:bookmarkEnd w:id="2"/>
    </w:p>
    <w:p>
      <w:pPr>
        <w:ind w:left="0" w:firstLine="560" w:firstLineChars="200"/>
        <w:rPr>
          <w:rFonts w:hint="eastAsia" w:ascii="宋体" w:eastAsia="宋体" w:cs="Times New Roman"/>
          <w:b w:val="0"/>
          <w:bCs/>
          <w:color w:val="auto"/>
          <w:sz w:val="28"/>
          <w:szCs w:val="28"/>
          <w:highlight w:val="none"/>
          <w:lang w:val="en-US" w:eastAsia="zh-CN"/>
        </w:rPr>
      </w:pPr>
      <w:r>
        <w:rPr>
          <w:rFonts w:hint="eastAsia" w:ascii="宋体" w:eastAsia="宋体" w:cs="Times New Roman"/>
          <w:b w:val="0"/>
          <w:bCs/>
          <w:color w:val="auto"/>
          <w:sz w:val="28"/>
          <w:szCs w:val="28"/>
          <w:highlight w:val="none"/>
          <w:lang w:val="en-US" w:eastAsia="zh-CN"/>
        </w:rPr>
        <w:t>投标方要将投标文件中与招标文件的差异、优于或劣于招标文件要求的条目，汇集成表。</w:t>
      </w:r>
    </w:p>
    <w:p>
      <w:pPr>
        <w:ind w:left="0" w:firstLine="560" w:firstLineChars="200"/>
        <w:rPr>
          <w:rFonts w:hint="eastAsia" w:ascii="宋体" w:eastAsia="宋体" w:cs="Times New Roman"/>
          <w:b/>
          <w:bCs w:val="0"/>
          <w:color w:val="auto"/>
          <w:sz w:val="28"/>
          <w:szCs w:val="28"/>
          <w:highlight w:val="none"/>
          <w:u w:val="single"/>
          <w:lang w:val="en-US" w:eastAsia="zh-CN"/>
        </w:rPr>
      </w:pPr>
      <w:bookmarkStart w:id="3" w:name="_Toc18364"/>
      <w:r>
        <w:rPr>
          <w:rFonts w:hint="eastAsia" w:ascii="宋体" w:eastAsia="宋体" w:cs="Times New Roman"/>
          <w:b w:val="0"/>
          <w:bCs/>
          <w:color w:val="auto"/>
          <w:sz w:val="28"/>
          <w:szCs w:val="28"/>
          <w:highlight w:val="none"/>
          <w:lang w:val="en-US" w:eastAsia="zh-CN"/>
        </w:rPr>
        <w:t>投标方：</w:t>
      </w:r>
      <w:r>
        <w:rPr>
          <w:rFonts w:hint="eastAsia" w:ascii="宋体" w:eastAsia="宋体" w:cs="Times New Roman"/>
          <w:b w:val="0"/>
          <w:bCs/>
          <w:color w:val="auto"/>
          <w:sz w:val="28"/>
          <w:szCs w:val="28"/>
          <w:highlight w:val="none"/>
          <w:u w:val="single"/>
          <w:lang w:val="en-US" w:eastAsia="zh-CN"/>
        </w:rPr>
        <w:t xml:space="preserve">              </w:t>
      </w:r>
      <w:r>
        <w:rPr>
          <w:rFonts w:hint="eastAsia" w:ascii="宋体" w:eastAsia="宋体" w:cs="Times New Roman"/>
          <w:b w:val="0"/>
          <w:bCs/>
          <w:color w:val="auto"/>
          <w:sz w:val="28"/>
          <w:szCs w:val="28"/>
          <w:highlight w:val="none"/>
          <w:lang w:val="en-US" w:eastAsia="zh-CN"/>
        </w:rPr>
        <w:t xml:space="preserve">  盖章：</w:t>
      </w:r>
      <w:bookmarkEnd w:id="3"/>
      <w:r>
        <w:rPr>
          <w:rFonts w:hint="eastAsia" w:ascii="宋体" w:eastAsia="宋体" w:cs="Times New Roman"/>
          <w:b/>
          <w:bCs w:val="0"/>
          <w:color w:val="auto"/>
          <w:sz w:val="28"/>
          <w:szCs w:val="28"/>
          <w:highlight w:val="none"/>
          <w:u w:val="single"/>
          <w:lang w:val="en-US" w:eastAsia="zh-CN"/>
        </w:rPr>
        <w:t xml:space="preserve">                </w:t>
      </w:r>
    </w:p>
    <w:p>
      <w:pPr>
        <w:widowControl/>
        <w:spacing w:line="360" w:lineRule="auto"/>
        <w:jc w:val="center"/>
        <w:outlineLvl w:val="0"/>
        <w:rPr>
          <w:color w:val="auto"/>
          <w:sz w:val="28"/>
          <w:szCs w:val="28"/>
          <w:highlight w:val="none"/>
        </w:rPr>
      </w:pPr>
      <w:bookmarkStart w:id="4" w:name="_Toc3864"/>
      <w:r>
        <w:rPr>
          <w:b/>
          <w:color w:val="auto"/>
          <w:sz w:val="28"/>
          <w:szCs w:val="28"/>
          <w:highlight w:val="none"/>
        </w:rPr>
        <w:t>技术差异表</w:t>
      </w:r>
      <w:bookmarkEnd w:id="4"/>
    </w:p>
    <w:tbl>
      <w:tblPr>
        <w:tblStyle w:val="8"/>
        <w:tblW w:w="9136" w:type="dxa"/>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12"/>
        <w:gridCol w:w="1157"/>
        <w:gridCol w:w="3238"/>
        <w:gridCol w:w="1040"/>
        <w:gridCol w:w="2889"/>
      </w:tblGrid>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8" w:hRule="exact"/>
          <w:jc w:val="center"/>
        </w:trPr>
        <w:tc>
          <w:tcPr>
            <w:tcW w:w="812" w:type="dxa"/>
            <w:vMerge w:val="restart"/>
            <w:vAlign w:val="center"/>
          </w:tcPr>
          <w:p>
            <w:pPr>
              <w:jc w:val="center"/>
              <w:rPr>
                <w:bCs/>
                <w:caps/>
                <w:color w:val="auto"/>
                <w:highlight w:val="none"/>
              </w:rPr>
            </w:pPr>
            <w:r>
              <w:rPr>
                <w:bCs/>
                <w:caps/>
                <w:color w:val="auto"/>
                <w:highlight w:val="none"/>
              </w:rPr>
              <w:t>序号</w:t>
            </w:r>
          </w:p>
        </w:tc>
        <w:tc>
          <w:tcPr>
            <w:tcW w:w="4395" w:type="dxa"/>
            <w:gridSpan w:val="2"/>
            <w:vAlign w:val="center"/>
          </w:tcPr>
          <w:p>
            <w:pPr>
              <w:jc w:val="center"/>
              <w:rPr>
                <w:bCs/>
                <w:caps/>
                <w:color w:val="auto"/>
                <w:highlight w:val="none"/>
              </w:rPr>
            </w:pPr>
            <w:r>
              <w:rPr>
                <w:bCs/>
                <w:caps/>
                <w:color w:val="auto"/>
                <w:highlight w:val="none"/>
              </w:rPr>
              <w:t>招标文件</w:t>
            </w:r>
          </w:p>
        </w:tc>
        <w:tc>
          <w:tcPr>
            <w:tcW w:w="3929" w:type="dxa"/>
            <w:gridSpan w:val="2"/>
            <w:vAlign w:val="center"/>
          </w:tcPr>
          <w:p>
            <w:pPr>
              <w:jc w:val="center"/>
              <w:rPr>
                <w:bCs/>
                <w:caps/>
                <w:color w:val="auto"/>
                <w:highlight w:val="none"/>
              </w:rPr>
            </w:pPr>
            <w:r>
              <w:rPr>
                <w:bCs/>
                <w:caps/>
                <w:color w:val="auto"/>
                <w:highlight w:val="none"/>
              </w:rPr>
              <w:t>投标文件</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8" w:hRule="exact"/>
          <w:jc w:val="center"/>
        </w:trPr>
        <w:tc>
          <w:tcPr>
            <w:tcW w:w="812" w:type="dxa"/>
            <w:vMerge w:val="continue"/>
            <w:vAlign w:val="center"/>
          </w:tcPr>
          <w:p>
            <w:pPr>
              <w:jc w:val="center"/>
              <w:rPr>
                <w:bCs/>
                <w:color w:val="auto"/>
                <w:highlight w:val="none"/>
              </w:rPr>
            </w:pPr>
          </w:p>
        </w:tc>
        <w:tc>
          <w:tcPr>
            <w:tcW w:w="1157" w:type="dxa"/>
            <w:vAlign w:val="center"/>
          </w:tcPr>
          <w:p>
            <w:pPr>
              <w:jc w:val="center"/>
              <w:rPr>
                <w:bCs/>
                <w:color w:val="auto"/>
                <w:highlight w:val="none"/>
              </w:rPr>
            </w:pPr>
            <w:r>
              <w:rPr>
                <w:bCs/>
                <w:color w:val="auto"/>
                <w:highlight w:val="none"/>
              </w:rPr>
              <w:t>条目</w:t>
            </w:r>
          </w:p>
        </w:tc>
        <w:tc>
          <w:tcPr>
            <w:tcW w:w="3238" w:type="dxa"/>
            <w:vAlign w:val="center"/>
          </w:tcPr>
          <w:p>
            <w:pPr>
              <w:jc w:val="center"/>
              <w:rPr>
                <w:bCs/>
                <w:color w:val="auto"/>
                <w:highlight w:val="none"/>
              </w:rPr>
            </w:pPr>
            <w:r>
              <w:rPr>
                <w:bCs/>
                <w:color w:val="auto"/>
                <w:highlight w:val="none"/>
              </w:rPr>
              <w:t>简要内容</w:t>
            </w:r>
          </w:p>
        </w:tc>
        <w:tc>
          <w:tcPr>
            <w:tcW w:w="1040" w:type="dxa"/>
            <w:vAlign w:val="center"/>
          </w:tcPr>
          <w:p>
            <w:pPr>
              <w:jc w:val="center"/>
              <w:rPr>
                <w:bCs/>
                <w:color w:val="auto"/>
                <w:highlight w:val="none"/>
              </w:rPr>
            </w:pPr>
            <w:r>
              <w:rPr>
                <w:bCs/>
                <w:color w:val="auto"/>
                <w:highlight w:val="none"/>
              </w:rPr>
              <w:t>条目</w:t>
            </w:r>
          </w:p>
        </w:tc>
        <w:tc>
          <w:tcPr>
            <w:tcW w:w="2889" w:type="dxa"/>
            <w:vAlign w:val="center"/>
          </w:tcPr>
          <w:p>
            <w:pPr>
              <w:jc w:val="center"/>
              <w:rPr>
                <w:bCs/>
                <w:color w:val="auto"/>
                <w:highlight w:val="none"/>
              </w:rPr>
            </w:pPr>
            <w:r>
              <w:rPr>
                <w:bCs/>
                <w:color w:val="auto"/>
                <w:highlight w:val="none"/>
              </w:rPr>
              <w:t>简要内容</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458" w:hRule="exact"/>
          <w:jc w:val="center"/>
        </w:trPr>
        <w:tc>
          <w:tcPr>
            <w:tcW w:w="812" w:type="dxa"/>
            <w:vAlign w:val="center"/>
          </w:tcPr>
          <w:p>
            <w:pPr>
              <w:jc w:val="center"/>
              <w:rPr>
                <w:color w:val="auto"/>
                <w:highlight w:val="none"/>
              </w:rPr>
            </w:pPr>
          </w:p>
        </w:tc>
        <w:tc>
          <w:tcPr>
            <w:tcW w:w="1157" w:type="dxa"/>
            <w:vAlign w:val="center"/>
          </w:tcPr>
          <w:p>
            <w:pPr>
              <w:jc w:val="center"/>
              <w:rPr>
                <w:color w:val="auto"/>
                <w:highlight w:val="none"/>
              </w:rPr>
            </w:pPr>
          </w:p>
        </w:tc>
        <w:tc>
          <w:tcPr>
            <w:tcW w:w="3238" w:type="dxa"/>
            <w:vAlign w:val="center"/>
          </w:tcPr>
          <w:p>
            <w:pPr>
              <w:jc w:val="center"/>
              <w:rPr>
                <w:color w:val="auto"/>
                <w:highlight w:val="none"/>
              </w:rPr>
            </w:pPr>
          </w:p>
        </w:tc>
        <w:tc>
          <w:tcPr>
            <w:tcW w:w="1040" w:type="dxa"/>
            <w:vAlign w:val="center"/>
          </w:tcPr>
          <w:p>
            <w:pPr>
              <w:jc w:val="center"/>
              <w:rPr>
                <w:color w:val="auto"/>
                <w:highlight w:val="none"/>
              </w:rPr>
            </w:pPr>
          </w:p>
        </w:tc>
        <w:tc>
          <w:tcPr>
            <w:tcW w:w="2889" w:type="dxa"/>
            <w:vAlign w:val="center"/>
          </w:tcPr>
          <w:p>
            <w:pPr>
              <w:jc w:val="center"/>
              <w:rPr>
                <w:color w:val="auto"/>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458" w:hRule="exact"/>
          <w:jc w:val="center"/>
        </w:trPr>
        <w:tc>
          <w:tcPr>
            <w:tcW w:w="812" w:type="dxa"/>
            <w:vAlign w:val="top"/>
          </w:tcPr>
          <w:p>
            <w:pPr>
              <w:rPr>
                <w:color w:val="auto"/>
                <w:highlight w:val="none"/>
              </w:rPr>
            </w:pPr>
          </w:p>
        </w:tc>
        <w:tc>
          <w:tcPr>
            <w:tcW w:w="1157" w:type="dxa"/>
            <w:vAlign w:val="top"/>
          </w:tcPr>
          <w:p>
            <w:pPr>
              <w:rPr>
                <w:color w:val="auto"/>
                <w:highlight w:val="none"/>
              </w:rPr>
            </w:pPr>
          </w:p>
        </w:tc>
        <w:tc>
          <w:tcPr>
            <w:tcW w:w="3238" w:type="dxa"/>
            <w:vAlign w:val="top"/>
          </w:tcPr>
          <w:p>
            <w:pPr>
              <w:rPr>
                <w:color w:val="auto"/>
                <w:highlight w:val="none"/>
              </w:rPr>
            </w:pPr>
          </w:p>
        </w:tc>
        <w:tc>
          <w:tcPr>
            <w:tcW w:w="1040" w:type="dxa"/>
            <w:vAlign w:val="top"/>
          </w:tcPr>
          <w:p>
            <w:pPr>
              <w:rPr>
                <w:color w:val="auto"/>
                <w:highlight w:val="none"/>
              </w:rPr>
            </w:pPr>
          </w:p>
        </w:tc>
        <w:tc>
          <w:tcPr>
            <w:tcW w:w="2889" w:type="dxa"/>
            <w:vAlign w:val="top"/>
          </w:tcPr>
          <w:p>
            <w:pPr>
              <w:rPr>
                <w:color w:val="auto"/>
                <w:highlight w:val="none"/>
              </w:rPr>
            </w:pPr>
          </w:p>
        </w:tc>
      </w:tr>
    </w:tbl>
    <w:p>
      <w:pPr>
        <w:spacing w:line="480" w:lineRule="auto"/>
        <w:ind w:firstLine="480" w:firstLineChars="200"/>
        <w:rPr>
          <w:color w:val="auto"/>
          <w:sz w:val="24"/>
          <w:highlight w:val="none"/>
        </w:rPr>
      </w:pPr>
      <w:r>
        <w:rPr>
          <w:rFonts w:hAnsi="宋体"/>
          <w:color w:val="auto"/>
          <w:sz w:val="24"/>
          <w:highlight w:val="none"/>
        </w:rPr>
        <w:t>说明：</w:t>
      </w:r>
      <w:r>
        <w:rPr>
          <w:color w:val="auto"/>
          <w:sz w:val="24"/>
          <w:szCs w:val="21"/>
          <w:highlight w:val="none"/>
          <w:lang w:val="zh-CN"/>
        </w:rPr>
        <w:t>技术差异表中未提及部分均响应招标文件要求。</w:t>
      </w:r>
    </w:p>
    <w:p>
      <w:pPr>
        <w:autoSpaceDE w:val="0"/>
        <w:autoSpaceDN w:val="0"/>
        <w:adjustRightInd w:val="0"/>
        <w:spacing w:line="360" w:lineRule="auto"/>
        <w:ind w:firstLine="480" w:firstLineChars="200"/>
        <w:rPr>
          <w:color w:val="auto"/>
          <w:sz w:val="24"/>
          <w:highlight w:val="none"/>
        </w:rPr>
      </w:pPr>
      <w:r>
        <w:rPr>
          <w:color w:val="auto"/>
          <w:sz w:val="24"/>
          <w:highlight w:val="none"/>
        </w:rPr>
        <w:t xml:space="preserve">                                       </w:t>
      </w:r>
      <w:r>
        <w:rPr>
          <w:color w:val="auto"/>
          <w:sz w:val="24"/>
          <w:szCs w:val="21"/>
          <w:highlight w:val="none"/>
          <w:lang w:val="zh-CN"/>
        </w:rPr>
        <w:t>投标授权人签字：</w:t>
      </w:r>
    </w:p>
    <w:p>
      <w:pPr>
        <w:autoSpaceDE w:val="0"/>
        <w:autoSpaceDN w:val="0"/>
        <w:adjustRightInd w:val="0"/>
        <w:spacing w:line="360" w:lineRule="auto"/>
        <w:ind w:firstLine="480" w:firstLineChars="200"/>
        <w:rPr>
          <w:rFonts w:hint="default"/>
          <w:highlight w:val="none"/>
          <w:lang w:val="en-US" w:eastAsia="zh-CN"/>
        </w:rPr>
      </w:pPr>
      <w:r>
        <w:rPr>
          <w:color w:val="auto"/>
          <w:sz w:val="24"/>
          <w:highlight w:val="none"/>
        </w:rPr>
        <w:t xml:space="preserve">                                                 </w:t>
      </w:r>
      <w:r>
        <w:rPr>
          <w:color w:val="auto"/>
          <w:sz w:val="24"/>
          <w:szCs w:val="21"/>
          <w:highlight w:val="none"/>
          <w:lang w:val="zh-CN"/>
        </w:rPr>
        <w:t>时间：</w:t>
      </w:r>
    </w:p>
    <w:sectPr>
      <w:footerReference r:id="rId3" w:type="default"/>
      <w:pgSz w:w="11906" w:h="16838"/>
      <w:pgMar w:top="1417" w:right="1417" w:bottom="1417" w:left="141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8"/>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57785" cy="139700"/>
              <wp:effectExtent l="0" t="0" r="0" b="0"/>
              <wp:wrapNone/>
              <wp:docPr id="1" name="文本框 1"/>
              <wp:cNvGraphicFramePr/>
              <a:graphic xmlns:a="http://schemas.openxmlformats.org/drawingml/2006/main">
                <a:graphicData uri="http://schemas.microsoft.com/office/word/2010/wordprocessingShape">
                  <wps:wsp>
                    <wps:cNvSpPr/>
                    <wps:spPr>
                      <a:xfrm>
                        <a:off x="0" y="0"/>
                        <a:ext cx="57950" cy="139674"/>
                      </a:xfrm>
                      <a:prstGeom prst="rect">
                        <a:avLst/>
                      </a:prstGeom>
                      <a:noFill/>
                      <a:ln w="9525" cap="flat" cmpd="sng">
                        <a:noFill/>
                        <a:prstDash val="solid"/>
                        <a:miter/>
                      </a:ln>
                    </wps:spPr>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wps:txbx>
                    <wps:bodyPr vert="horz" wrap="none" lIns="0" tIns="0" rIns="0" bIns="0" anchor="t" anchorCtr="0" upright="1">
                      <a:spAutoFit/>
                    </wps:bodyPr>
                  </wps:wsp>
                </a:graphicData>
              </a:graphic>
            </wp:anchor>
          </w:drawing>
        </mc:Choice>
        <mc:Fallback>
          <w:pict>
            <v:rect id="文本框 1" o:spid="_x0000_s1026" o:spt="1" style="position:absolute;left:0pt;margin-top:0pt;height:11pt;width:4.55pt;mso-position-horizontal:center;mso-position-horizontal-relative:margin;mso-wrap-style:none;z-index:251659264;mso-width-relative:page;mso-height-relative:page;" filled="f" stroked="f" coordsize="21600,21600" o:gfxdata="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UuvP1tAAAAACAQAADwAAAAAAAAABACAAAAAiAAAAZHJzL2Rvd25yZXYu&#10;eG1sUEsBAhQAFAAAAAgAh07iQEqR3JQDAgAA8wMAAA4AAAAAAAAAAQAgAAAAHwEAAGRycy9lMm9E&#10;b2MueG1sUEsFBgAAAAAGAAYAWQEAAJQFAAAAAA==&#10;">
              <v:fill on="f" focussize="0,0"/>
              <v:stroke on="f" joinstyle="miter"/>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decimal"/>
      <w:pStyle w:val="3"/>
      <w:suff w:val="space"/>
      <w:lvlText w:val="%1."/>
      <w:lvlJc w:val="left"/>
      <w:pPr>
        <w:tabs>
          <w:tab w:val="left" w:pos="0"/>
        </w:tabs>
        <w:ind w:left="0" w:firstLine="0"/>
      </w:pPr>
      <w:rPr>
        <w:rFonts w:hint="eastAsia"/>
      </w:rPr>
    </w:lvl>
    <w:lvl w:ilvl="1" w:tentative="0">
      <w:start w:val="1"/>
      <w:numFmt w:val="decimal"/>
      <w:pStyle w:val="4"/>
      <w:isLgl/>
      <w:suff w:val="space"/>
      <w:lvlText w:val="%1.%2"/>
      <w:lvlJc w:val="left"/>
      <w:pPr>
        <w:tabs>
          <w:tab w:val="left" w:pos="0"/>
        </w:tabs>
        <w:ind w:left="142" w:firstLine="0"/>
      </w:pPr>
      <w:rPr>
        <w:rFonts w:hint="eastAsia"/>
        <w:b w:val="0"/>
      </w:rPr>
    </w:lvl>
    <w:lvl w:ilvl="2" w:tentative="0">
      <w:start w:val="1"/>
      <w:numFmt w:val="decimal"/>
      <w:isLgl/>
      <w:suff w:val="space"/>
      <w:lvlText w:val="%1.%2.%3"/>
      <w:lvlJc w:val="left"/>
      <w:pPr>
        <w:tabs>
          <w:tab w:val="left" w:pos="0"/>
        </w:tabs>
        <w:ind w:left="0" w:firstLine="0"/>
      </w:pPr>
      <w:rPr>
        <w:rFonts w:hint="eastAsia"/>
        <w:b w:val="0"/>
        <w:i w:val="0"/>
      </w:rPr>
    </w:lvl>
    <w:lvl w:ilvl="3" w:tentative="0">
      <w:start w:val="1"/>
      <w:numFmt w:val="decimal"/>
      <w:isLgl/>
      <w:suff w:val="space"/>
      <w:lvlText w:val="%1.%2.%3.%4"/>
      <w:lvlJc w:val="left"/>
      <w:pPr>
        <w:tabs>
          <w:tab w:val="left" w:pos="0"/>
        </w:tabs>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0"/>
        </w:tabs>
        <w:ind w:left="3260" w:hanging="1134"/>
      </w:pPr>
      <w:rPr>
        <w:rFonts w:hint="eastAsia"/>
      </w:rPr>
    </w:lvl>
    <w:lvl w:ilvl="6" w:tentative="0">
      <w:start w:val="1"/>
      <w:numFmt w:val="decimal"/>
      <w:lvlText w:val="%1.%2.%3.%4.%5.%6.%7"/>
      <w:lvlJc w:val="left"/>
      <w:pPr>
        <w:tabs>
          <w:tab w:val="left" w:pos="0"/>
        </w:tabs>
        <w:ind w:left="3827" w:hanging="1276"/>
      </w:pPr>
      <w:rPr>
        <w:rFonts w:hint="eastAsia"/>
      </w:rPr>
    </w:lvl>
    <w:lvl w:ilvl="7" w:tentative="0">
      <w:start w:val="1"/>
      <w:numFmt w:val="decimal"/>
      <w:lvlText w:val="%1.%2.%3.%4.%5.%6.%7.%8"/>
      <w:lvlJc w:val="left"/>
      <w:pPr>
        <w:tabs>
          <w:tab w:val="left" w:pos="0"/>
        </w:tabs>
        <w:ind w:left="4394" w:hanging="1418"/>
      </w:pPr>
      <w:rPr>
        <w:rFonts w:hint="eastAsia"/>
      </w:rPr>
    </w:lvl>
    <w:lvl w:ilvl="8" w:tentative="0">
      <w:start w:val="1"/>
      <w:numFmt w:val="decimal"/>
      <w:lvlText w:val="%1.%2.%3.%4.%5.%6.%7.%8.%9"/>
      <w:lvlJc w:val="left"/>
      <w:pPr>
        <w:tabs>
          <w:tab w:val="left" w:pos="0"/>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doNotWrapTextWithPunct/>
    <w:doNotUseEastAsianBreakRules/>
    <w:growAutofit/>
    <w:useFELayout/>
    <w:doNotUseIndentAsNumberingTabStop/>
    <w:useAltKinsokuLineBreakRules/>
    <w:splitPgBreakAndParaMark/>
    <w:compatSetting w:name="compatibilityMode" w:uri="http://schemas.microsoft.com/office/word" w:val="14"/>
  </w:compat>
  <w:docVars>
    <w:docVar w:name="commondata" w:val="eyJoZGlkIjoiODNhODdlMzhlODAzYzYyZGY0ZjhmMDc3ODIxZTJiMzQifQ=="/>
  </w:docVars>
  <w:rsids>
    <w:rsidRoot w:val="00000000"/>
    <w:rsid w:val="07EE7637"/>
    <w:rsid w:val="0E3A20DF"/>
    <w:rsid w:val="0F8301CB"/>
    <w:rsid w:val="108E10B6"/>
    <w:rsid w:val="123011FE"/>
    <w:rsid w:val="16997C3A"/>
    <w:rsid w:val="1B282A57"/>
    <w:rsid w:val="24821515"/>
    <w:rsid w:val="269250A4"/>
    <w:rsid w:val="270D558A"/>
    <w:rsid w:val="284460F9"/>
    <w:rsid w:val="2B1C3DFF"/>
    <w:rsid w:val="2C2C5A61"/>
    <w:rsid w:val="2C7E7BED"/>
    <w:rsid w:val="2DEB16CF"/>
    <w:rsid w:val="31BE1BF1"/>
    <w:rsid w:val="35AA404E"/>
    <w:rsid w:val="35EA40C2"/>
    <w:rsid w:val="373508A1"/>
    <w:rsid w:val="38250EBC"/>
    <w:rsid w:val="3A8E7DD8"/>
    <w:rsid w:val="3B597F28"/>
    <w:rsid w:val="3F0E54A7"/>
    <w:rsid w:val="46C929B2"/>
    <w:rsid w:val="48BF787C"/>
    <w:rsid w:val="4BE37C31"/>
    <w:rsid w:val="4F5247AF"/>
    <w:rsid w:val="50924906"/>
    <w:rsid w:val="52656C79"/>
    <w:rsid w:val="560D23B9"/>
    <w:rsid w:val="5A3A5093"/>
    <w:rsid w:val="5D6A02E6"/>
    <w:rsid w:val="609A0504"/>
    <w:rsid w:val="60EC092C"/>
    <w:rsid w:val="62782999"/>
    <w:rsid w:val="62FD0BCE"/>
    <w:rsid w:val="63241469"/>
    <w:rsid w:val="6752663C"/>
    <w:rsid w:val="68793274"/>
    <w:rsid w:val="6922138F"/>
    <w:rsid w:val="6DFC64FD"/>
    <w:rsid w:val="704D1C99"/>
    <w:rsid w:val="7161513A"/>
    <w:rsid w:val="747522A9"/>
    <w:rsid w:val="754435C9"/>
    <w:rsid w:val="77573EB3"/>
    <w:rsid w:val="7B2C55A1"/>
    <w:rsid w:val="7DB30868"/>
    <w:rsid w:val="7FF674D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qFormat/>
    <w:uiPriority w:val="0"/>
    <w:pPr>
      <w:keepNext/>
      <w:keepLines/>
      <w:widowControl w:val="0"/>
      <w:numPr>
        <w:ilvl w:val="0"/>
        <w:numId w:val="1"/>
      </w:numPr>
      <w:outlineLvl w:val="0"/>
    </w:pPr>
    <w:rPr>
      <w:b/>
      <w:bCs/>
      <w:kern w:val="44"/>
      <w:szCs w:val="44"/>
    </w:rPr>
  </w:style>
  <w:style w:type="paragraph" w:styleId="4">
    <w:name w:val="heading 2"/>
    <w:basedOn w:val="1"/>
    <w:next w:val="1"/>
    <w:qFormat/>
    <w:uiPriority w:val="0"/>
    <w:pPr>
      <w:keepNext/>
      <w:keepLines/>
      <w:widowControl w:val="0"/>
      <w:numPr>
        <w:ilvl w:val="1"/>
        <w:numId w:val="1"/>
      </w:numPr>
      <w:outlineLvl w:val="1"/>
    </w:pPr>
    <w:rPr>
      <w:b/>
      <w:bCs/>
      <w:szCs w:val="32"/>
    </w:rPr>
  </w:style>
  <w:style w:type="character" w:default="1" w:styleId="10">
    <w:name w:val="Default Paragraph Font"/>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99"/>
    <w:pPr>
      <w:spacing w:after="120"/>
    </w:pPr>
  </w:style>
  <w:style w:type="paragraph" w:styleId="5">
    <w:name w:val="Plain Text"/>
    <w:basedOn w:val="1"/>
    <w:qFormat/>
    <w:uiPriority w:val="0"/>
    <w:rPr>
      <w:rFonts w:ascii="宋体"/>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0"/>
        <w:left w:val="none" w:color="auto" w:sz="0" w:space="0"/>
        <w:bottom w:val="none" w:color="auto" w:sz="0" w:space="0"/>
        <w:right w:val="none" w:color="auto" w:sz="0" w:space="0"/>
      </w:pBdr>
      <w:tabs>
        <w:tab w:val="center" w:pos="4153"/>
        <w:tab w:val="right" w:pos="8306"/>
      </w:tabs>
      <w:snapToGrid w:val="0"/>
    </w:pPr>
    <w:rPr>
      <w:rFonts w:ascii="Times New Roman" w:hAnsi="Times New Roman"/>
      <w:sz w:val="18"/>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page number"/>
    <w:basedOn w:val="10"/>
    <w:qFormat/>
    <w:uiPriority w:val="0"/>
  </w:style>
  <w:style w:type="paragraph" w:customStyle="1" w:styleId="12">
    <w:name w:val="样式 标题 2"/>
    <w:basedOn w:val="4"/>
    <w:qFormat/>
    <w:uiPriority w:val="0"/>
    <w:rPr>
      <w:b w:val="0"/>
      <w:bCs w:val="0"/>
    </w:rPr>
  </w:style>
  <w:style w:type="character" w:customStyle="1" w:styleId="13">
    <w:name w:val="dynatree-expander"/>
    <w:basedOn w:val="10"/>
    <w:qFormat/>
    <w:uiPriority w:val="0"/>
  </w:style>
  <w:style w:type="character" w:customStyle="1" w:styleId="14">
    <w:name w:val="dynatree-expander1"/>
    <w:basedOn w:val="10"/>
    <w:qFormat/>
    <w:uiPriority w:val="0"/>
  </w:style>
  <w:style w:type="character" w:customStyle="1" w:styleId="15">
    <w:name w:val="dynatree-expander2"/>
    <w:basedOn w:val="10"/>
    <w:qFormat/>
    <w:uiPriority w:val="0"/>
  </w:style>
  <w:style w:type="character" w:customStyle="1" w:styleId="16">
    <w:name w:val="dynatree-expander3"/>
    <w:basedOn w:val="10"/>
    <w:qFormat/>
    <w:uiPriority w:val="0"/>
  </w:style>
  <w:style w:type="character" w:customStyle="1" w:styleId="17">
    <w:name w:val="dynatree-expander4"/>
    <w:basedOn w:val="10"/>
    <w:qFormat/>
    <w:uiPriority w:val="0"/>
  </w:style>
  <w:style w:type="character" w:customStyle="1" w:styleId="18">
    <w:name w:val="dynatree-expander5"/>
    <w:basedOn w:val="10"/>
    <w:qFormat/>
    <w:uiPriority w:val="0"/>
  </w:style>
  <w:style w:type="character" w:customStyle="1" w:styleId="19">
    <w:name w:val="dynatree-expander6"/>
    <w:basedOn w:val="10"/>
    <w:qFormat/>
    <w:uiPriority w:val="0"/>
  </w:style>
  <w:style w:type="character" w:customStyle="1" w:styleId="20">
    <w:name w:val="dynatree-expander7"/>
    <w:basedOn w:val="10"/>
    <w:qFormat/>
    <w:uiPriority w:val="0"/>
  </w:style>
  <w:style w:type="character" w:customStyle="1" w:styleId="21">
    <w:name w:val="dynatree-expander8"/>
    <w:basedOn w:val="10"/>
    <w:qFormat/>
    <w:uiPriority w:val="0"/>
    <w:rPr>
      <w:shd w:val="clear" w:color="auto" w:fill="FFFFFF"/>
    </w:rPr>
  </w:style>
  <w:style w:type="character" w:customStyle="1" w:styleId="22">
    <w:name w:val="dynatree-expander9"/>
    <w:basedOn w:val="10"/>
    <w:qFormat/>
    <w:uiPriority w:val="0"/>
  </w:style>
  <w:style w:type="character" w:customStyle="1" w:styleId="23">
    <w:name w:val="dynatree-expander10"/>
    <w:basedOn w:val="10"/>
    <w:qFormat/>
    <w:uiPriority w:val="0"/>
  </w:style>
  <w:style w:type="character" w:customStyle="1" w:styleId="24">
    <w:name w:val="dynatree-expander11"/>
    <w:basedOn w:val="10"/>
    <w:qFormat/>
    <w:uiPriority w:val="0"/>
  </w:style>
  <w:style w:type="character" w:customStyle="1" w:styleId="25">
    <w:name w:val="dynatree-expander12"/>
    <w:basedOn w:val="10"/>
    <w:qFormat/>
    <w:uiPriority w:val="0"/>
  </w:style>
  <w:style w:type="character" w:customStyle="1" w:styleId="26">
    <w:name w:val="dynatree-expander13"/>
    <w:basedOn w:val="10"/>
    <w:qFormat/>
    <w:uiPriority w:val="0"/>
  </w:style>
  <w:style w:type="character" w:customStyle="1" w:styleId="27">
    <w:name w:val="ai-node"/>
    <w:basedOn w:val="10"/>
    <w:qFormat/>
    <w:uiPriority w:val="0"/>
    <w:rPr>
      <w:sz w:val="18"/>
      <w:szCs w:val="18"/>
      <w:bdr w:val="single" w:color="DDDDDD" w:sz="6" w:space="0"/>
      <w:shd w:val="clear" w:color="auto" w:fill="F8F8F8"/>
    </w:rPr>
  </w:style>
  <w:style w:type="character" w:customStyle="1" w:styleId="28">
    <w:name w:val="page-first"/>
    <w:basedOn w:val="10"/>
    <w:qFormat/>
    <w:uiPriority w:val="0"/>
    <w:rPr>
      <w:color w:val="CCCCCC"/>
      <w:sz w:val="21"/>
      <w:szCs w:val="21"/>
      <w:bdr w:val="single" w:color="DDDDDD" w:sz="6" w:space="0"/>
    </w:rPr>
  </w:style>
  <w:style w:type="character" w:customStyle="1" w:styleId="29">
    <w:name w:val="dynatree-checkbox"/>
    <w:basedOn w:val="10"/>
    <w:qFormat/>
    <w:uiPriority w:val="0"/>
  </w:style>
  <w:style w:type="character" w:customStyle="1" w:styleId="30">
    <w:name w:val="pagesize-selected"/>
    <w:basedOn w:val="10"/>
    <w:qFormat/>
    <w:uiPriority w:val="0"/>
    <w:rPr>
      <w:color w:val="888888"/>
      <w:shd w:val="clear" w:color="auto" w:fill="F2F2F2"/>
    </w:rPr>
  </w:style>
  <w:style w:type="character" w:customStyle="1" w:styleId="31">
    <w:name w:val="pagesize-selected1"/>
    <w:basedOn w:val="10"/>
    <w:qFormat/>
    <w:uiPriority w:val="0"/>
    <w:rPr>
      <w:color w:val="666666"/>
    </w:rPr>
  </w:style>
  <w:style w:type="character" w:customStyle="1" w:styleId="32">
    <w:name w:val="pagesize-selected2"/>
    <w:basedOn w:val="10"/>
    <w:qFormat/>
    <w:uiPriority w:val="0"/>
    <w:rPr>
      <w:color w:val="666666"/>
    </w:rPr>
  </w:style>
  <w:style w:type="character" w:customStyle="1" w:styleId="33">
    <w:name w:val="dynatree-radio"/>
    <w:basedOn w:val="10"/>
    <w:qFormat/>
    <w:uiPriority w:val="0"/>
  </w:style>
  <w:style w:type="character" w:customStyle="1" w:styleId="34">
    <w:name w:val="dynatree-radio1"/>
    <w:basedOn w:val="10"/>
    <w:qFormat/>
    <w:uiPriority w:val="0"/>
  </w:style>
  <w:style w:type="character" w:customStyle="1" w:styleId="35">
    <w:name w:val="page-next"/>
    <w:basedOn w:val="10"/>
    <w:qFormat/>
    <w:uiPriority w:val="0"/>
    <w:rPr>
      <w:color w:val="CCCCCC"/>
      <w:sz w:val="21"/>
      <w:szCs w:val="21"/>
    </w:rPr>
  </w:style>
  <w:style w:type="character" w:customStyle="1" w:styleId="36">
    <w:name w:val="page-next1"/>
    <w:basedOn w:val="10"/>
    <w:qFormat/>
    <w:uiPriority w:val="0"/>
    <w:rPr>
      <w:color w:val="CCCCCC"/>
    </w:rPr>
  </w:style>
  <w:style w:type="character" w:customStyle="1" w:styleId="37">
    <w:name w:val="page-next2"/>
    <w:basedOn w:val="10"/>
    <w:qFormat/>
    <w:uiPriority w:val="0"/>
    <w:rPr>
      <w:color w:val="CCCCCC"/>
    </w:rPr>
  </w:style>
  <w:style w:type="character" w:customStyle="1" w:styleId="38">
    <w:name w:val="dynatree-radio-disable"/>
    <w:basedOn w:val="10"/>
    <w:qFormat/>
    <w:uiPriority w:val="0"/>
  </w:style>
  <w:style w:type="character" w:customStyle="1" w:styleId="39">
    <w:name w:val="page-prev-dis"/>
    <w:basedOn w:val="10"/>
    <w:qFormat/>
    <w:uiPriority w:val="0"/>
    <w:rPr>
      <w:color w:val="CCCCCC"/>
      <w:sz w:val="21"/>
      <w:szCs w:val="21"/>
      <w:bdr w:val="single" w:color="DDDDDD" w:sz="6" w:space="0"/>
      <w:shd w:val="clear" w:color="auto" w:fill="FFFFFF"/>
    </w:rPr>
  </w:style>
  <w:style w:type="character" w:customStyle="1" w:styleId="40">
    <w:name w:val="page-prev-dis1"/>
    <w:basedOn w:val="10"/>
    <w:qFormat/>
    <w:uiPriority w:val="0"/>
    <w:rPr>
      <w:color w:val="CCCCCC"/>
      <w:sz w:val="21"/>
      <w:szCs w:val="21"/>
      <w:bdr w:val="single" w:color="DDDDDD" w:sz="6" w:space="0"/>
      <w:shd w:val="clear" w:color="auto" w:fill="FFFFFF"/>
    </w:rPr>
  </w:style>
  <w:style w:type="character" w:customStyle="1" w:styleId="41">
    <w:name w:val="edui-unclickable"/>
    <w:basedOn w:val="10"/>
    <w:qFormat/>
    <w:uiPriority w:val="0"/>
    <w:rPr>
      <w:color w:val="808080"/>
    </w:rPr>
  </w:style>
  <w:style w:type="character" w:customStyle="1" w:styleId="42">
    <w:name w:val="edui-clickable"/>
    <w:basedOn w:val="10"/>
    <w:qFormat/>
    <w:uiPriority w:val="0"/>
    <w:rPr>
      <w:color w:val="0000FF"/>
      <w:u w:val="single"/>
    </w:rPr>
  </w:style>
  <w:style w:type="character" w:customStyle="1" w:styleId="43">
    <w:name w:val="page-end"/>
    <w:basedOn w:val="10"/>
    <w:qFormat/>
    <w:uiPriority w:val="0"/>
    <w:rPr>
      <w:color w:val="CCCCCC"/>
      <w:sz w:val="21"/>
      <w:szCs w:val="21"/>
    </w:rPr>
  </w:style>
  <w:style w:type="character" w:customStyle="1" w:styleId="44">
    <w:name w:val="widget"/>
    <w:basedOn w:val="10"/>
    <w:qFormat/>
    <w:uiPriority w:val="0"/>
    <w:rPr>
      <w:bdr w:val="single" w:color="CCCCCC" w:sz="6" w:space="0"/>
    </w:rPr>
  </w:style>
  <w:style w:type="character" w:customStyle="1" w:styleId="45">
    <w:name w:val="small"/>
    <w:basedOn w:val="10"/>
    <w:qFormat/>
    <w:uiPriority w:val="0"/>
  </w:style>
  <w:style w:type="character" w:customStyle="1" w:styleId="46">
    <w:name w:val="page-selected"/>
    <w:basedOn w:val="10"/>
    <w:qFormat/>
    <w:uiPriority w:val="0"/>
    <w:rPr>
      <w:color w:val="888888"/>
      <w:shd w:val="clear" w:color="auto" w:fill="F2F2F2"/>
    </w:rPr>
  </w:style>
  <w:style w:type="character" w:customStyle="1" w:styleId="47">
    <w:name w:val="page-selected1"/>
    <w:basedOn w:val="10"/>
    <w:qFormat/>
    <w:uiPriority w:val="0"/>
    <w:rPr>
      <w:color w:val="888888"/>
    </w:rPr>
  </w:style>
  <w:style w:type="character" w:customStyle="1" w:styleId="48">
    <w:name w:val="page-selected2"/>
    <w:basedOn w:val="10"/>
    <w:qFormat/>
    <w:uiPriority w:val="0"/>
    <w:rPr>
      <w:color w:val="888888"/>
    </w:rPr>
  </w:style>
  <w:style w:type="character" w:customStyle="1" w:styleId="49">
    <w:name w:val="dynatree-icon"/>
    <w:basedOn w:val="10"/>
    <w:qFormat/>
    <w:uiPriority w:val="0"/>
  </w:style>
  <w:style w:type="character" w:customStyle="1" w:styleId="50">
    <w:name w:val="dynatree-icon1"/>
    <w:basedOn w:val="10"/>
    <w:qFormat/>
    <w:uiPriority w:val="0"/>
  </w:style>
  <w:style w:type="character" w:customStyle="1" w:styleId="51">
    <w:name w:val="dynatree-icon2"/>
    <w:basedOn w:val="10"/>
    <w:qFormat/>
    <w:uiPriority w:val="0"/>
  </w:style>
  <w:style w:type="character" w:customStyle="1" w:styleId="52">
    <w:name w:val="dynatree-icon3"/>
    <w:basedOn w:val="10"/>
    <w:qFormat/>
    <w:uiPriority w:val="0"/>
  </w:style>
  <w:style w:type="character" w:customStyle="1" w:styleId="53">
    <w:name w:val="dynatree-icon4"/>
    <w:basedOn w:val="10"/>
    <w:qFormat/>
    <w:uiPriority w:val="0"/>
  </w:style>
  <w:style w:type="character" w:customStyle="1" w:styleId="54">
    <w:name w:val="dynatree-icon5"/>
    <w:basedOn w:val="10"/>
    <w:qFormat/>
    <w:uiPriority w:val="0"/>
  </w:style>
  <w:style w:type="character" w:customStyle="1" w:styleId="55">
    <w:name w:val="dynatree-checkbox-disable"/>
    <w:basedOn w:val="10"/>
    <w:qFormat/>
    <w:uiPriority w:val="0"/>
  </w:style>
  <w:style w:type="character" w:customStyle="1" w:styleId="56">
    <w:name w:val="dynatree-connector"/>
    <w:basedOn w:val="10"/>
    <w:qFormat/>
    <w:uiPriority w:val="0"/>
  </w:style>
  <w:style w:type="character" w:customStyle="1" w:styleId="57">
    <w:name w:val="dynatree-connector1"/>
    <w:basedOn w:val="10"/>
    <w:qFormat/>
    <w:uiPriority w:val="0"/>
  </w:style>
  <w:style w:type="character" w:customStyle="1" w:styleId="58">
    <w:name w:val="dynatree-drag-helper-img"/>
    <w:basedOn w:val="10"/>
    <w:qFormat/>
    <w:uiPriority w:val="0"/>
  </w:style>
  <w:style w:type="character" w:customStyle="1" w:styleId="59">
    <w:name w:val="dynatree-drag-helper-img1"/>
    <w:basedOn w:val="10"/>
    <w:qFormat/>
    <w:uiPriority w:val="0"/>
  </w:style>
  <w:style w:type="character" w:customStyle="1" w:styleId="60">
    <w:name w:val="dynatree-drag-helper-img2"/>
    <w:basedOn w:val="10"/>
    <w:qFormat/>
    <w:uiPriority w:val="0"/>
  </w:style>
  <w:style w:type="character" w:customStyle="1" w:styleId="61">
    <w:name w:val="dynatree-drag-helper-img3"/>
    <w:basedOn w:val="10"/>
    <w:qFormat/>
    <w:uiPriority w:val="0"/>
  </w:style>
  <w:style w:type="character" w:customStyle="1" w:styleId="62">
    <w:name w:val="dynatree-empty"/>
    <w:basedOn w:val="10"/>
    <w:qFormat/>
    <w:uiPriority w:val="0"/>
  </w:style>
  <w:style w:type="character" w:customStyle="1" w:styleId="63">
    <w:name w:val="dynatree-empty1"/>
    <w:basedOn w:val="10"/>
    <w:qFormat/>
    <w:uiPriority w:val="0"/>
  </w:style>
  <w:style w:type="character" w:customStyle="1" w:styleId="64">
    <w:name w:val="dynatree-vline"/>
    <w:basedOn w:val="10"/>
    <w:qFormat/>
    <w:uiPriority w:val="0"/>
  </w:style>
  <w:style w:type="character" w:customStyle="1" w:styleId="65">
    <w:name w:val="dynatree-vline1"/>
    <w:basedOn w:val="10"/>
    <w:qFormat/>
    <w:uiPriority w:val="0"/>
  </w:style>
  <w:style w:type="character" w:customStyle="1" w:styleId="66">
    <w:name w:val="dynatree-node"/>
    <w:basedOn w:val="10"/>
    <w:qFormat/>
    <w:uiPriority w:val="0"/>
  </w:style>
  <w:style w:type="character" w:customStyle="1" w:styleId="67">
    <w:name w:val="dynatree-drag-source"/>
    <w:basedOn w:val="10"/>
    <w:qFormat/>
    <w:uiPriority w:val="0"/>
    <w:rPr>
      <w:shd w:val="clear" w:color="auto" w:fill="E0E0E0"/>
    </w:rPr>
  </w:style>
  <w:style w:type="character" w:customStyle="1" w:styleId="68">
    <w:name w:val="edit-tip"/>
    <w:basedOn w:val="10"/>
    <w:qFormat/>
    <w:uiPriority w:val="0"/>
    <w:rPr>
      <w:color w:val="747474"/>
      <w:sz w:val="18"/>
      <w:szCs w:val="18"/>
    </w:rPr>
  </w:style>
  <w:style w:type="character" w:customStyle="1" w:styleId="69">
    <w:name w:val="edit-tip1"/>
    <w:basedOn w:val="10"/>
    <w:qFormat/>
    <w:uiPriority w:val="0"/>
    <w:rPr>
      <w:color w:val="747474"/>
      <w:sz w:val="18"/>
      <w:szCs w:val="18"/>
    </w:rPr>
  </w:style>
  <w:style w:type="character" w:customStyle="1" w:styleId="70">
    <w:name w:val="edit-tip2"/>
    <w:basedOn w:val="10"/>
    <w:qFormat/>
    <w:uiPriority w:val="0"/>
    <w:rPr>
      <w:color w:val="747474"/>
      <w:sz w:val="18"/>
      <w:szCs w:val="18"/>
    </w:rPr>
  </w:style>
  <w:style w:type="character" w:customStyle="1" w:styleId="71">
    <w:name w:val="edit-tip3"/>
    <w:basedOn w:val="10"/>
    <w:qFormat/>
    <w:uiPriority w:val="0"/>
    <w:rPr>
      <w:color w:val="747474"/>
      <w:sz w:val="18"/>
      <w:szCs w:val="18"/>
    </w:rPr>
  </w:style>
  <w:style w:type="character" w:customStyle="1" w:styleId="72">
    <w:name w:val="right-aline"/>
    <w:basedOn w:val="10"/>
    <w:qFormat/>
    <w:uiPriority w:val="0"/>
    <w:rPr>
      <w:color w:val="333333"/>
      <w:sz w:val="18"/>
      <w:szCs w:val="18"/>
    </w:rPr>
  </w:style>
  <w:style w:type="character" w:customStyle="1" w:styleId="73">
    <w:name w:val="right-aline1"/>
    <w:basedOn w:val="10"/>
    <w:qFormat/>
    <w:uiPriority w:val="0"/>
    <w:rPr>
      <w:color w:val="333333"/>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Normal.eit</Template>
  <Pages>4</Pages>
  <Words>846</Words>
  <Characters>895</Characters>
  <Lines>136</Lines>
  <Paragraphs>89</Paragraphs>
  <TotalTime>40</TotalTime>
  <ScaleCrop>false</ScaleCrop>
  <LinksUpToDate>false</LinksUpToDate>
  <CharactersWithSpaces>952</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2014-11-25T01:30:00Z</dcterms:created>
  <dcterms:modified xsi:type="dcterms:W3CDTF">2025-11-12T02:41:25Z</dcterms:modified>
  <dc:title>环嗪酮介绍</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47848D88DC824E23A78A3D55045BD755</vt:lpwstr>
  </property>
</Properties>
</file>