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right="-92" w:rightChars="-44"/>
        <w:jc w:val="center"/>
        <w:rPr>
          <w:rFonts w:hint="eastAsia" w:ascii="黑体" w:hAnsi="黑体" w:eastAsia="黑体" w:cs="黑体"/>
          <w:b/>
          <w:bCs/>
          <w:sz w:val="52"/>
          <w:szCs w:val="52"/>
        </w:rPr>
      </w:pPr>
      <w:bookmarkStart w:id="0" w:name="_Toc131133981"/>
      <w:bookmarkStart w:id="1" w:name="_Toc114028927"/>
      <w:bookmarkStart w:id="2" w:name="_Toc183578143"/>
      <w:bookmarkStart w:id="3" w:name="_Toc131134327"/>
      <w:bookmarkStart w:id="4" w:name="_Toc131134226"/>
      <w:bookmarkStart w:id="5" w:name="_Toc131168595"/>
      <w:bookmarkStart w:id="169" w:name="_GoBack"/>
      <w:bookmarkEnd w:id="169"/>
      <w:r>
        <w:rPr>
          <w:rFonts w:hint="eastAsia" w:ascii="黑体" w:hAnsi="黑体" w:eastAsia="黑体" w:cs="黑体"/>
          <w:b/>
          <w:bCs/>
          <w:sz w:val="52"/>
          <w:szCs w:val="52"/>
          <w:lang w:eastAsia="zh-CN"/>
        </w:rPr>
        <w:t>2025年“天信”终端主机音</w:t>
      </w:r>
      <w:r>
        <w:rPr>
          <w:rFonts w:hint="eastAsia" w:ascii="黑体" w:hAnsi="黑体" w:eastAsia="黑体" w:cs="黑体"/>
          <w:b/>
          <w:bCs/>
          <w:sz w:val="52"/>
          <w:szCs w:val="52"/>
        </w:rPr>
        <w:t>频改造</w:t>
      </w:r>
    </w:p>
    <w:p>
      <w:pPr>
        <w:ind w:right="-92" w:rightChars="-44"/>
        <w:jc w:val="center"/>
        <w:rPr>
          <w:rFonts w:ascii="黑体" w:hAnsi="黑体" w:eastAsia="黑体" w:cs="黑体"/>
          <w:b/>
          <w:bCs/>
          <w:sz w:val="52"/>
          <w:szCs w:val="52"/>
        </w:rPr>
      </w:pPr>
      <w:r>
        <w:rPr>
          <w:rFonts w:hint="eastAsia" w:ascii="黑体" w:hAnsi="黑体" w:eastAsia="黑体" w:cs="黑体"/>
          <w:b/>
          <w:bCs/>
          <w:sz w:val="52"/>
          <w:szCs w:val="52"/>
        </w:rPr>
        <w:t>技术规范书</w:t>
      </w:r>
    </w:p>
    <w:p/>
    <w:p/>
    <w:p>
      <w:pPr>
        <w:pStyle w:val="2"/>
        <w:ind w:firstLine="480"/>
      </w:pPr>
    </w:p>
    <w:p>
      <w:pPr>
        <w:spacing w:before="624" w:beforeLines="200" w:line="0" w:lineRule="atLeast"/>
        <w:ind w:firstLine="2168" w:firstLineChars="600"/>
        <w:rPr>
          <w:rFonts w:ascii="黑体" w:hAnsi="黑体" w:eastAsia="黑体" w:cs="黑体"/>
          <w:b/>
          <w:sz w:val="36"/>
        </w:rPr>
      </w:pPr>
    </w:p>
    <w:p>
      <w:pPr>
        <w:spacing w:before="624" w:beforeLines="200" w:line="0" w:lineRule="atLeast"/>
        <w:ind w:firstLine="2168" w:firstLineChars="600"/>
        <w:rPr>
          <w:rFonts w:ascii="黑体" w:hAnsi="黑体" w:eastAsia="黑体" w:cs="黑体"/>
          <w:b/>
          <w:sz w:val="36"/>
        </w:rPr>
      </w:pPr>
    </w:p>
    <w:p>
      <w:pPr>
        <w:spacing w:before="624" w:beforeLines="200" w:line="0" w:lineRule="atLeast"/>
        <w:ind w:firstLine="1260" w:firstLineChars="600"/>
        <w:rPr>
          <w:rFonts w:ascii="黑体" w:hAnsi="黑体" w:eastAsia="黑体" w:cs="黑体"/>
        </w:rPr>
      </w:pPr>
    </w:p>
    <w:p>
      <w:pPr>
        <w:pStyle w:val="2"/>
      </w:pPr>
    </w:p>
    <w:p>
      <w:pPr>
        <w:spacing w:before="624" w:beforeLines="200" w:line="0" w:lineRule="atLeast"/>
        <w:jc w:val="center"/>
        <w:rPr>
          <w:rFonts w:ascii="黑体" w:hAnsi="黑体" w:eastAsia="黑体" w:cs="黑体"/>
          <w:b/>
          <w:sz w:val="36"/>
        </w:rPr>
      </w:pPr>
      <w:r>
        <w:rPr>
          <w:rFonts w:hint="eastAsia" w:ascii="黑体" w:hAnsi="黑体" w:eastAsia="黑体" w:cs="黑体"/>
          <w:b/>
          <w:sz w:val="36"/>
        </w:rPr>
        <w:t>南方电网数字电网集团信息通信科技有限公司</w:t>
      </w:r>
    </w:p>
    <w:p>
      <w:pPr>
        <w:spacing w:line="360" w:lineRule="auto"/>
        <w:jc w:val="center"/>
        <w:rPr>
          <w:rFonts w:ascii="仿宋" w:hAnsi="仿宋" w:eastAsia="仿宋" w:cs="仿宋"/>
          <w:b/>
          <w:sz w:val="28"/>
          <w:szCs w:val="28"/>
        </w:rPr>
      </w:pPr>
      <w:r>
        <w:rPr>
          <w:rFonts w:hint="eastAsia" w:ascii="黑体" w:hAnsi="黑体" w:eastAsia="黑体" w:cs="黑体"/>
          <w:b/>
          <w:sz w:val="36"/>
        </w:rPr>
        <w:t>2025年1</w:t>
      </w:r>
      <w:r>
        <w:rPr>
          <w:rFonts w:hint="eastAsia" w:ascii="黑体" w:hAnsi="黑体" w:eastAsia="黑体" w:cs="黑体"/>
          <w:b/>
          <w:sz w:val="36"/>
          <w:lang w:val="en-US" w:eastAsia="zh-CN"/>
        </w:rPr>
        <w:t>1</w:t>
      </w:r>
      <w:r>
        <w:rPr>
          <w:rFonts w:hint="eastAsia" w:ascii="黑体" w:hAnsi="黑体" w:eastAsia="黑体" w:cs="黑体"/>
          <w:b/>
          <w:sz w:val="36"/>
        </w:rPr>
        <w:t>月</w:t>
      </w:r>
      <w:bookmarkEnd w:id="0"/>
      <w:bookmarkEnd w:id="1"/>
      <w:bookmarkEnd w:id="2"/>
      <w:bookmarkEnd w:id="3"/>
      <w:bookmarkEnd w:id="4"/>
      <w:bookmarkEnd w:id="5"/>
    </w:p>
    <w:p>
      <w:pPr>
        <w:rPr>
          <w:rFonts w:ascii="仿宋" w:hAnsi="仿宋" w:eastAsia="仿宋" w:cs="仿宋"/>
          <w:b/>
          <w:sz w:val="28"/>
          <w:szCs w:val="28"/>
        </w:rPr>
      </w:pPr>
      <w:r>
        <w:rPr>
          <w:rFonts w:hint="eastAsia" w:ascii="仿宋" w:hAnsi="仿宋" w:eastAsia="仿宋" w:cs="仿宋"/>
          <w:b/>
          <w:sz w:val="28"/>
          <w:szCs w:val="28"/>
        </w:rPr>
        <w:br w:type="page"/>
      </w:r>
    </w:p>
    <w:p>
      <w:pPr>
        <w:pStyle w:val="2"/>
        <w:spacing w:after="0"/>
        <w:ind w:firstLine="562"/>
        <w:jc w:val="center"/>
        <w:rPr>
          <w:rFonts w:ascii="仿宋" w:hAnsi="仿宋" w:eastAsia="仿宋" w:cs="仿宋"/>
          <w:b/>
          <w:sz w:val="28"/>
          <w:szCs w:val="28"/>
        </w:rPr>
      </w:pPr>
      <w:r>
        <w:rPr>
          <w:rFonts w:hint="eastAsia" w:ascii="仿宋" w:hAnsi="仿宋" w:eastAsia="仿宋" w:cs="仿宋"/>
          <w:b/>
          <w:sz w:val="28"/>
          <w:szCs w:val="28"/>
        </w:rPr>
        <w:t>目录</w:t>
      </w:r>
    </w:p>
    <w:p>
      <w:pPr>
        <w:pStyle w:val="25"/>
        <w:tabs>
          <w:tab w:val="right" w:leader="dot" w:pos="8306"/>
        </w:tabs>
      </w:pPr>
      <w:r>
        <w:rPr>
          <w:rFonts w:hint="eastAsia" w:ascii="仿宋" w:hAnsi="仿宋" w:eastAsia="仿宋" w:cs="仿宋"/>
          <w:b/>
          <w:bCs/>
          <w:caps/>
          <w:sz w:val="28"/>
          <w:szCs w:val="28"/>
        </w:rPr>
        <w:fldChar w:fldCharType="begin"/>
      </w:r>
      <w:r>
        <w:rPr>
          <w:rFonts w:hint="eastAsia" w:ascii="仿宋" w:hAnsi="仿宋" w:eastAsia="仿宋" w:cs="仿宋"/>
          <w:b/>
          <w:bCs/>
          <w:caps/>
          <w:sz w:val="28"/>
          <w:szCs w:val="28"/>
        </w:rPr>
        <w:instrText xml:space="preserve"> TOC \o "1-3" \h \z \u </w:instrText>
      </w:r>
      <w:r>
        <w:rPr>
          <w:rFonts w:hint="eastAsia" w:ascii="仿宋" w:hAnsi="仿宋" w:eastAsia="仿宋" w:cs="仿宋"/>
          <w:b/>
          <w:bCs/>
          <w:caps/>
          <w:sz w:val="28"/>
          <w:szCs w:val="28"/>
        </w:rPr>
        <w:fldChar w:fldCharType="separate"/>
      </w:r>
      <w:r>
        <w:rPr>
          <w:rFonts w:hint="eastAsia" w:ascii="仿宋" w:hAnsi="仿宋" w:eastAsia="仿宋" w:cs="仿宋"/>
          <w:bCs/>
          <w:caps/>
          <w:szCs w:val="28"/>
        </w:rPr>
        <w:fldChar w:fldCharType="begin"/>
      </w:r>
      <w:r>
        <w:rPr>
          <w:rFonts w:hint="eastAsia" w:ascii="仿宋" w:hAnsi="仿宋" w:eastAsia="仿宋" w:cs="仿宋"/>
          <w:bCs/>
          <w:caps/>
          <w:szCs w:val="28"/>
        </w:rPr>
        <w:instrText xml:space="preserve"> HYPERLINK \l _Toc14559 </w:instrText>
      </w:r>
      <w:r>
        <w:rPr>
          <w:rFonts w:hint="eastAsia" w:ascii="仿宋" w:hAnsi="仿宋" w:eastAsia="仿宋" w:cs="仿宋"/>
          <w:bCs/>
          <w:caps/>
          <w:szCs w:val="28"/>
        </w:rPr>
        <w:fldChar w:fldCharType="separate"/>
      </w:r>
      <w:r>
        <w:rPr>
          <w:rFonts w:hint="default" w:ascii="Times New Roman" w:hAnsi="Times New Roman" w:eastAsia="宋体" w:cs="仿宋"/>
          <w:i w:val="0"/>
          <w:spacing w:val="-12"/>
          <w:szCs w:val="44"/>
        </w:rPr>
        <w:t xml:space="preserve">1. </w:t>
      </w:r>
      <w:r>
        <w:rPr>
          <w:rFonts w:hint="eastAsia" w:ascii="仿宋" w:hAnsi="仿宋" w:eastAsia="仿宋" w:cs="仿宋"/>
        </w:rPr>
        <w:t>总则</w:t>
      </w:r>
      <w:r>
        <w:tab/>
      </w:r>
      <w:r>
        <w:fldChar w:fldCharType="begin"/>
      </w:r>
      <w:r>
        <w:instrText xml:space="preserve"> PAGEREF _Toc14559 \h </w:instrText>
      </w:r>
      <w:r>
        <w:fldChar w:fldCharType="separate"/>
      </w:r>
      <w:r>
        <w:t>3</w:t>
      </w:r>
      <w:r>
        <w:fldChar w:fldCharType="end"/>
      </w:r>
      <w:r>
        <w:rPr>
          <w:rFonts w:hint="eastAsia" w:ascii="仿宋" w:hAnsi="仿宋" w:eastAsia="仿宋" w:cs="仿宋"/>
          <w:bCs/>
          <w:caps/>
          <w:szCs w:val="28"/>
        </w:rPr>
        <w:fldChar w:fldCharType="end"/>
      </w:r>
    </w:p>
    <w:p>
      <w:pPr>
        <w:pStyle w:val="27"/>
        <w:tabs>
          <w:tab w:val="right" w:leader="dot" w:pos="8306"/>
        </w:tabs>
      </w:pPr>
      <w:r>
        <w:rPr>
          <w:rFonts w:hint="eastAsia" w:ascii="仿宋" w:hAnsi="仿宋" w:eastAsia="仿宋" w:cs="仿宋"/>
          <w:bCs w:val="0"/>
          <w:caps w:val="0"/>
          <w:szCs w:val="28"/>
        </w:rPr>
        <w:fldChar w:fldCharType="begin"/>
      </w:r>
      <w:r>
        <w:rPr>
          <w:rFonts w:hint="eastAsia" w:ascii="仿宋" w:hAnsi="仿宋" w:eastAsia="仿宋" w:cs="仿宋"/>
          <w:bCs w:val="0"/>
          <w:caps w:val="0"/>
          <w:szCs w:val="28"/>
        </w:rPr>
        <w:instrText xml:space="preserve"> HYPERLINK \l _Toc12876 </w:instrText>
      </w:r>
      <w:r>
        <w:rPr>
          <w:rFonts w:hint="eastAsia" w:ascii="仿宋" w:hAnsi="仿宋" w:eastAsia="仿宋" w:cs="仿宋"/>
          <w:bCs w:val="0"/>
          <w:caps w:val="0"/>
          <w:szCs w:val="28"/>
        </w:rPr>
        <w:fldChar w:fldCharType="separate"/>
      </w:r>
      <w:r>
        <w:rPr>
          <w:rFonts w:hint="default" w:ascii="Times New Roman" w:hAnsi="Times New Roman" w:eastAsia="宋体" w:cs="仿宋"/>
          <w:szCs w:val="24"/>
        </w:rPr>
        <w:t xml:space="preserve">1.1. </w:t>
      </w:r>
      <w:r>
        <w:rPr>
          <w:rFonts w:hint="eastAsia" w:ascii="仿宋" w:hAnsi="仿宋" w:eastAsia="仿宋" w:cs="仿宋"/>
        </w:rPr>
        <w:t>概述</w:t>
      </w:r>
      <w:r>
        <w:tab/>
      </w:r>
      <w:r>
        <w:fldChar w:fldCharType="begin"/>
      </w:r>
      <w:r>
        <w:instrText xml:space="preserve"> PAGEREF _Toc12876 \h </w:instrText>
      </w:r>
      <w:r>
        <w:fldChar w:fldCharType="separate"/>
      </w:r>
      <w:r>
        <w:t>3</w:t>
      </w:r>
      <w:r>
        <w:fldChar w:fldCharType="end"/>
      </w:r>
      <w:r>
        <w:rPr>
          <w:rFonts w:hint="eastAsia" w:ascii="仿宋" w:hAnsi="仿宋" w:eastAsia="仿宋" w:cs="仿宋"/>
          <w:bCs w:val="0"/>
          <w:caps w:val="0"/>
          <w:szCs w:val="28"/>
        </w:rPr>
        <w:fldChar w:fldCharType="end"/>
      </w:r>
    </w:p>
    <w:p>
      <w:pPr>
        <w:pStyle w:val="27"/>
        <w:tabs>
          <w:tab w:val="right" w:leader="dot" w:pos="8306"/>
        </w:tabs>
      </w:pPr>
      <w:r>
        <w:rPr>
          <w:rFonts w:hint="eastAsia" w:ascii="仿宋" w:hAnsi="仿宋" w:eastAsia="仿宋" w:cs="仿宋"/>
          <w:bCs w:val="0"/>
          <w:caps w:val="0"/>
          <w:szCs w:val="28"/>
        </w:rPr>
        <w:fldChar w:fldCharType="begin"/>
      </w:r>
      <w:r>
        <w:rPr>
          <w:rFonts w:hint="eastAsia" w:ascii="仿宋" w:hAnsi="仿宋" w:eastAsia="仿宋" w:cs="仿宋"/>
          <w:bCs w:val="0"/>
          <w:caps w:val="0"/>
          <w:szCs w:val="28"/>
        </w:rPr>
        <w:instrText xml:space="preserve"> HYPERLINK \l _Toc23097 </w:instrText>
      </w:r>
      <w:r>
        <w:rPr>
          <w:rFonts w:hint="eastAsia" w:ascii="仿宋" w:hAnsi="仿宋" w:eastAsia="仿宋" w:cs="仿宋"/>
          <w:bCs w:val="0"/>
          <w:caps w:val="0"/>
          <w:szCs w:val="28"/>
        </w:rPr>
        <w:fldChar w:fldCharType="separate"/>
      </w:r>
      <w:r>
        <w:rPr>
          <w:rFonts w:hint="default" w:ascii="Times New Roman" w:hAnsi="Times New Roman" w:eastAsia="宋体"/>
          <w:szCs w:val="24"/>
        </w:rPr>
        <w:t xml:space="preserve">1.2. </w:t>
      </w:r>
      <w:r>
        <w:rPr>
          <w:rFonts w:hint="eastAsia" w:eastAsia="仿宋"/>
        </w:rPr>
        <w:t>对投标技术文件的要求</w:t>
      </w:r>
      <w:r>
        <w:tab/>
      </w:r>
      <w:r>
        <w:fldChar w:fldCharType="begin"/>
      </w:r>
      <w:r>
        <w:instrText xml:space="preserve"> PAGEREF _Toc23097 \h </w:instrText>
      </w:r>
      <w:r>
        <w:fldChar w:fldCharType="separate"/>
      </w:r>
      <w:r>
        <w:t>3</w:t>
      </w:r>
      <w:r>
        <w:fldChar w:fldCharType="end"/>
      </w:r>
      <w:r>
        <w:rPr>
          <w:rFonts w:hint="eastAsia" w:ascii="仿宋" w:hAnsi="仿宋" w:eastAsia="仿宋" w:cs="仿宋"/>
          <w:bCs w:val="0"/>
          <w:caps w:val="0"/>
          <w:szCs w:val="28"/>
        </w:rPr>
        <w:fldChar w:fldCharType="end"/>
      </w:r>
    </w:p>
    <w:p>
      <w:pPr>
        <w:pStyle w:val="27"/>
        <w:tabs>
          <w:tab w:val="right" w:leader="dot" w:pos="8306"/>
        </w:tabs>
      </w:pPr>
      <w:r>
        <w:rPr>
          <w:rFonts w:hint="eastAsia" w:ascii="仿宋" w:hAnsi="仿宋" w:eastAsia="仿宋" w:cs="仿宋"/>
          <w:bCs w:val="0"/>
          <w:caps w:val="0"/>
          <w:szCs w:val="28"/>
        </w:rPr>
        <w:fldChar w:fldCharType="begin"/>
      </w:r>
      <w:r>
        <w:rPr>
          <w:rFonts w:hint="eastAsia" w:ascii="仿宋" w:hAnsi="仿宋" w:eastAsia="仿宋" w:cs="仿宋"/>
          <w:bCs w:val="0"/>
          <w:caps w:val="0"/>
          <w:szCs w:val="28"/>
        </w:rPr>
        <w:instrText xml:space="preserve"> HYPERLINK \l _Toc11458 </w:instrText>
      </w:r>
      <w:r>
        <w:rPr>
          <w:rFonts w:hint="eastAsia" w:ascii="仿宋" w:hAnsi="仿宋" w:eastAsia="仿宋" w:cs="仿宋"/>
          <w:bCs w:val="0"/>
          <w:caps w:val="0"/>
          <w:szCs w:val="28"/>
        </w:rPr>
        <w:fldChar w:fldCharType="separate"/>
      </w:r>
      <w:r>
        <w:rPr>
          <w:rFonts w:hint="default" w:ascii="Times New Roman" w:hAnsi="Times New Roman" w:eastAsia="宋体"/>
          <w:szCs w:val="24"/>
        </w:rPr>
        <w:t xml:space="preserve">1.3. </w:t>
      </w:r>
      <w:r>
        <w:rPr>
          <w:rFonts w:hint="eastAsia" w:eastAsia="仿宋"/>
        </w:rPr>
        <w:t>投标文件的响应</w:t>
      </w:r>
      <w:r>
        <w:tab/>
      </w:r>
      <w:r>
        <w:fldChar w:fldCharType="begin"/>
      </w:r>
      <w:r>
        <w:instrText xml:space="preserve"> PAGEREF _Toc11458 \h </w:instrText>
      </w:r>
      <w:r>
        <w:fldChar w:fldCharType="separate"/>
      </w:r>
      <w:r>
        <w:t>5</w:t>
      </w:r>
      <w:r>
        <w:fldChar w:fldCharType="end"/>
      </w:r>
      <w:r>
        <w:rPr>
          <w:rFonts w:hint="eastAsia" w:ascii="仿宋" w:hAnsi="仿宋" w:eastAsia="仿宋" w:cs="仿宋"/>
          <w:bCs w:val="0"/>
          <w:caps w:val="0"/>
          <w:szCs w:val="28"/>
        </w:rPr>
        <w:fldChar w:fldCharType="end"/>
      </w:r>
    </w:p>
    <w:p>
      <w:pPr>
        <w:pStyle w:val="25"/>
        <w:tabs>
          <w:tab w:val="right" w:leader="dot" w:pos="8306"/>
        </w:tabs>
      </w:pPr>
      <w:r>
        <w:rPr>
          <w:rFonts w:hint="eastAsia" w:ascii="仿宋" w:hAnsi="仿宋" w:eastAsia="仿宋" w:cs="仿宋"/>
          <w:bCs w:val="0"/>
          <w:caps w:val="0"/>
          <w:szCs w:val="28"/>
        </w:rPr>
        <w:fldChar w:fldCharType="begin"/>
      </w:r>
      <w:r>
        <w:rPr>
          <w:rFonts w:hint="eastAsia" w:ascii="仿宋" w:hAnsi="仿宋" w:eastAsia="仿宋" w:cs="仿宋"/>
          <w:bCs w:val="0"/>
          <w:caps w:val="0"/>
          <w:szCs w:val="28"/>
        </w:rPr>
        <w:instrText xml:space="preserve"> HYPERLINK \l _Toc357 </w:instrText>
      </w:r>
      <w:r>
        <w:rPr>
          <w:rFonts w:hint="eastAsia" w:ascii="仿宋" w:hAnsi="仿宋" w:eastAsia="仿宋" w:cs="仿宋"/>
          <w:bCs w:val="0"/>
          <w:caps w:val="0"/>
          <w:szCs w:val="28"/>
        </w:rPr>
        <w:fldChar w:fldCharType="separate"/>
      </w:r>
      <w:r>
        <w:rPr>
          <w:rFonts w:hint="default" w:ascii="Times New Roman" w:hAnsi="Times New Roman" w:eastAsia="宋体" w:cs="仿宋"/>
          <w:i w:val="0"/>
          <w:spacing w:val="-12"/>
          <w:szCs w:val="44"/>
        </w:rPr>
        <w:t xml:space="preserve">2. </w:t>
      </w:r>
      <w:r>
        <w:rPr>
          <w:rFonts w:hint="eastAsia" w:ascii="仿宋" w:hAnsi="仿宋" w:eastAsia="仿宋" w:cs="仿宋"/>
        </w:rPr>
        <w:t>项目内容</w:t>
      </w:r>
      <w:r>
        <w:tab/>
      </w:r>
      <w:r>
        <w:fldChar w:fldCharType="begin"/>
      </w:r>
      <w:r>
        <w:instrText xml:space="preserve"> PAGEREF _Toc357 \h </w:instrText>
      </w:r>
      <w:r>
        <w:fldChar w:fldCharType="separate"/>
      </w:r>
      <w:r>
        <w:t>5</w:t>
      </w:r>
      <w:r>
        <w:fldChar w:fldCharType="end"/>
      </w:r>
      <w:r>
        <w:rPr>
          <w:rFonts w:hint="eastAsia" w:ascii="仿宋" w:hAnsi="仿宋" w:eastAsia="仿宋" w:cs="仿宋"/>
          <w:bCs w:val="0"/>
          <w:caps w:val="0"/>
          <w:szCs w:val="28"/>
        </w:rPr>
        <w:fldChar w:fldCharType="end"/>
      </w:r>
    </w:p>
    <w:p>
      <w:pPr>
        <w:pStyle w:val="27"/>
        <w:tabs>
          <w:tab w:val="right" w:leader="dot" w:pos="8306"/>
        </w:tabs>
      </w:pPr>
      <w:r>
        <w:rPr>
          <w:rFonts w:hint="eastAsia" w:ascii="仿宋" w:hAnsi="仿宋" w:eastAsia="仿宋" w:cs="仿宋"/>
          <w:bCs w:val="0"/>
          <w:caps w:val="0"/>
          <w:szCs w:val="28"/>
        </w:rPr>
        <w:fldChar w:fldCharType="begin"/>
      </w:r>
      <w:r>
        <w:rPr>
          <w:rFonts w:hint="eastAsia" w:ascii="仿宋" w:hAnsi="仿宋" w:eastAsia="仿宋" w:cs="仿宋"/>
          <w:bCs w:val="0"/>
          <w:caps w:val="0"/>
          <w:szCs w:val="28"/>
        </w:rPr>
        <w:instrText xml:space="preserve"> HYPERLINK \l _Toc23863 </w:instrText>
      </w:r>
      <w:r>
        <w:rPr>
          <w:rFonts w:hint="eastAsia" w:ascii="仿宋" w:hAnsi="仿宋" w:eastAsia="仿宋" w:cs="仿宋"/>
          <w:bCs w:val="0"/>
          <w:caps w:val="0"/>
          <w:szCs w:val="28"/>
        </w:rPr>
        <w:fldChar w:fldCharType="separate"/>
      </w:r>
      <w:r>
        <w:rPr>
          <w:rFonts w:hint="default" w:ascii="Times New Roman" w:hAnsi="Times New Roman" w:eastAsia="宋体" w:cs="仿宋"/>
          <w:szCs w:val="24"/>
        </w:rPr>
        <w:t xml:space="preserve">2.1. </w:t>
      </w:r>
      <w:r>
        <w:rPr>
          <w:rFonts w:hint="eastAsia" w:ascii="仿宋" w:hAnsi="仿宋" w:eastAsia="仿宋" w:cs="仿宋"/>
        </w:rPr>
        <w:t>项目目标</w:t>
      </w:r>
      <w:r>
        <w:tab/>
      </w:r>
      <w:r>
        <w:fldChar w:fldCharType="begin"/>
      </w:r>
      <w:r>
        <w:instrText xml:space="preserve"> PAGEREF _Toc23863 \h </w:instrText>
      </w:r>
      <w:r>
        <w:fldChar w:fldCharType="separate"/>
      </w:r>
      <w:r>
        <w:t>5</w:t>
      </w:r>
      <w:r>
        <w:fldChar w:fldCharType="end"/>
      </w:r>
      <w:r>
        <w:rPr>
          <w:rFonts w:hint="eastAsia" w:ascii="仿宋" w:hAnsi="仿宋" w:eastAsia="仿宋" w:cs="仿宋"/>
          <w:bCs w:val="0"/>
          <w:caps w:val="0"/>
          <w:szCs w:val="28"/>
        </w:rPr>
        <w:fldChar w:fldCharType="end"/>
      </w:r>
    </w:p>
    <w:p>
      <w:pPr>
        <w:pStyle w:val="27"/>
        <w:tabs>
          <w:tab w:val="right" w:leader="dot" w:pos="8306"/>
        </w:tabs>
      </w:pPr>
      <w:r>
        <w:rPr>
          <w:rFonts w:hint="eastAsia" w:ascii="仿宋" w:hAnsi="仿宋" w:eastAsia="仿宋" w:cs="仿宋"/>
          <w:bCs w:val="0"/>
          <w:caps w:val="0"/>
          <w:szCs w:val="28"/>
        </w:rPr>
        <w:fldChar w:fldCharType="begin"/>
      </w:r>
      <w:r>
        <w:rPr>
          <w:rFonts w:hint="eastAsia" w:ascii="仿宋" w:hAnsi="仿宋" w:eastAsia="仿宋" w:cs="仿宋"/>
          <w:bCs w:val="0"/>
          <w:caps w:val="0"/>
          <w:szCs w:val="28"/>
        </w:rPr>
        <w:instrText xml:space="preserve"> HYPERLINK \l _Toc16708 </w:instrText>
      </w:r>
      <w:r>
        <w:rPr>
          <w:rFonts w:hint="eastAsia" w:ascii="仿宋" w:hAnsi="仿宋" w:eastAsia="仿宋" w:cs="仿宋"/>
          <w:bCs w:val="0"/>
          <w:caps w:val="0"/>
          <w:szCs w:val="28"/>
        </w:rPr>
        <w:fldChar w:fldCharType="separate"/>
      </w:r>
      <w:r>
        <w:rPr>
          <w:rFonts w:hint="default" w:ascii="Times New Roman" w:hAnsi="Times New Roman" w:eastAsia="宋体" w:cs="仿宋"/>
          <w:szCs w:val="24"/>
        </w:rPr>
        <w:t xml:space="preserve">2.2. </w:t>
      </w:r>
      <w:r>
        <w:rPr>
          <w:rFonts w:hint="eastAsia" w:ascii="仿宋" w:hAnsi="仿宋" w:eastAsia="仿宋" w:cs="仿宋"/>
        </w:rPr>
        <w:t>应遵循的标准</w:t>
      </w:r>
      <w:r>
        <w:tab/>
      </w:r>
      <w:r>
        <w:fldChar w:fldCharType="begin"/>
      </w:r>
      <w:r>
        <w:instrText xml:space="preserve"> PAGEREF _Toc16708 \h </w:instrText>
      </w:r>
      <w:r>
        <w:fldChar w:fldCharType="separate"/>
      </w:r>
      <w:r>
        <w:t>5</w:t>
      </w:r>
      <w:r>
        <w:fldChar w:fldCharType="end"/>
      </w:r>
      <w:r>
        <w:rPr>
          <w:rFonts w:hint="eastAsia" w:ascii="仿宋" w:hAnsi="仿宋" w:eastAsia="仿宋" w:cs="仿宋"/>
          <w:bCs w:val="0"/>
          <w:caps w:val="0"/>
          <w:szCs w:val="28"/>
        </w:rPr>
        <w:fldChar w:fldCharType="end"/>
      </w:r>
    </w:p>
    <w:p>
      <w:pPr>
        <w:pStyle w:val="27"/>
        <w:tabs>
          <w:tab w:val="right" w:leader="dot" w:pos="8306"/>
        </w:tabs>
      </w:pPr>
      <w:r>
        <w:rPr>
          <w:rFonts w:hint="eastAsia" w:ascii="仿宋" w:hAnsi="仿宋" w:eastAsia="仿宋" w:cs="仿宋"/>
          <w:bCs w:val="0"/>
          <w:caps w:val="0"/>
          <w:szCs w:val="28"/>
        </w:rPr>
        <w:fldChar w:fldCharType="begin"/>
      </w:r>
      <w:r>
        <w:rPr>
          <w:rFonts w:hint="eastAsia" w:ascii="仿宋" w:hAnsi="仿宋" w:eastAsia="仿宋" w:cs="仿宋"/>
          <w:bCs w:val="0"/>
          <w:caps w:val="0"/>
          <w:szCs w:val="28"/>
        </w:rPr>
        <w:instrText xml:space="preserve"> HYPERLINK \l _Toc24705 </w:instrText>
      </w:r>
      <w:r>
        <w:rPr>
          <w:rFonts w:hint="eastAsia" w:ascii="仿宋" w:hAnsi="仿宋" w:eastAsia="仿宋" w:cs="仿宋"/>
          <w:bCs w:val="0"/>
          <w:caps w:val="0"/>
          <w:szCs w:val="28"/>
        </w:rPr>
        <w:fldChar w:fldCharType="separate"/>
      </w:r>
      <w:r>
        <w:rPr>
          <w:rFonts w:hint="default" w:ascii="Times New Roman" w:hAnsi="Times New Roman" w:eastAsia="宋体" w:cs="仿宋"/>
          <w:szCs w:val="24"/>
        </w:rPr>
        <w:t xml:space="preserve">2.3. </w:t>
      </w:r>
      <w:r>
        <w:rPr>
          <w:rFonts w:hint="eastAsia" w:ascii="仿宋" w:hAnsi="仿宋" w:eastAsia="仿宋" w:cs="仿宋"/>
        </w:rPr>
        <w:t>产品技术指标要求</w:t>
      </w:r>
      <w:r>
        <w:tab/>
      </w:r>
      <w:r>
        <w:fldChar w:fldCharType="begin"/>
      </w:r>
      <w:r>
        <w:instrText xml:space="preserve"> PAGEREF _Toc24705 \h </w:instrText>
      </w:r>
      <w:r>
        <w:fldChar w:fldCharType="separate"/>
      </w:r>
      <w:r>
        <w:t>6</w:t>
      </w:r>
      <w:r>
        <w:fldChar w:fldCharType="end"/>
      </w:r>
      <w:r>
        <w:rPr>
          <w:rFonts w:hint="eastAsia" w:ascii="仿宋" w:hAnsi="仿宋" w:eastAsia="仿宋" w:cs="仿宋"/>
          <w:bCs w:val="0"/>
          <w:caps w:val="0"/>
          <w:szCs w:val="28"/>
        </w:rPr>
        <w:fldChar w:fldCharType="end"/>
      </w:r>
    </w:p>
    <w:p>
      <w:pPr>
        <w:pStyle w:val="27"/>
        <w:tabs>
          <w:tab w:val="right" w:leader="dot" w:pos="8306"/>
        </w:tabs>
      </w:pPr>
      <w:r>
        <w:rPr>
          <w:rFonts w:hint="eastAsia" w:ascii="仿宋" w:hAnsi="仿宋" w:eastAsia="仿宋" w:cs="仿宋"/>
          <w:bCs w:val="0"/>
          <w:caps w:val="0"/>
          <w:szCs w:val="28"/>
        </w:rPr>
        <w:fldChar w:fldCharType="begin"/>
      </w:r>
      <w:r>
        <w:rPr>
          <w:rFonts w:hint="eastAsia" w:ascii="仿宋" w:hAnsi="仿宋" w:eastAsia="仿宋" w:cs="仿宋"/>
          <w:bCs w:val="0"/>
          <w:caps w:val="0"/>
          <w:szCs w:val="28"/>
        </w:rPr>
        <w:instrText xml:space="preserve"> HYPERLINK \l _Toc19147 </w:instrText>
      </w:r>
      <w:r>
        <w:rPr>
          <w:rFonts w:hint="eastAsia" w:ascii="仿宋" w:hAnsi="仿宋" w:eastAsia="仿宋" w:cs="仿宋"/>
          <w:bCs w:val="0"/>
          <w:caps w:val="0"/>
          <w:szCs w:val="28"/>
        </w:rPr>
        <w:fldChar w:fldCharType="separate"/>
      </w:r>
      <w:r>
        <w:rPr>
          <w:rFonts w:hint="default" w:ascii="Times New Roman" w:hAnsi="Times New Roman" w:eastAsia="宋体" w:cs="仿宋"/>
          <w:szCs w:val="24"/>
        </w:rPr>
        <w:t xml:space="preserve">2.4. </w:t>
      </w:r>
      <w:r>
        <w:rPr>
          <w:rFonts w:hint="eastAsia" w:ascii="仿宋" w:hAnsi="仿宋" w:eastAsia="仿宋" w:cs="仿宋"/>
        </w:rPr>
        <w:t>产品服务保障要求</w:t>
      </w:r>
      <w:r>
        <w:tab/>
      </w:r>
      <w:r>
        <w:fldChar w:fldCharType="begin"/>
      </w:r>
      <w:r>
        <w:instrText xml:space="preserve"> PAGEREF _Toc19147 \h </w:instrText>
      </w:r>
      <w:r>
        <w:fldChar w:fldCharType="separate"/>
      </w:r>
      <w:r>
        <w:t>7</w:t>
      </w:r>
      <w:r>
        <w:fldChar w:fldCharType="end"/>
      </w:r>
      <w:r>
        <w:rPr>
          <w:rFonts w:hint="eastAsia" w:ascii="仿宋" w:hAnsi="仿宋" w:eastAsia="仿宋" w:cs="仿宋"/>
          <w:bCs w:val="0"/>
          <w:caps w:val="0"/>
          <w:szCs w:val="28"/>
        </w:rPr>
        <w:fldChar w:fldCharType="end"/>
      </w:r>
    </w:p>
    <w:p>
      <w:pPr>
        <w:pStyle w:val="18"/>
        <w:tabs>
          <w:tab w:val="right" w:leader="dot" w:pos="8306"/>
        </w:tabs>
      </w:pPr>
      <w:r>
        <w:rPr>
          <w:rFonts w:hint="eastAsia" w:ascii="仿宋" w:hAnsi="仿宋" w:eastAsia="仿宋" w:cs="仿宋"/>
          <w:bCs w:val="0"/>
          <w:caps w:val="0"/>
          <w:szCs w:val="28"/>
        </w:rPr>
        <w:fldChar w:fldCharType="begin"/>
      </w:r>
      <w:r>
        <w:rPr>
          <w:rFonts w:hint="eastAsia" w:ascii="仿宋" w:hAnsi="仿宋" w:eastAsia="仿宋" w:cs="仿宋"/>
          <w:bCs w:val="0"/>
          <w:caps w:val="0"/>
          <w:szCs w:val="28"/>
        </w:rPr>
        <w:instrText xml:space="preserve"> HYPERLINK \l _Toc30042 </w:instrText>
      </w:r>
      <w:r>
        <w:rPr>
          <w:rFonts w:hint="eastAsia" w:ascii="仿宋" w:hAnsi="仿宋" w:eastAsia="仿宋" w:cs="仿宋"/>
          <w:bCs w:val="0"/>
          <w:caps w:val="0"/>
          <w:szCs w:val="28"/>
        </w:rPr>
        <w:fldChar w:fldCharType="separate"/>
      </w:r>
      <w:r>
        <w:rPr>
          <w:rFonts w:hint="default" w:ascii="Times New Roman" w:hAnsi="Times New Roman" w:eastAsia="仿宋" w:cs="Times New Roman"/>
        </w:rPr>
        <w:t xml:space="preserve">2.4.1. </w:t>
      </w:r>
      <w:r>
        <w:rPr>
          <w:rFonts w:hint="eastAsia" w:eastAsia="仿宋" w:cs="仿宋"/>
        </w:rPr>
        <w:t>技术服务要求</w:t>
      </w:r>
      <w:r>
        <w:tab/>
      </w:r>
      <w:r>
        <w:fldChar w:fldCharType="begin"/>
      </w:r>
      <w:r>
        <w:instrText xml:space="preserve"> PAGEREF _Toc30042 \h </w:instrText>
      </w:r>
      <w:r>
        <w:fldChar w:fldCharType="separate"/>
      </w:r>
      <w:r>
        <w:t>7</w:t>
      </w:r>
      <w:r>
        <w:fldChar w:fldCharType="end"/>
      </w:r>
      <w:r>
        <w:rPr>
          <w:rFonts w:hint="eastAsia" w:ascii="仿宋" w:hAnsi="仿宋" w:eastAsia="仿宋" w:cs="仿宋"/>
          <w:bCs w:val="0"/>
          <w:caps w:val="0"/>
          <w:szCs w:val="28"/>
        </w:rPr>
        <w:fldChar w:fldCharType="end"/>
      </w:r>
    </w:p>
    <w:p>
      <w:pPr>
        <w:pStyle w:val="18"/>
        <w:tabs>
          <w:tab w:val="right" w:leader="dot" w:pos="8306"/>
        </w:tabs>
      </w:pPr>
      <w:r>
        <w:rPr>
          <w:rFonts w:hint="eastAsia" w:ascii="仿宋" w:hAnsi="仿宋" w:eastAsia="仿宋" w:cs="仿宋"/>
          <w:bCs w:val="0"/>
          <w:caps w:val="0"/>
          <w:szCs w:val="28"/>
        </w:rPr>
        <w:fldChar w:fldCharType="begin"/>
      </w:r>
      <w:r>
        <w:rPr>
          <w:rFonts w:hint="eastAsia" w:ascii="仿宋" w:hAnsi="仿宋" w:eastAsia="仿宋" w:cs="仿宋"/>
          <w:bCs w:val="0"/>
          <w:caps w:val="0"/>
          <w:szCs w:val="28"/>
        </w:rPr>
        <w:instrText xml:space="preserve"> HYPERLINK \l _Toc13594 </w:instrText>
      </w:r>
      <w:r>
        <w:rPr>
          <w:rFonts w:hint="eastAsia" w:ascii="仿宋" w:hAnsi="仿宋" w:eastAsia="仿宋" w:cs="仿宋"/>
          <w:bCs w:val="0"/>
          <w:caps w:val="0"/>
          <w:szCs w:val="28"/>
        </w:rPr>
        <w:fldChar w:fldCharType="separate"/>
      </w:r>
      <w:r>
        <w:rPr>
          <w:rFonts w:hint="default" w:ascii="Times New Roman" w:hAnsi="Times New Roman" w:eastAsia="仿宋" w:cs="Times New Roman"/>
        </w:rPr>
        <w:t xml:space="preserve">2.4.2. </w:t>
      </w:r>
      <w:r>
        <w:rPr>
          <w:rFonts w:hint="eastAsia" w:eastAsia="仿宋" w:cs="仿宋"/>
        </w:rPr>
        <w:t>产品质量保障</w:t>
      </w:r>
      <w:r>
        <w:tab/>
      </w:r>
      <w:r>
        <w:fldChar w:fldCharType="begin"/>
      </w:r>
      <w:r>
        <w:instrText xml:space="preserve"> PAGEREF _Toc13594 \h </w:instrText>
      </w:r>
      <w:r>
        <w:fldChar w:fldCharType="separate"/>
      </w:r>
      <w:r>
        <w:t>8</w:t>
      </w:r>
      <w:r>
        <w:fldChar w:fldCharType="end"/>
      </w:r>
      <w:r>
        <w:rPr>
          <w:rFonts w:hint="eastAsia" w:ascii="仿宋" w:hAnsi="仿宋" w:eastAsia="仿宋" w:cs="仿宋"/>
          <w:bCs w:val="0"/>
          <w:caps w:val="0"/>
          <w:szCs w:val="28"/>
        </w:rPr>
        <w:fldChar w:fldCharType="end"/>
      </w:r>
    </w:p>
    <w:p>
      <w:pPr>
        <w:pStyle w:val="18"/>
        <w:tabs>
          <w:tab w:val="right" w:leader="dot" w:pos="8306"/>
        </w:tabs>
      </w:pPr>
      <w:r>
        <w:rPr>
          <w:rFonts w:hint="eastAsia" w:ascii="仿宋" w:hAnsi="仿宋" w:eastAsia="仿宋" w:cs="仿宋"/>
          <w:bCs w:val="0"/>
          <w:caps w:val="0"/>
          <w:szCs w:val="28"/>
        </w:rPr>
        <w:fldChar w:fldCharType="begin"/>
      </w:r>
      <w:r>
        <w:rPr>
          <w:rFonts w:hint="eastAsia" w:ascii="仿宋" w:hAnsi="仿宋" w:eastAsia="仿宋" w:cs="仿宋"/>
          <w:bCs w:val="0"/>
          <w:caps w:val="0"/>
          <w:szCs w:val="28"/>
        </w:rPr>
        <w:instrText xml:space="preserve"> HYPERLINK \l _Toc1152 </w:instrText>
      </w:r>
      <w:r>
        <w:rPr>
          <w:rFonts w:hint="eastAsia" w:ascii="仿宋" w:hAnsi="仿宋" w:eastAsia="仿宋" w:cs="仿宋"/>
          <w:bCs w:val="0"/>
          <w:caps w:val="0"/>
          <w:szCs w:val="28"/>
        </w:rPr>
        <w:fldChar w:fldCharType="separate"/>
      </w:r>
      <w:r>
        <w:rPr>
          <w:rFonts w:hint="default" w:ascii="Times New Roman" w:hAnsi="Times New Roman" w:eastAsia="仿宋" w:cs="Times New Roman"/>
        </w:rPr>
        <w:t xml:space="preserve">2.4.3. </w:t>
      </w:r>
      <w:r>
        <w:rPr>
          <w:rFonts w:hint="eastAsia" w:eastAsia="仿宋" w:cs="仿宋"/>
        </w:rPr>
        <w:t>检测要求</w:t>
      </w:r>
      <w:r>
        <w:tab/>
      </w:r>
      <w:r>
        <w:fldChar w:fldCharType="begin"/>
      </w:r>
      <w:r>
        <w:instrText xml:space="preserve"> PAGEREF _Toc1152 \h </w:instrText>
      </w:r>
      <w:r>
        <w:fldChar w:fldCharType="separate"/>
      </w:r>
      <w:r>
        <w:t>9</w:t>
      </w:r>
      <w:r>
        <w:fldChar w:fldCharType="end"/>
      </w:r>
      <w:r>
        <w:rPr>
          <w:rFonts w:hint="eastAsia" w:ascii="仿宋" w:hAnsi="仿宋" w:eastAsia="仿宋" w:cs="仿宋"/>
          <w:bCs w:val="0"/>
          <w:caps w:val="0"/>
          <w:szCs w:val="28"/>
        </w:rPr>
        <w:fldChar w:fldCharType="end"/>
      </w:r>
    </w:p>
    <w:p>
      <w:pPr>
        <w:pStyle w:val="18"/>
        <w:tabs>
          <w:tab w:val="right" w:leader="dot" w:pos="8306"/>
        </w:tabs>
      </w:pPr>
      <w:r>
        <w:rPr>
          <w:rFonts w:hint="eastAsia" w:ascii="仿宋" w:hAnsi="仿宋" w:eastAsia="仿宋" w:cs="仿宋"/>
          <w:bCs w:val="0"/>
          <w:caps w:val="0"/>
          <w:szCs w:val="28"/>
        </w:rPr>
        <w:fldChar w:fldCharType="begin"/>
      </w:r>
      <w:r>
        <w:rPr>
          <w:rFonts w:hint="eastAsia" w:ascii="仿宋" w:hAnsi="仿宋" w:eastAsia="仿宋" w:cs="仿宋"/>
          <w:bCs w:val="0"/>
          <w:caps w:val="0"/>
          <w:szCs w:val="28"/>
        </w:rPr>
        <w:instrText xml:space="preserve"> HYPERLINK \l _Toc17295 </w:instrText>
      </w:r>
      <w:r>
        <w:rPr>
          <w:rFonts w:hint="eastAsia" w:ascii="仿宋" w:hAnsi="仿宋" w:eastAsia="仿宋" w:cs="仿宋"/>
          <w:bCs w:val="0"/>
          <w:caps w:val="0"/>
          <w:szCs w:val="28"/>
        </w:rPr>
        <w:fldChar w:fldCharType="separate"/>
      </w:r>
      <w:r>
        <w:rPr>
          <w:rFonts w:hint="default" w:ascii="Times New Roman" w:hAnsi="Times New Roman" w:eastAsia="仿宋" w:cs="Times New Roman"/>
        </w:rPr>
        <w:t xml:space="preserve">2.4.4. </w:t>
      </w:r>
      <w:r>
        <w:rPr>
          <w:rFonts w:hint="eastAsia" w:eastAsia="仿宋" w:cs="仿宋"/>
        </w:rPr>
        <w:t>包装、运输和储存要求</w:t>
      </w:r>
      <w:r>
        <w:tab/>
      </w:r>
      <w:r>
        <w:fldChar w:fldCharType="begin"/>
      </w:r>
      <w:r>
        <w:instrText xml:space="preserve"> PAGEREF _Toc17295 \h </w:instrText>
      </w:r>
      <w:r>
        <w:fldChar w:fldCharType="separate"/>
      </w:r>
      <w:r>
        <w:t>11</w:t>
      </w:r>
      <w:r>
        <w:fldChar w:fldCharType="end"/>
      </w:r>
      <w:r>
        <w:rPr>
          <w:rFonts w:hint="eastAsia" w:ascii="仿宋" w:hAnsi="仿宋" w:eastAsia="仿宋" w:cs="仿宋"/>
          <w:bCs w:val="0"/>
          <w:caps w:val="0"/>
          <w:szCs w:val="28"/>
        </w:rPr>
        <w:fldChar w:fldCharType="end"/>
      </w:r>
    </w:p>
    <w:p>
      <w:pPr>
        <w:pStyle w:val="18"/>
        <w:tabs>
          <w:tab w:val="right" w:leader="dot" w:pos="8306"/>
        </w:tabs>
      </w:pPr>
      <w:r>
        <w:rPr>
          <w:rFonts w:hint="eastAsia" w:ascii="仿宋" w:hAnsi="仿宋" w:eastAsia="仿宋" w:cs="仿宋"/>
          <w:bCs w:val="0"/>
          <w:caps w:val="0"/>
          <w:szCs w:val="28"/>
        </w:rPr>
        <w:fldChar w:fldCharType="begin"/>
      </w:r>
      <w:r>
        <w:rPr>
          <w:rFonts w:hint="eastAsia" w:ascii="仿宋" w:hAnsi="仿宋" w:eastAsia="仿宋" w:cs="仿宋"/>
          <w:bCs w:val="0"/>
          <w:caps w:val="0"/>
          <w:szCs w:val="28"/>
        </w:rPr>
        <w:instrText xml:space="preserve"> HYPERLINK \l _Toc13066 </w:instrText>
      </w:r>
      <w:r>
        <w:rPr>
          <w:rFonts w:hint="eastAsia" w:ascii="仿宋" w:hAnsi="仿宋" w:eastAsia="仿宋" w:cs="仿宋"/>
          <w:bCs w:val="0"/>
          <w:caps w:val="0"/>
          <w:szCs w:val="28"/>
        </w:rPr>
        <w:fldChar w:fldCharType="separate"/>
      </w:r>
      <w:r>
        <w:rPr>
          <w:rFonts w:hint="default" w:ascii="Times New Roman" w:hAnsi="Times New Roman" w:eastAsia="仿宋" w:cs="Times New Roman"/>
        </w:rPr>
        <w:t xml:space="preserve">2.4.5. </w:t>
      </w:r>
      <w:r>
        <w:rPr>
          <w:rFonts w:hint="eastAsia" w:eastAsia="仿宋" w:cs="仿宋"/>
        </w:rPr>
        <w:t>产品售后服务要求</w:t>
      </w:r>
      <w:r>
        <w:tab/>
      </w:r>
      <w:r>
        <w:fldChar w:fldCharType="begin"/>
      </w:r>
      <w:r>
        <w:instrText xml:space="preserve"> PAGEREF _Toc13066 \h </w:instrText>
      </w:r>
      <w:r>
        <w:fldChar w:fldCharType="separate"/>
      </w:r>
      <w:r>
        <w:t>12</w:t>
      </w:r>
      <w:r>
        <w:fldChar w:fldCharType="end"/>
      </w:r>
      <w:r>
        <w:rPr>
          <w:rFonts w:hint="eastAsia" w:ascii="仿宋" w:hAnsi="仿宋" w:eastAsia="仿宋" w:cs="仿宋"/>
          <w:bCs w:val="0"/>
          <w:caps w:val="0"/>
          <w:szCs w:val="28"/>
        </w:rPr>
        <w:fldChar w:fldCharType="end"/>
      </w:r>
    </w:p>
    <w:p>
      <w:pPr>
        <w:pStyle w:val="25"/>
        <w:tabs>
          <w:tab w:val="right" w:leader="dot" w:pos="8306"/>
        </w:tabs>
      </w:pPr>
      <w:r>
        <w:rPr>
          <w:rFonts w:hint="eastAsia" w:ascii="仿宋" w:hAnsi="仿宋" w:eastAsia="仿宋" w:cs="仿宋"/>
          <w:bCs w:val="0"/>
          <w:caps w:val="0"/>
          <w:szCs w:val="28"/>
        </w:rPr>
        <w:fldChar w:fldCharType="begin"/>
      </w:r>
      <w:r>
        <w:rPr>
          <w:rFonts w:hint="eastAsia" w:ascii="仿宋" w:hAnsi="仿宋" w:eastAsia="仿宋" w:cs="仿宋"/>
          <w:bCs w:val="0"/>
          <w:caps w:val="0"/>
          <w:szCs w:val="28"/>
        </w:rPr>
        <w:instrText xml:space="preserve"> HYPERLINK \l _Toc335 </w:instrText>
      </w:r>
      <w:r>
        <w:rPr>
          <w:rFonts w:hint="eastAsia" w:ascii="仿宋" w:hAnsi="仿宋" w:eastAsia="仿宋" w:cs="仿宋"/>
          <w:bCs w:val="0"/>
          <w:caps w:val="0"/>
          <w:szCs w:val="28"/>
        </w:rPr>
        <w:fldChar w:fldCharType="separate"/>
      </w:r>
      <w:r>
        <w:rPr>
          <w:rFonts w:hint="default" w:ascii="Times New Roman" w:hAnsi="Times New Roman" w:eastAsia="宋体" w:cs="仿宋"/>
          <w:i w:val="0"/>
          <w:spacing w:val="-12"/>
          <w:szCs w:val="44"/>
        </w:rPr>
        <w:t xml:space="preserve">3. </w:t>
      </w:r>
      <w:r>
        <w:rPr>
          <w:rFonts w:hint="eastAsia" w:ascii="仿宋" w:hAnsi="仿宋" w:eastAsia="仿宋" w:cs="仿宋"/>
        </w:rPr>
        <w:t>项目实施要求</w:t>
      </w:r>
      <w:r>
        <w:tab/>
      </w:r>
      <w:r>
        <w:fldChar w:fldCharType="begin"/>
      </w:r>
      <w:r>
        <w:instrText xml:space="preserve"> PAGEREF _Toc335 \h </w:instrText>
      </w:r>
      <w:r>
        <w:fldChar w:fldCharType="separate"/>
      </w:r>
      <w:r>
        <w:t>13</w:t>
      </w:r>
      <w:r>
        <w:fldChar w:fldCharType="end"/>
      </w:r>
      <w:r>
        <w:rPr>
          <w:rFonts w:hint="eastAsia" w:ascii="仿宋" w:hAnsi="仿宋" w:eastAsia="仿宋" w:cs="仿宋"/>
          <w:bCs w:val="0"/>
          <w:caps w:val="0"/>
          <w:szCs w:val="28"/>
        </w:rPr>
        <w:fldChar w:fldCharType="end"/>
      </w:r>
    </w:p>
    <w:p>
      <w:pPr>
        <w:pStyle w:val="27"/>
        <w:tabs>
          <w:tab w:val="right" w:leader="dot" w:pos="8306"/>
        </w:tabs>
      </w:pPr>
      <w:r>
        <w:rPr>
          <w:rFonts w:hint="eastAsia" w:ascii="仿宋" w:hAnsi="仿宋" w:eastAsia="仿宋" w:cs="仿宋"/>
          <w:bCs w:val="0"/>
          <w:caps w:val="0"/>
          <w:szCs w:val="28"/>
        </w:rPr>
        <w:fldChar w:fldCharType="begin"/>
      </w:r>
      <w:r>
        <w:rPr>
          <w:rFonts w:hint="eastAsia" w:ascii="仿宋" w:hAnsi="仿宋" w:eastAsia="仿宋" w:cs="仿宋"/>
          <w:bCs w:val="0"/>
          <w:caps w:val="0"/>
          <w:szCs w:val="28"/>
        </w:rPr>
        <w:instrText xml:space="preserve"> HYPERLINK \l _Toc6225 </w:instrText>
      </w:r>
      <w:r>
        <w:rPr>
          <w:rFonts w:hint="eastAsia" w:ascii="仿宋" w:hAnsi="仿宋" w:eastAsia="仿宋" w:cs="仿宋"/>
          <w:bCs w:val="0"/>
          <w:caps w:val="0"/>
          <w:szCs w:val="28"/>
        </w:rPr>
        <w:fldChar w:fldCharType="separate"/>
      </w:r>
      <w:r>
        <w:rPr>
          <w:rFonts w:hint="default" w:ascii="Times New Roman" w:hAnsi="Times New Roman" w:eastAsia="宋体" w:cs="仿宋"/>
          <w:szCs w:val="24"/>
        </w:rPr>
        <w:t xml:space="preserve">3.1. </w:t>
      </w:r>
      <w:r>
        <w:rPr>
          <w:rFonts w:hint="eastAsia" w:ascii="仿宋" w:hAnsi="仿宋" w:eastAsia="仿宋" w:cs="仿宋"/>
        </w:rPr>
        <w:t>项目进度要求</w:t>
      </w:r>
      <w:r>
        <w:tab/>
      </w:r>
      <w:r>
        <w:fldChar w:fldCharType="begin"/>
      </w:r>
      <w:r>
        <w:instrText xml:space="preserve"> PAGEREF _Toc6225 \h </w:instrText>
      </w:r>
      <w:r>
        <w:fldChar w:fldCharType="separate"/>
      </w:r>
      <w:r>
        <w:t>13</w:t>
      </w:r>
      <w:r>
        <w:fldChar w:fldCharType="end"/>
      </w:r>
      <w:r>
        <w:rPr>
          <w:rFonts w:hint="eastAsia" w:ascii="仿宋" w:hAnsi="仿宋" w:eastAsia="仿宋" w:cs="仿宋"/>
          <w:bCs w:val="0"/>
          <w:caps w:val="0"/>
          <w:szCs w:val="28"/>
        </w:rPr>
        <w:fldChar w:fldCharType="end"/>
      </w:r>
    </w:p>
    <w:p>
      <w:pPr>
        <w:pStyle w:val="27"/>
        <w:tabs>
          <w:tab w:val="right" w:leader="dot" w:pos="8306"/>
        </w:tabs>
      </w:pPr>
      <w:r>
        <w:rPr>
          <w:rFonts w:hint="eastAsia" w:ascii="仿宋" w:hAnsi="仿宋" w:eastAsia="仿宋" w:cs="仿宋"/>
          <w:bCs w:val="0"/>
          <w:caps w:val="0"/>
          <w:szCs w:val="28"/>
        </w:rPr>
        <w:fldChar w:fldCharType="begin"/>
      </w:r>
      <w:r>
        <w:rPr>
          <w:rFonts w:hint="eastAsia" w:ascii="仿宋" w:hAnsi="仿宋" w:eastAsia="仿宋" w:cs="仿宋"/>
          <w:bCs w:val="0"/>
          <w:caps w:val="0"/>
          <w:szCs w:val="28"/>
        </w:rPr>
        <w:instrText xml:space="preserve"> HYPERLINK \l _Toc1546 </w:instrText>
      </w:r>
      <w:r>
        <w:rPr>
          <w:rFonts w:hint="eastAsia" w:ascii="仿宋" w:hAnsi="仿宋" w:eastAsia="仿宋" w:cs="仿宋"/>
          <w:bCs w:val="0"/>
          <w:caps w:val="0"/>
          <w:szCs w:val="28"/>
        </w:rPr>
        <w:fldChar w:fldCharType="separate"/>
      </w:r>
      <w:r>
        <w:rPr>
          <w:rFonts w:hint="default" w:ascii="Times New Roman" w:hAnsi="Times New Roman" w:eastAsia="宋体" w:cs="仿宋"/>
          <w:szCs w:val="24"/>
        </w:rPr>
        <w:t xml:space="preserve">3.2. </w:t>
      </w:r>
      <w:r>
        <w:rPr>
          <w:rFonts w:hint="eastAsia" w:ascii="仿宋" w:hAnsi="仿宋" w:eastAsia="仿宋" w:cs="仿宋"/>
        </w:rPr>
        <w:t>知识产权要求</w:t>
      </w:r>
      <w:r>
        <w:tab/>
      </w:r>
      <w:r>
        <w:fldChar w:fldCharType="begin"/>
      </w:r>
      <w:r>
        <w:instrText xml:space="preserve"> PAGEREF _Toc1546 \h </w:instrText>
      </w:r>
      <w:r>
        <w:fldChar w:fldCharType="separate"/>
      </w:r>
      <w:r>
        <w:t>14</w:t>
      </w:r>
      <w:r>
        <w:fldChar w:fldCharType="end"/>
      </w:r>
      <w:r>
        <w:rPr>
          <w:rFonts w:hint="eastAsia" w:ascii="仿宋" w:hAnsi="仿宋" w:eastAsia="仿宋" w:cs="仿宋"/>
          <w:bCs w:val="0"/>
          <w:caps w:val="0"/>
          <w:szCs w:val="28"/>
        </w:rPr>
        <w:fldChar w:fldCharType="end"/>
      </w:r>
    </w:p>
    <w:p>
      <w:pPr>
        <w:pStyle w:val="27"/>
        <w:tabs>
          <w:tab w:val="right" w:leader="dot" w:pos="8306"/>
        </w:tabs>
      </w:pPr>
      <w:r>
        <w:rPr>
          <w:rFonts w:hint="eastAsia" w:ascii="仿宋" w:hAnsi="仿宋" w:eastAsia="仿宋" w:cs="仿宋"/>
          <w:bCs w:val="0"/>
          <w:caps w:val="0"/>
          <w:szCs w:val="28"/>
        </w:rPr>
        <w:fldChar w:fldCharType="begin"/>
      </w:r>
      <w:r>
        <w:rPr>
          <w:rFonts w:hint="eastAsia" w:ascii="仿宋" w:hAnsi="仿宋" w:eastAsia="仿宋" w:cs="仿宋"/>
          <w:bCs w:val="0"/>
          <w:caps w:val="0"/>
          <w:szCs w:val="28"/>
        </w:rPr>
        <w:instrText xml:space="preserve"> HYPERLINK \l _Toc15378 </w:instrText>
      </w:r>
      <w:r>
        <w:rPr>
          <w:rFonts w:hint="eastAsia" w:ascii="仿宋" w:hAnsi="仿宋" w:eastAsia="仿宋" w:cs="仿宋"/>
          <w:bCs w:val="0"/>
          <w:caps w:val="0"/>
          <w:szCs w:val="28"/>
        </w:rPr>
        <w:fldChar w:fldCharType="separate"/>
      </w:r>
      <w:r>
        <w:rPr>
          <w:rFonts w:hint="default" w:ascii="Times New Roman" w:hAnsi="Times New Roman" w:eastAsia="宋体" w:cs="仿宋"/>
          <w:szCs w:val="24"/>
        </w:rPr>
        <w:t xml:space="preserve">3.3. </w:t>
      </w:r>
      <w:r>
        <w:rPr>
          <w:rFonts w:hint="eastAsia" w:ascii="仿宋" w:hAnsi="仿宋" w:eastAsia="仿宋" w:cs="仿宋"/>
        </w:rPr>
        <w:t>安全保密要求</w:t>
      </w:r>
      <w:r>
        <w:tab/>
      </w:r>
      <w:r>
        <w:fldChar w:fldCharType="begin"/>
      </w:r>
      <w:r>
        <w:instrText xml:space="preserve"> PAGEREF _Toc15378 \h </w:instrText>
      </w:r>
      <w:r>
        <w:fldChar w:fldCharType="separate"/>
      </w:r>
      <w:r>
        <w:t>14</w:t>
      </w:r>
      <w:r>
        <w:fldChar w:fldCharType="end"/>
      </w:r>
      <w:r>
        <w:rPr>
          <w:rFonts w:hint="eastAsia" w:ascii="仿宋" w:hAnsi="仿宋" w:eastAsia="仿宋" w:cs="仿宋"/>
          <w:bCs w:val="0"/>
          <w:caps w:val="0"/>
          <w:szCs w:val="28"/>
        </w:rPr>
        <w:fldChar w:fldCharType="end"/>
      </w:r>
    </w:p>
    <w:p>
      <w:pPr>
        <w:pStyle w:val="27"/>
        <w:tabs>
          <w:tab w:val="right" w:leader="dot" w:pos="8306"/>
        </w:tabs>
      </w:pPr>
      <w:r>
        <w:rPr>
          <w:rFonts w:hint="eastAsia" w:ascii="仿宋" w:hAnsi="仿宋" w:eastAsia="仿宋" w:cs="仿宋"/>
          <w:bCs w:val="0"/>
          <w:caps w:val="0"/>
          <w:szCs w:val="28"/>
        </w:rPr>
        <w:fldChar w:fldCharType="begin"/>
      </w:r>
      <w:r>
        <w:rPr>
          <w:rFonts w:hint="eastAsia" w:ascii="仿宋" w:hAnsi="仿宋" w:eastAsia="仿宋" w:cs="仿宋"/>
          <w:bCs w:val="0"/>
          <w:caps w:val="0"/>
          <w:szCs w:val="28"/>
        </w:rPr>
        <w:instrText xml:space="preserve"> HYPERLINK \l _Toc5650 </w:instrText>
      </w:r>
      <w:r>
        <w:rPr>
          <w:rFonts w:hint="eastAsia" w:ascii="仿宋" w:hAnsi="仿宋" w:eastAsia="仿宋" w:cs="仿宋"/>
          <w:bCs w:val="0"/>
          <w:caps w:val="0"/>
          <w:szCs w:val="28"/>
        </w:rPr>
        <w:fldChar w:fldCharType="separate"/>
      </w:r>
      <w:r>
        <w:rPr>
          <w:rFonts w:hint="default" w:ascii="Times New Roman" w:hAnsi="Times New Roman" w:eastAsia="宋体" w:cs="仿宋"/>
          <w:szCs w:val="24"/>
        </w:rPr>
        <w:t xml:space="preserve">3.4. </w:t>
      </w:r>
      <w:r>
        <w:rPr>
          <w:rFonts w:hint="eastAsia" w:ascii="仿宋" w:hAnsi="仿宋" w:eastAsia="仿宋" w:cs="仿宋"/>
        </w:rPr>
        <w:t>实施交付要求</w:t>
      </w:r>
      <w:r>
        <w:tab/>
      </w:r>
      <w:r>
        <w:fldChar w:fldCharType="begin"/>
      </w:r>
      <w:r>
        <w:instrText xml:space="preserve"> PAGEREF _Toc5650 \h </w:instrText>
      </w:r>
      <w:r>
        <w:fldChar w:fldCharType="separate"/>
      </w:r>
      <w:r>
        <w:t>15</w:t>
      </w:r>
      <w:r>
        <w:fldChar w:fldCharType="end"/>
      </w:r>
      <w:r>
        <w:rPr>
          <w:rFonts w:hint="eastAsia" w:ascii="仿宋" w:hAnsi="仿宋" w:eastAsia="仿宋" w:cs="仿宋"/>
          <w:bCs w:val="0"/>
          <w:caps w:val="0"/>
          <w:szCs w:val="28"/>
        </w:rPr>
        <w:fldChar w:fldCharType="end"/>
      </w:r>
    </w:p>
    <w:p>
      <w:pPr>
        <w:pStyle w:val="18"/>
        <w:tabs>
          <w:tab w:val="right" w:leader="dot" w:pos="8306"/>
        </w:tabs>
      </w:pPr>
      <w:r>
        <w:rPr>
          <w:rFonts w:hint="eastAsia" w:ascii="仿宋" w:hAnsi="仿宋" w:eastAsia="仿宋" w:cs="仿宋"/>
          <w:bCs w:val="0"/>
          <w:caps w:val="0"/>
          <w:szCs w:val="28"/>
        </w:rPr>
        <w:fldChar w:fldCharType="begin"/>
      </w:r>
      <w:r>
        <w:rPr>
          <w:rFonts w:hint="eastAsia" w:ascii="仿宋" w:hAnsi="仿宋" w:eastAsia="仿宋" w:cs="仿宋"/>
          <w:bCs w:val="0"/>
          <w:caps w:val="0"/>
          <w:szCs w:val="28"/>
        </w:rPr>
        <w:instrText xml:space="preserve"> HYPERLINK \l _Toc26297 </w:instrText>
      </w:r>
      <w:r>
        <w:rPr>
          <w:rFonts w:hint="eastAsia" w:ascii="仿宋" w:hAnsi="仿宋" w:eastAsia="仿宋" w:cs="仿宋"/>
          <w:bCs w:val="0"/>
          <w:caps w:val="0"/>
          <w:szCs w:val="28"/>
        </w:rPr>
        <w:fldChar w:fldCharType="separate"/>
      </w:r>
      <w:r>
        <w:rPr>
          <w:rFonts w:hint="default" w:ascii="Times New Roman" w:hAnsi="Times New Roman" w:eastAsia="仿宋" w:cs="Times New Roman"/>
        </w:rPr>
        <w:t xml:space="preserve">3.4.1. </w:t>
      </w:r>
      <w:r>
        <w:rPr>
          <w:rFonts w:hint="eastAsia" w:eastAsia="仿宋" w:cs="仿宋"/>
        </w:rPr>
        <w:t>交付方式要求</w:t>
      </w:r>
      <w:r>
        <w:tab/>
      </w:r>
      <w:r>
        <w:fldChar w:fldCharType="begin"/>
      </w:r>
      <w:r>
        <w:instrText xml:space="preserve"> PAGEREF _Toc26297 \h </w:instrText>
      </w:r>
      <w:r>
        <w:fldChar w:fldCharType="separate"/>
      </w:r>
      <w:r>
        <w:t>15</w:t>
      </w:r>
      <w:r>
        <w:fldChar w:fldCharType="end"/>
      </w:r>
      <w:r>
        <w:rPr>
          <w:rFonts w:hint="eastAsia" w:ascii="仿宋" w:hAnsi="仿宋" w:eastAsia="仿宋" w:cs="仿宋"/>
          <w:bCs w:val="0"/>
          <w:caps w:val="0"/>
          <w:szCs w:val="28"/>
        </w:rPr>
        <w:fldChar w:fldCharType="end"/>
      </w:r>
    </w:p>
    <w:p>
      <w:pPr>
        <w:pStyle w:val="18"/>
        <w:tabs>
          <w:tab w:val="right" w:leader="dot" w:pos="8306"/>
        </w:tabs>
      </w:pPr>
      <w:r>
        <w:rPr>
          <w:rFonts w:hint="eastAsia" w:ascii="仿宋" w:hAnsi="仿宋" w:eastAsia="仿宋" w:cs="仿宋"/>
          <w:bCs w:val="0"/>
          <w:caps w:val="0"/>
          <w:szCs w:val="28"/>
        </w:rPr>
        <w:fldChar w:fldCharType="begin"/>
      </w:r>
      <w:r>
        <w:rPr>
          <w:rFonts w:hint="eastAsia" w:ascii="仿宋" w:hAnsi="仿宋" w:eastAsia="仿宋" w:cs="仿宋"/>
          <w:bCs w:val="0"/>
          <w:caps w:val="0"/>
          <w:szCs w:val="28"/>
        </w:rPr>
        <w:instrText xml:space="preserve"> HYPERLINK \l _Toc8190 </w:instrText>
      </w:r>
      <w:r>
        <w:rPr>
          <w:rFonts w:hint="eastAsia" w:ascii="仿宋" w:hAnsi="仿宋" w:eastAsia="仿宋" w:cs="仿宋"/>
          <w:bCs w:val="0"/>
          <w:caps w:val="0"/>
          <w:szCs w:val="28"/>
        </w:rPr>
        <w:fldChar w:fldCharType="separate"/>
      </w:r>
      <w:r>
        <w:rPr>
          <w:rFonts w:hint="default" w:ascii="Times New Roman" w:hAnsi="Times New Roman" w:eastAsia="仿宋" w:cs="Times New Roman"/>
        </w:rPr>
        <w:t xml:space="preserve">3.4.2. </w:t>
      </w:r>
      <w:r>
        <w:rPr>
          <w:rFonts w:hint="eastAsia" w:eastAsia="仿宋" w:cs="仿宋"/>
        </w:rPr>
        <w:t>交付时间要求</w:t>
      </w:r>
      <w:r>
        <w:tab/>
      </w:r>
      <w:r>
        <w:fldChar w:fldCharType="begin"/>
      </w:r>
      <w:r>
        <w:instrText xml:space="preserve"> PAGEREF _Toc8190 \h </w:instrText>
      </w:r>
      <w:r>
        <w:fldChar w:fldCharType="separate"/>
      </w:r>
      <w:r>
        <w:t>15</w:t>
      </w:r>
      <w:r>
        <w:fldChar w:fldCharType="end"/>
      </w:r>
      <w:r>
        <w:rPr>
          <w:rFonts w:hint="eastAsia" w:ascii="仿宋" w:hAnsi="仿宋" w:eastAsia="仿宋" w:cs="仿宋"/>
          <w:bCs w:val="0"/>
          <w:caps w:val="0"/>
          <w:szCs w:val="28"/>
        </w:rPr>
        <w:fldChar w:fldCharType="end"/>
      </w:r>
    </w:p>
    <w:p>
      <w:pPr>
        <w:pStyle w:val="18"/>
        <w:tabs>
          <w:tab w:val="right" w:leader="dot" w:pos="8306"/>
        </w:tabs>
      </w:pPr>
      <w:r>
        <w:rPr>
          <w:rFonts w:hint="eastAsia" w:ascii="仿宋" w:hAnsi="仿宋" w:eastAsia="仿宋" w:cs="仿宋"/>
          <w:bCs w:val="0"/>
          <w:caps w:val="0"/>
          <w:szCs w:val="28"/>
        </w:rPr>
        <w:fldChar w:fldCharType="begin"/>
      </w:r>
      <w:r>
        <w:rPr>
          <w:rFonts w:hint="eastAsia" w:ascii="仿宋" w:hAnsi="仿宋" w:eastAsia="仿宋" w:cs="仿宋"/>
          <w:bCs w:val="0"/>
          <w:caps w:val="0"/>
          <w:szCs w:val="28"/>
        </w:rPr>
        <w:instrText xml:space="preserve"> HYPERLINK \l _Toc23799 </w:instrText>
      </w:r>
      <w:r>
        <w:rPr>
          <w:rFonts w:hint="eastAsia" w:ascii="仿宋" w:hAnsi="仿宋" w:eastAsia="仿宋" w:cs="仿宋"/>
          <w:bCs w:val="0"/>
          <w:caps w:val="0"/>
          <w:szCs w:val="28"/>
        </w:rPr>
        <w:fldChar w:fldCharType="separate"/>
      </w:r>
      <w:r>
        <w:rPr>
          <w:rFonts w:hint="default" w:ascii="Times New Roman" w:hAnsi="Times New Roman" w:eastAsia="仿宋" w:cs="Times New Roman"/>
        </w:rPr>
        <w:t xml:space="preserve">3.4.3. </w:t>
      </w:r>
      <w:r>
        <w:rPr>
          <w:rFonts w:hint="eastAsia" w:eastAsia="仿宋" w:cs="仿宋"/>
        </w:rPr>
        <w:t>交付目的地要求</w:t>
      </w:r>
      <w:r>
        <w:tab/>
      </w:r>
      <w:r>
        <w:fldChar w:fldCharType="begin"/>
      </w:r>
      <w:r>
        <w:instrText xml:space="preserve"> PAGEREF _Toc23799 \h </w:instrText>
      </w:r>
      <w:r>
        <w:fldChar w:fldCharType="separate"/>
      </w:r>
      <w:r>
        <w:t>15</w:t>
      </w:r>
      <w:r>
        <w:fldChar w:fldCharType="end"/>
      </w:r>
      <w:r>
        <w:rPr>
          <w:rFonts w:hint="eastAsia" w:ascii="仿宋" w:hAnsi="仿宋" w:eastAsia="仿宋" w:cs="仿宋"/>
          <w:bCs w:val="0"/>
          <w:caps w:val="0"/>
          <w:szCs w:val="28"/>
        </w:rPr>
        <w:fldChar w:fldCharType="end"/>
      </w:r>
    </w:p>
    <w:p>
      <w:pPr>
        <w:pStyle w:val="25"/>
        <w:tabs>
          <w:tab w:val="right" w:leader="dot" w:pos="8306"/>
        </w:tabs>
      </w:pPr>
      <w:r>
        <w:rPr>
          <w:rFonts w:hint="eastAsia" w:ascii="仿宋" w:hAnsi="仿宋" w:eastAsia="仿宋" w:cs="仿宋"/>
          <w:bCs w:val="0"/>
          <w:caps w:val="0"/>
          <w:szCs w:val="28"/>
        </w:rPr>
        <w:fldChar w:fldCharType="begin"/>
      </w:r>
      <w:r>
        <w:rPr>
          <w:rFonts w:hint="eastAsia" w:ascii="仿宋" w:hAnsi="仿宋" w:eastAsia="仿宋" w:cs="仿宋"/>
          <w:bCs w:val="0"/>
          <w:caps w:val="0"/>
          <w:szCs w:val="28"/>
        </w:rPr>
        <w:instrText xml:space="preserve"> HYPERLINK \l _Toc27745 </w:instrText>
      </w:r>
      <w:r>
        <w:rPr>
          <w:rFonts w:hint="eastAsia" w:ascii="仿宋" w:hAnsi="仿宋" w:eastAsia="仿宋" w:cs="仿宋"/>
          <w:bCs w:val="0"/>
          <w:caps w:val="0"/>
          <w:szCs w:val="28"/>
        </w:rPr>
        <w:fldChar w:fldCharType="separate"/>
      </w:r>
      <w:r>
        <w:rPr>
          <w:rFonts w:hint="default" w:ascii="Times New Roman" w:hAnsi="Times New Roman" w:eastAsia="宋体" w:cs="仿宋"/>
          <w:bCs/>
          <w:i w:val="0"/>
          <w:spacing w:val="-12"/>
          <w:kern w:val="44"/>
          <w:szCs w:val="44"/>
        </w:rPr>
        <w:t xml:space="preserve">4. </w:t>
      </w:r>
      <w:r>
        <w:rPr>
          <w:rFonts w:hint="eastAsia" w:ascii="仿宋" w:hAnsi="仿宋" w:eastAsia="仿宋" w:cs="仿宋"/>
          <w:bCs/>
          <w:kern w:val="44"/>
          <w:szCs w:val="28"/>
        </w:rPr>
        <w:t>自主可控要求</w:t>
      </w:r>
      <w:r>
        <w:tab/>
      </w:r>
      <w:r>
        <w:fldChar w:fldCharType="begin"/>
      </w:r>
      <w:r>
        <w:instrText xml:space="preserve"> PAGEREF _Toc27745 \h </w:instrText>
      </w:r>
      <w:r>
        <w:fldChar w:fldCharType="separate"/>
      </w:r>
      <w:r>
        <w:t>15</w:t>
      </w:r>
      <w:r>
        <w:fldChar w:fldCharType="end"/>
      </w:r>
      <w:r>
        <w:rPr>
          <w:rFonts w:hint="eastAsia" w:ascii="仿宋" w:hAnsi="仿宋" w:eastAsia="仿宋" w:cs="仿宋"/>
          <w:bCs w:val="0"/>
          <w:caps w:val="0"/>
          <w:szCs w:val="28"/>
        </w:rPr>
        <w:fldChar w:fldCharType="end"/>
      </w:r>
    </w:p>
    <w:p>
      <w:pPr>
        <w:pStyle w:val="56"/>
        <w:tabs>
          <w:tab w:val="left" w:pos="420"/>
          <w:tab w:val="right" w:leader="dot" w:pos="8302"/>
        </w:tabs>
        <w:spacing w:before="0" w:after="0" w:line="240" w:lineRule="auto"/>
        <w:rPr>
          <w:rFonts w:ascii="仿宋" w:hAnsi="仿宋" w:eastAsia="仿宋" w:cs="仿宋"/>
          <w:sz w:val="28"/>
          <w:szCs w:val="28"/>
        </w:rPr>
      </w:pPr>
      <w:r>
        <w:rPr>
          <w:rFonts w:hint="eastAsia" w:ascii="仿宋" w:hAnsi="仿宋" w:eastAsia="仿宋" w:cs="仿宋"/>
          <w:bCs w:val="0"/>
          <w:caps w:val="0"/>
          <w:szCs w:val="28"/>
        </w:rPr>
        <w:fldChar w:fldCharType="end"/>
      </w:r>
    </w:p>
    <w:p>
      <w:pPr>
        <w:rPr>
          <w:rFonts w:ascii="仿宋" w:hAnsi="仿宋" w:eastAsia="仿宋" w:cs="仿宋"/>
          <w:sz w:val="24"/>
        </w:rPr>
        <w:sectPr>
          <w:footerReference r:id="rId3" w:type="default"/>
          <w:pgSz w:w="11906" w:h="16838"/>
          <w:pgMar w:top="1440" w:right="1800" w:bottom="1440" w:left="1800" w:header="851" w:footer="992" w:gutter="0"/>
          <w:pgNumType w:fmt="lowerRoman" w:start="1"/>
          <w:cols w:space="720" w:num="1"/>
          <w:docGrid w:type="lines" w:linePitch="312" w:charSpace="0"/>
        </w:sectPr>
      </w:pPr>
    </w:p>
    <w:p>
      <w:pPr>
        <w:pStyle w:val="4"/>
        <w:spacing w:before="0" w:after="0" w:line="240" w:lineRule="auto"/>
        <w:rPr>
          <w:rFonts w:ascii="仿宋" w:hAnsi="仿宋" w:eastAsia="仿宋" w:cs="仿宋"/>
        </w:rPr>
      </w:pPr>
      <w:bookmarkStart w:id="6" w:name="_Toc192340308"/>
      <w:bookmarkEnd w:id="6"/>
      <w:bookmarkStart w:id="7" w:name="_Toc192340307"/>
      <w:bookmarkEnd w:id="7"/>
      <w:bookmarkStart w:id="8" w:name="_Toc198288426"/>
      <w:bookmarkStart w:id="9" w:name="_Toc29595"/>
      <w:bookmarkStart w:id="10" w:name="_Toc31406"/>
      <w:bookmarkStart w:id="11" w:name="_Toc27819"/>
      <w:bookmarkStart w:id="12" w:name="_Toc932"/>
      <w:bookmarkStart w:id="13" w:name="_Toc14559"/>
      <w:bookmarkStart w:id="14" w:name="_Toc147371417"/>
      <w:r>
        <w:rPr>
          <w:rFonts w:hint="eastAsia" w:ascii="仿宋" w:hAnsi="仿宋" w:eastAsia="仿宋" w:cs="仿宋"/>
        </w:rPr>
        <w:t>总则</w:t>
      </w:r>
      <w:bookmarkEnd w:id="8"/>
      <w:bookmarkEnd w:id="9"/>
      <w:bookmarkEnd w:id="10"/>
      <w:bookmarkEnd w:id="11"/>
      <w:bookmarkEnd w:id="12"/>
      <w:bookmarkEnd w:id="13"/>
    </w:p>
    <w:p>
      <w:pPr>
        <w:pStyle w:val="5"/>
        <w:spacing w:line="240" w:lineRule="auto"/>
        <w:rPr>
          <w:rFonts w:ascii="仿宋" w:hAnsi="仿宋" w:eastAsia="仿宋" w:cs="仿宋"/>
        </w:rPr>
      </w:pPr>
      <w:bookmarkStart w:id="15" w:name="_Toc15301"/>
      <w:bookmarkStart w:id="16" w:name="_Toc16351"/>
      <w:bookmarkStart w:id="17" w:name="_Toc4455"/>
      <w:bookmarkStart w:id="18" w:name="_Toc12876"/>
      <w:bookmarkStart w:id="19" w:name="_Toc24155"/>
      <w:bookmarkStart w:id="20" w:name="_Toc270544309"/>
      <w:bookmarkStart w:id="21" w:name="_Toc296516184"/>
      <w:r>
        <w:rPr>
          <w:rFonts w:hint="eastAsia" w:ascii="仿宋" w:hAnsi="仿宋" w:eastAsia="仿宋" w:cs="仿宋"/>
        </w:rPr>
        <w:t>概述</w:t>
      </w:r>
      <w:bookmarkEnd w:id="15"/>
      <w:bookmarkEnd w:id="16"/>
      <w:bookmarkEnd w:id="17"/>
      <w:bookmarkEnd w:id="18"/>
      <w:bookmarkEnd w:id="19"/>
      <w:bookmarkEnd w:id="20"/>
      <w:bookmarkEnd w:id="21"/>
    </w:p>
    <w:p>
      <w:pPr>
        <w:pStyle w:val="13"/>
        <w:numPr>
          <w:ilvl w:val="0"/>
          <w:numId w:val="6"/>
        </w:numPr>
        <w:tabs>
          <w:tab w:val="left" w:pos="900"/>
        </w:tabs>
        <w:spacing w:line="240" w:lineRule="auto"/>
        <w:rPr>
          <w:rFonts w:ascii="仿宋" w:hAnsi="仿宋" w:eastAsia="仿宋" w:cs="仿宋"/>
          <w:sz w:val="28"/>
          <w:szCs w:val="28"/>
        </w:rPr>
      </w:pPr>
      <w:r>
        <w:rPr>
          <w:rFonts w:hint="eastAsia" w:ascii="仿宋" w:hAnsi="仿宋" w:eastAsia="仿宋" w:cs="仿宋"/>
          <w:sz w:val="28"/>
          <w:szCs w:val="28"/>
        </w:rPr>
        <w:t>本文件适用于南方电网数字电网集团信息通信科技有限公司（以下简称招标方）</w:t>
      </w:r>
      <w:r>
        <w:rPr>
          <w:rFonts w:hint="eastAsia" w:ascii="仿宋" w:hAnsi="仿宋" w:eastAsia="仿宋" w:cs="仿宋"/>
          <w:sz w:val="28"/>
          <w:szCs w:val="28"/>
          <w:u w:val="single"/>
          <w:lang w:eastAsia="zh-CN"/>
        </w:rPr>
        <w:t>2025年“天信”终端主机音</w:t>
      </w:r>
      <w:r>
        <w:rPr>
          <w:rFonts w:hint="eastAsia" w:ascii="仿宋" w:hAnsi="仿宋" w:eastAsia="仿宋" w:cs="仿宋"/>
          <w:sz w:val="28"/>
          <w:szCs w:val="28"/>
          <w:u w:val="single"/>
        </w:rPr>
        <w:t>频改造</w:t>
      </w:r>
      <w:r>
        <w:rPr>
          <w:rFonts w:hint="eastAsia" w:ascii="仿宋" w:hAnsi="仿宋" w:eastAsia="仿宋" w:cs="仿宋"/>
          <w:sz w:val="28"/>
          <w:szCs w:val="28"/>
        </w:rPr>
        <w:t>采购，本文件的最终解释权归南方电网数字电网集团信息通信科技有限公司。</w:t>
      </w:r>
    </w:p>
    <w:p>
      <w:pPr>
        <w:pStyle w:val="13"/>
        <w:numPr>
          <w:ilvl w:val="0"/>
          <w:numId w:val="6"/>
        </w:numPr>
        <w:tabs>
          <w:tab w:val="left" w:pos="900"/>
        </w:tabs>
        <w:spacing w:line="240" w:lineRule="auto"/>
        <w:rPr>
          <w:rFonts w:ascii="仿宋" w:hAnsi="仿宋" w:eastAsia="仿宋" w:cs="仿宋"/>
          <w:sz w:val="28"/>
          <w:szCs w:val="28"/>
        </w:rPr>
      </w:pPr>
      <w:r>
        <w:rPr>
          <w:rFonts w:hint="eastAsia" w:ascii="仿宋" w:hAnsi="仿宋" w:eastAsia="仿宋" w:cs="仿宋"/>
          <w:sz w:val="28"/>
          <w:szCs w:val="28"/>
        </w:rPr>
        <w:t>投标方可以就招标方认为的遗漏项目提请招标方注意，并详细说明理由。招标方将就此进行澄清。</w:t>
      </w:r>
    </w:p>
    <w:p>
      <w:pPr>
        <w:pStyle w:val="13"/>
        <w:numPr>
          <w:ilvl w:val="0"/>
          <w:numId w:val="6"/>
        </w:numPr>
        <w:tabs>
          <w:tab w:val="left" w:pos="900"/>
        </w:tabs>
        <w:spacing w:line="240" w:lineRule="auto"/>
        <w:rPr>
          <w:rFonts w:ascii="仿宋" w:hAnsi="仿宋" w:eastAsia="仿宋" w:cs="仿宋"/>
          <w:sz w:val="28"/>
          <w:szCs w:val="28"/>
        </w:rPr>
      </w:pPr>
      <w:r>
        <w:rPr>
          <w:rFonts w:hint="eastAsia" w:ascii="仿宋" w:hAnsi="仿宋" w:eastAsia="仿宋" w:cs="仿宋"/>
          <w:sz w:val="28"/>
          <w:szCs w:val="28"/>
        </w:rPr>
        <w:t>投标方应保证所提供的所有资料真实、完整、准确无误，否则招标方将有权取消投标方的投标资格，由此产生的一切后果由投标方承担。</w:t>
      </w:r>
    </w:p>
    <w:p>
      <w:pPr>
        <w:pStyle w:val="13"/>
        <w:numPr>
          <w:ilvl w:val="0"/>
          <w:numId w:val="6"/>
        </w:numPr>
        <w:tabs>
          <w:tab w:val="left" w:pos="900"/>
        </w:tabs>
        <w:spacing w:line="240" w:lineRule="auto"/>
        <w:rPr>
          <w:rFonts w:ascii="仿宋" w:hAnsi="仿宋" w:eastAsia="仿宋" w:cs="仿宋"/>
          <w:sz w:val="28"/>
          <w:szCs w:val="28"/>
        </w:rPr>
      </w:pPr>
      <w:r>
        <w:rPr>
          <w:rFonts w:hint="eastAsia" w:ascii="仿宋" w:hAnsi="仿宋" w:eastAsia="仿宋" w:cs="仿宋"/>
          <w:sz w:val="28"/>
          <w:szCs w:val="28"/>
        </w:rPr>
        <w:t>投标方未经招标方同意，不得以任何形式向第三方公开本技术规范书。</w:t>
      </w:r>
    </w:p>
    <w:p>
      <w:pPr>
        <w:pStyle w:val="13"/>
        <w:numPr>
          <w:ilvl w:val="0"/>
          <w:numId w:val="6"/>
        </w:numPr>
        <w:tabs>
          <w:tab w:val="left" w:pos="900"/>
        </w:tabs>
        <w:spacing w:line="240" w:lineRule="auto"/>
        <w:rPr>
          <w:rFonts w:ascii="仿宋" w:hAnsi="仿宋" w:eastAsia="仿宋" w:cs="仿宋"/>
          <w:sz w:val="28"/>
          <w:szCs w:val="28"/>
        </w:rPr>
      </w:pPr>
      <w:r>
        <w:rPr>
          <w:rFonts w:hint="eastAsia" w:ascii="仿宋" w:hAnsi="仿宋" w:eastAsia="仿宋" w:cs="仿宋"/>
          <w:sz w:val="28"/>
          <w:szCs w:val="28"/>
        </w:rPr>
        <w:t>本技术规范书解释权属招标方所有。</w:t>
      </w:r>
    </w:p>
    <w:p>
      <w:pPr>
        <w:pStyle w:val="5"/>
        <w:spacing w:line="240" w:lineRule="auto"/>
        <w:rPr>
          <w:rFonts w:eastAsia="仿宋"/>
          <w:sz w:val="30"/>
        </w:rPr>
      </w:pPr>
      <w:bookmarkStart w:id="22" w:name="_Toc285723380"/>
      <w:bookmarkStart w:id="23" w:name="_Toc105396785"/>
      <w:bookmarkStart w:id="24" w:name="_Toc286929894"/>
      <w:bookmarkStart w:id="25" w:name="_Toc23807"/>
      <w:bookmarkStart w:id="26" w:name="_Toc113682936"/>
      <w:bookmarkStart w:id="27" w:name="_Toc17719"/>
      <w:bookmarkStart w:id="28" w:name="_Toc23097"/>
      <w:bookmarkStart w:id="29" w:name="_Toc288466921"/>
      <w:bookmarkStart w:id="30" w:name="_Toc16614"/>
      <w:bookmarkStart w:id="31" w:name="_Toc17942"/>
      <w:bookmarkStart w:id="32" w:name="_Toc9112"/>
      <w:bookmarkStart w:id="33" w:name="_Toc296516186"/>
      <w:r>
        <w:rPr>
          <w:rFonts w:hint="eastAsia" w:eastAsia="仿宋"/>
          <w:sz w:val="30"/>
        </w:rPr>
        <w:t>对投标技术文件的要</w:t>
      </w:r>
      <w:bookmarkEnd w:id="22"/>
      <w:r>
        <w:rPr>
          <w:rFonts w:hint="eastAsia" w:eastAsia="仿宋"/>
          <w:sz w:val="30"/>
        </w:rPr>
        <w:t>求</w:t>
      </w:r>
      <w:bookmarkEnd w:id="23"/>
      <w:bookmarkEnd w:id="24"/>
      <w:bookmarkEnd w:id="25"/>
      <w:bookmarkEnd w:id="26"/>
      <w:bookmarkEnd w:id="27"/>
      <w:bookmarkEnd w:id="28"/>
      <w:bookmarkEnd w:id="29"/>
      <w:bookmarkEnd w:id="30"/>
      <w:bookmarkEnd w:id="31"/>
      <w:bookmarkEnd w:id="32"/>
      <w:bookmarkEnd w:id="33"/>
    </w:p>
    <w:p>
      <w:pPr>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投标技术文件必须包括但不限于以下内容：</w:t>
      </w:r>
    </w:p>
    <w:p>
      <w:pPr>
        <w:pStyle w:val="13"/>
        <w:numPr>
          <w:ilvl w:val="0"/>
          <w:numId w:val="7"/>
        </w:numPr>
        <w:tabs>
          <w:tab w:val="left" w:pos="900"/>
        </w:tabs>
        <w:spacing w:line="360" w:lineRule="auto"/>
        <w:rPr>
          <w:rFonts w:ascii="仿宋" w:hAnsi="仿宋" w:eastAsia="仿宋" w:cs="仿宋"/>
          <w:sz w:val="28"/>
          <w:szCs w:val="28"/>
        </w:rPr>
      </w:pPr>
      <w:r>
        <w:rPr>
          <w:rFonts w:hint="eastAsia" w:ascii="仿宋" w:hAnsi="仿宋" w:eastAsia="仿宋" w:cs="仿宋"/>
          <w:sz w:val="28"/>
          <w:szCs w:val="28"/>
        </w:rPr>
        <w:t>投标方必须具备充分的服务能力和技术能力，包括拥有相关专用设备、工具以及专业技术人员团队，以确保项目的顺利实施和高质量交付。</w:t>
      </w:r>
    </w:p>
    <w:p>
      <w:pPr>
        <w:pStyle w:val="13"/>
        <w:numPr>
          <w:ilvl w:val="0"/>
          <w:numId w:val="7"/>
        </w:numPr>
        <w:tabs>
          <w:tab w:val="left" w:pos="900"/>
        </w:tabs>
        <w:spacing w:line="360" w:lineRule="auto"/>
        <w:rPr>
          <w:rFonts w:ascii="仿宋" w:hAnsi="仿宋" w:eastAsia="仿宋" w:cs="仿宋"/>
          <w:sz w:val="28"/>
          <w:szCs w:val="28"/>
        </w:rPr>
      </w:pPr>
      <w:r>
        <w:rPr>
          <w:rFonts w:hint="eastAsia" w:ascii="仿宋" w:hAnsi="仿宋" w:eastAsia="仿宋" w:cs="仿宋"/>
          <w:sz w:val="28"/>
          <w:szCs w:val="28"/>
        </w:rPr>
        <w:t>在技术规范书中引用标准时，投标方应当使用合同生效的、最新的引用标准文本。未经招标方许可，不得用其他标准代替。若出现不适用的标准或未引用必要标准，投标方可在着手工作前选择适当标准，并需得到招标方的明确许可。在标准解释上若出现分歧，以招标方的解释为最终标准。</w:t>
      </w:r>
    </w:p>
    <w:p>
      <w:pPr>
        <w:pStyle w:val="13"/>
        <w:numPr>
          <w:ilvl w:val="0"/>
          <w:numId w:val="7"/>
        </w:numPr>
        <w:tabs>
          <w:tab w:val="left" w:pos="900"/>
        </w:tabs>
        <w:spacing w:line="360" w:lineRule="auto"/>
        <w:rPr>
          <w:rFonts w:ascii="仿宋" w:hAnsi="仿宋" w:eastAsia="仿宋" w:cs="仿宋"/>
          <w:sz w:val="28"/>
          <w:szCs w:val="28"/>
        </w:rPr>
      </w:pPr>
      <w:r>
        <w:rPr>
          <w:rFonts w:hint="eastAsia" w:ascii="仿宋" w:hAnsi="仿宋" w:eastAsia="仿宋" w:cs="仿宋"/>
          <w:sz w:val="28"/>
          <w:szCs w:val="28"/>
        </w:rPr>
        <w:t>本技术规范书为投标方编制项目建议书的依据，投标方如不能满足要求，应在技术建议书中详细说明。否则，招标方将认为投标方提供的产品可以满足技术规范书的要求。</w:t>
      </w:r>
    </w:p>
    <w:p>
      <w:pPr>
        <w:pStyle w:val="13"/>
        <w:numPr>
          <w:ilvl w:val="0"/>
          <w:numId w:val="7"/>
        </w:numPr>
        <w:tabs>
          <w:tab w:val="left" w:pos="900"/>
        </w:tabs>
        <w:spacing w:line="360" w:lineRule="auto"/>
        <w:rPr>
          <w:rFonts w:ascii="仿宋" w:hAnsi="仿宋" w:eastAsia="仿宋" w:cs="仿宋"/>
          <w:sz w:val="28"/>
          <w:szCs w:val="28"/>
        </w:rPr>
      </w:pPr>
      <w:r>
        <w:rPr>
          <w:rFonts w:hint="eastAsia" w:ascii="仿宋" w:hAnsi="仿宋" w:eastAsia="仿宋" w:cs="仿宋"/>
          <w:sz w:val="28"/>
          <w:szCs w:val="28"/>
        </w:rPr>
        <w:t>所有在招标文件范围内要求而被投标方遗漏的项目，都被认为是包含在本次投标范围内。投标方的报价被视为包含此遗漏项目的报价。</w:t>
      </w:r>
    </w:p>
    <w:p>
      <w:pPr>
        <w:pStyle w:val="13"/>
        <w:numPr>
          <w:ilvl w:val="0"/>
          <w:numId w:val="7"/>
        </w:numPr>
        <w:tabs>
          <w:tab w:val="left" w:pos="900"/>
        </w:tabs>
        <w:spacing w:line="360" w:lineRule="auto"/>
        <w:rPr>
          <w:rFonts w:ascii="仿宋" w:hAnsi="仿宋" w:eastAsia="仿宋" w:cs="仿宋"/>
          <w:sz w:val="28"/>
          <w:szCs w:val="28"/>
        </w:rPr>
      </w:pPr>
      <w:r>
        <w:rPr>
          <w:rFonts w:hint="eastAsia" w:ascii="仿宋" w:hAnsi="仿宋" w:eastAsia="仿宋" w:cs="仿宋"/>
          <w:sz w:val="28"/>
          <w:szCs w:val="28"/>
        </w:rPr>
        <w:t>如本技术规范书存在遗漏，投标方可提出补充并论述其必要性。任何因此而产生的费用应在报价中明确体现，否则，一旦中标，将被视为投标方对招标方补充部分免费提供。</w:t>
      </w:r>
    </w:p>
    <w:p>
      <w:pPr>
        <w:pStyle w:val="13"/>
        <w:numPr>
          <w:ilvl w:val="0"/>
          <w:numId w:val="7"/>
        </w:numPr>
        <w:tabs>
          <w:tab w:val="left" w:pos="900"/>
        </w:tabs>
        <w:spacing w:line="360" w:lineRule="auto"/>
        <w:rPr>
          <w:rFonts w:ascii="仿宋" w:hAnsi="仿宋" w:eastAsia="仿宋" w:cs="仿宋"/>
          <w:sz w:val="28"/>
          <w:szCs w:val="28"/>
        </w:rPr>
      </w:pPr>
      <w:r>
        <w:rPr>
          <w:rFonts w:hint="eastAsia" w:ascii="仿宋" w:hAnsi="仿宋" w:eastAsia="仿宋" w:cs="仿宋"/>
          <w:sz w:val="28"/>
          <w:szCs w:val="28"/>
        </w:rPr>
        <w:t>投标方有权提出对本技术规范书的修改意见供招标方参考，但招标方有权对技术规范书进行修改和补充。</w:t>
      </w:r>
    </w:p>
    <w:p>
      <w:pPr>
        <w:pStyle w:val="13"/>
        <w:numPr>
          <w:ilvl w:val="0"/>
          <w:numId w:val="7"/>
        </w:numPr>
        <w:tabs>
          <w:tab w:val="left" w:pos="900"/>
        </w:tabs>
        <w:spacing w:line="360" w:lineRule="auto"/>
        <w:rPr>
          <w:rFonts w:ascii="仿宋" w:hAnsi="仿宋" w:eastAsia="仿宋" w:cs="仿宋"/>
          <w:sz w:val="28"/>
          <w:szCs w:val="28"/>
        </w:rPr>
      </w:pPr>
      <w:r>
        <w:rPr>
          <w:rFonts w:hint="eastAsia" w:ascii="仿宋" w:hAnsi="仿宋" w:eastAsia="仿宋" w:cs="仿宋"/>
          <w:sz w:val="28"/>
          <w:szCs w:val="28"/>
        </w:rPr>
        <w:t>投标方必须推荐先进、稳定、可靠的备品备件产品，并保证在3年内不停产。</w:t>
      </w:r>
    </w:p>
    <w:p>
      <w:pPr>
        <w:pStyle w:val="13"/>
        <w:numPr>
          <w:ilvl w:val="0"/>
          <w:numId w:val="7"/>
        </w:numPr>
        <w:tabs>
          <w:tab w:val="left" w:pos="900"/>
        </w:tabs>
        <w:spacing w:line="360" w:lineRule="auto"/>
        <w:rPr>
          <w:rFonts w:ascii="仿宋" w:hAnsi="仿宋" w:eastAsia="仿宋" w:cs="仿宋"/>
          <w:sz w:val="28"/>
          <w:szCs w:val="28"/>
        </w:rPr>
      </w:pPr>
      <w:r>
        <w:rPr>
          <w:rFonts w:hint="eastAsia" w:ascii="仿宋" w:hAnsi="仿宋" w:eastAsia="仿宋" w:cs="仿宋"/>
          <w:sz w:val="28"/>
          <w:szCs w:val="28"/>
        </w:rPr>
        <w:t>投标方应积极配合并完成招标方提出的委托代工生产产品的配置、数量调整要求，以确保产品的顺利交付。</w:t>
      </w:r>
    </w:p>
    <w:p>
      <w:pPr>
        <w:pStyle w:val="13"/>
        <w:numPr>
          <w:ilvl w:val="0"/>
          <w:numId w:val="7"/>
        </w:numPr>
        <w:tabs>
          <w:tab w:val="left" w:pos="900"/>
        </w:tabs>
        <w:spacing w:line="360" w:lineRule="auto"/>
        <w:rPr>
          <w:rFonts w:ascii="仿宋" w:hAnsi="仿宋" w:eastAsia="仿宋" w:cs="仿宋"/>
          <w:sz w:val="28"/>
          <w:szCs w:val="28"/>
        </w:rPr>
      </w:pPr>
      <w:r>
        <w:rPr>
          <w:rFonts w:hint="eastAsia" w:ascii="仿宋" w:hAnsi="仿宋" w:eastAsia="仿宋" w:cs="仿宋"/>
          <w:sz w:val="28"/>
          <w:szCs w:val="28"/>
        </w:rPr>
        <w:t>投标方应按照合同规定，准时完成产品代工生产，并提供符合技术指标要求的产品。投标方负责产品的包装和运输，确保产品质量和性能符合要求。</w:t>
      </w:r>
    </w:p>
    <w:p>
      <w:pPr>
        <w:pStyle w:val="13"/>
        <w:numPr>
          <w:ilvl w:val="0"/>
          <w:numId w:val="7"/>
        </w:numPr>
        <w:tabs>
          <w:tab w:val="left" w:pos="900"/>
        </w:tabs>
        <w:spacing w:line="360" w:lineRule="auto"/>
        <w:rPr>
          <w:rFonts w:ascii="仿宋" w:hAnsi="仿宋" w:eastAsia="仿宋" w:cs="仿宋"/>
          <w:sz w:val="28"/>
          <w:szCs w:val="28"/>
        </w:rPr>
      </w:pPr>
      <w:r>
        <w:rPr>
          <w:rFonts w:hint="eastAsia" w:ascii="仿宋" w:hAnsi="仿宋" w:eastAsia="仿宋" w:cs="仿宋"/>
          <w:sz w:val="28"/>
          <w:szCs w:val="28"/>
        </w:rPr>
        <w:t>投标方应负责提供问题产品的售后服务，包括包退、包换、包修、备品备件和技术支持服务，同时考虑为客户提供相关的培训。在质保期内，如无法满足服务要求，招标方有权按相关规定扣除质保金。</w:t>
      </w:r>
    </w:p>
    <w:p>
      <w:pPr>
        <w:pStyle w:val="13"/>
        <w:numPr>
          <w:ilvl w:val="0"/>
          <w:numId w:val="7"/>
        </w:numPr>
        <w:tabs>
          <w:tab w:val="left" w:pos="900"/>
        </w:tabs>
        <w:spacing w:line="360" w:lineRule="auto"/>
        <w:rPr>
          <w:rFonts w:ascii="仿宋" w:hAnsi="仿宋" w:eastAsia="仿宋" w:cs="仿宋"/>
          <w:sz w:val="28"/>
          <w:szCs w:val="28"/>
        </w:rPr>
      </w:pPr>
      <w:r>
        <w:rPr>
          <w:rFonts w:hint="eastAsia" w:ascii="仿宋" w:hAnsi="仿宋" w:eastAsia="仿宋" w:cs="仿宋"/>
          <w:sz w:val="28"/>
          <w:szCs w:val="28"/>
        </w:rPr>
        <w:t>投标方需确保对于代工的产品，其生产不侵犯任何第三方的知识产权。同时，投标方需要提供知识产权的清晰归属和保护措施。</w:t>
      </w:r>
    </w:p>
    <w:p>
      <w:pPr>
        <w:pStyle w:val="13"/>
        <w:numPr>
          <w:ilvl w:val="0"/>
          <w:numId w:val="7"/>
        </w:numPr>
        <w:tabs>
          <w:tab w:val="left" w:pos="900"/>
        </w:tabs>
        <w:spacing w:line="360" w:lineRule="auto"/>
        <w:rPr>
          <w:rFonts w:ascii="仿宋" w:hAnsi="仿宋" w:eastAsia="仿宋" w:cs="仿宋"/>
          <w:sz w:val="28"/>
          <w:szCs w:val="28"/>
        </w:rPr>
      </w:pPr>
      <w:r>
        <w:rPr>
          <w:rFonts w:hint="eastAsia" w:ascii="仿宋" w:hAnsi="仿宋" w:eastAsia="仿宋" w:cs="仿宋"/>
          <w:sz w:val="28"/>
          <w:szCs w:val="28"/>
        </w:rPr>
        <w:t>提供供应链透明度，包括主要原材料来源、投标方评估、生产过程的环保与可持续性考虑等信息，以确保产品的可追溯性和符合相关法规标准。</w:t>
      </w:r>
    </w:p>
    <w:p>
      <w:pPr>
        <w:pStyle w:val="13"/>
        <w:numPr>
          <w:ilvl w:val="0"/>
          <w:numId w:val="7"/>
        </w:numPr>
        <w:tabs>
          <w:tab w:val="left" w:pos="900"/>
        </w:tabs>
        <w:spacing w:line="360" w:lineRule="auto"/>
        <w:rPr>
          <w:rFonts w:ascii="仿宋" w:hAnsi="仿宋" w:eastAsia="仿宋" w:cs="仿宋"/>
          <w:sz w:val="28"/>
          <w:szCs w:val="28"/>
        </w:rPr>
      </w:pPr>
      <w:r>
        <w:rPr>
          <w:rFonts w:hint="eastAsia" w:ascii="仿宋" w:hAnsi="仿宋" w:eastAsia="仿宋" w:cs="仿宋"/>
          <w:sz w:val="28"/>
          <w:szCs w:val="28"/>
        </w:rPr>
        <w:t>需要满足相关的绿色环保标准，包括符合废弃电子产品回收处理的法规要求、节能减排等方面的环保要求。</w:t>
      </w:r>
    </w:p>
    <w:p>
      <w:pPr>
        <w:pStyle w:val="5"/>
        <w:spacing w:line="240" w:lineRule="auto"/>
        <w:rPr>
          <w:rFonts w:eastAsia="仿宋"/>
          <w:sz w:val="30"/>
        </w:rPr>
      </w:pPr>
      <w:bookmarkStart w:id="34" w:name="_Toc14160"/>
      <w:bookmarkStart w:id="35" w:name="_Toc21352"/>
      <w:bookmarkStart w:id="36" w:name="_Toc24341"/>
      <w:bookmarkStart w:id="37" w:name="_Toc9831"/>
      <w:bookmarkStart w:id="38" w:name="_Toc11458"/>
      <w:bookmarkStart w:id="39" w:name="_Toc11991"/>
      <w:r>
        <w:rPr>
          <w:rFonts w:hint="eastAsia" w:eastAsia="仿宋"/>
          <w:sz w:val="30"/>
        </w:rPr>
        <w:t>投标文件的响应</w:t>
      </w:r>
      <w:bookmarkEnd w:id="34"/>
      <w:bookmarkEnd w:id="35"/>
      <w:bookmarkEnd w:id="36"/>
      <w:bookmarkEnd w:id="37"/>
      <w:bookmarkEnd w:id="38"/>
      <w:bookmarkEnd w:id="39"/>
    </w:p>
    <w:p>
      <w:pPr>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投标方的投标文件中，要求对本招标文件所提出各项要求进行逐条逐项答复、说明和解释。首先对实现或满足程度明确作出“</w:t>
      </w:r>
      <w:r>
        <w:rPr>
          <w:rFonts w:hint="eastAsia" w:ascii="仿宋" w:hAnsi="仿宋" w:eastAsia="仿宋" w:cs="仿宋"/>
          <w:b/>
          <w:sz w:val="28"/>
          <w:szCs w:val="28"/>
        </w:rPr>
        <w:t>完全满足”“部分满足”“不满足</w:t>
      </w:r>
      <w:r>
        <w:rPr>
          <w:rFonts w:hint="eastAsia" w:ascii="仿宋" w:hAnsi="仿宋" w:eastAsia="仿宋" w:cs="仿宋"/>
          <w:sz w:val="28"/>
          <w:szCs w:val="28"/>
        </w:rPr>
        <w:t>”等应答，不得使用“</w:t>
      </w:r>
      <w:r>
        <w:rPr>
          <w:rFonts w:hint="eastAsia" w:ascii="仿宋" w:hAnsi="仿宋" w:eastAsia="仿宋" w:cs="仿宋"/>
          <w:b/>
          <w:sz w:val="28"/>
          <w:szCs w:val="28"/>
        </w:rPr>
        <w:t>明白”“理解</w:t>
      </w:r>
      <w:r>
        <w:rPr>
          <w:rFonts w:hint="eastAsia" w:ascii="仿宋" w:hAnsi="仿宋" w:eastAsia="仿宋" w:cs="仿宋"/>
          <w:sz w:val="28"/>
          <w:szCs w:val="28"/>
        </w:rPr>
        <w:t>”等词语。凡采用“</w:t>
      </w:r>
      <w:r>
        <w:rPr>
          <w:rFonts w:hint="eastAsia" w:ascii="仿宋" w:hAnsi="仿宋" w:eastAsia="仿宋" w:cs="仿宋"/>
          <w:b/>
          <w:sz w:val="28"/>
          <w:szCs w:val="28"/>
        </w:rPr>
        <w:t>部分满足</w:t>
      </w:r>
      <w:r>
        <w:rPr>
          <w:rFonts w:hint="eastAsia" w:ascii="仿宋" w:hAnsi="仿宋" w:eastAsia="仿宋" w:cs="仿宋"/>
          <w:sz w:val="28"/>
          <w:szCs w:val="28"/>
        </w:rPr>
        <w:t>”应答的，应详细说明哪部分满足或不满足。</w:t>
      </w:r>
    </w:p>
    <w:p>
      <w:pPr>
        <w:pStyle w:val="4"/>
        <w:spacing w:before="0" w:after="0" w:line="240" w:lineRule="auto"/>
        <w:rPr>
          <w:rFonts w:ascii="仿宋" w:hAnsi="仿宋" w:eastAsia="仿宋" w:cs="仿宋"/>
        </w:rPr>
      </w:pPr>
      <w:bookmarkStart w:id="40" w:name="_Toc31297"/>
      <w:bookmarkStart w:id="41" w:name="_Toc357"/>
      <w:bookmarkStart w:id="42" w:name="_Toc14131"/>
      <w:bookmarkStart w:id="43" w:name="_Toc13649"/>
      <w:bookmarkStart w:id="44" w:name="_Toc26751"/>
      <w:bookmarkStart w:id="45" w:name="_Toc270544311"/>
      <w:r>
        <w:rPr>
          <w:rFonts w:hint="eastAsia" w:ascii="仿宋" w:hAnsi="仿宋" w:eastAsia="仿宋" w:cs="仿宋"/>
        </w:rPr>
        <w:t>项目内容</w:t>
      </w:r>
      <w:bookmarkEnd w:id="40"/>
      <w:bookmarkEnd w:id="41"/>
      <w:bookmarkEnd w:id="42"/>
      <w:bookmarkEnd w:id="43"/>
      <w:bookmarkEnd w:id="44"/>
    </w:p>
    <w:bookmarkEnd w:id="45"/>
    <w:p>
      <w:pPr>
        <w:pStyle w:val="5"/>
        <w:spacing w:line="240" w:lineRule="auto"/>
        <w:rPr>
          <w:rFonts w:ascii="仿宋" w:hAnsi="仿宋" w:eastAsia="仿宋" w:cs="仿宋"/>
        </w:rPr>
      </w:pPr>
      <w:bookmarkStart w:id="46" w:name="_Toc24647"/>
      <w:bookmarkStart w:id="47" w:name="_Toc1742"/>
      <w:bookmarkStart w:id="48" w:name="_Toc7336"/>
      <w:bookmarkStart w:id="49" w:name="_Toc23863"/>
      <w:bookmarkStart w:id="50" w:name="_Toc6736"/>
      <w:r>
        <w:rPr>
          <w:rFonts w:hint="eastAsia" w:ascii="仿宋" w:hAnsi="仿宋" w:eastAsia="仿宋" w:cs="仿宋"/>
        </w:rPr>
        <w:t>项目目标</w:t>
      </w:r>
      <w:bookmarkEnd w:id="46"/>
      <w:bookmarkEnd w:id="47"/>
      <w:bookmarkEnd w:id="48"/>
      <w:bookmarkEnd w:id="49"/>
      <w:bookmarkEnd w:id="50"/>
    </w:p>
    <w:p>
      <w:pPr>
        <w:ind w:firstLine="560" w:firstLineChars="200"/>
        <w:rPr>
          <w:rFonts w:ascii="仿宋" w:hAnsi="仿宋" w:eastAsia="仿宋" w:cs="仿宋"/>
          <w:sz w:val="28"/>
          <w:szCs w:val="28"/>
        </w:rPr>
      </w:pPr>
      <w:bookmarkStart w:id="51" w:name="_Toc15711"/>
      <w:bookmarkStart w:id="52" w:name="_Toc2457"/>
      <w:bookmarkStart w:id="53" w:name="_Toc27871"/>
      <w:bookmarkStart w:id="54" w:name="_Toc23387"/>
      <w:bookmarkStart w:id="55" w:name="_Toc17913"/>
      <w:bookmarkStart w:id="56" w:name="_Toc6342"/>
      <w:r>
        <w:rPr>
          <w:rFonts w:hint="eastAsia" w:ascii="仿宋" w:hAnsi="仿宋" w:eastAsia="仿宋" w:cs="仿宋"/>
          <w:sz w:val="28"/>
          <w:szCs w:val="28"/>
        </w:rPr>
        <w:t>“天信”是南网数字集团信通公司倾力打造的自主可控品牌，</w:t>
      </w:r>
      <w:r>
        <w:rPr>
          <w:rFonts w:hint="eastAsia" w:ascii="仿宋" w:hAnsi="仿宋" w:eastAsia="仿宋" w:cs="仿宋"/>
          <w:sz w:val="28"/>
          <w:szCs w:val="28"/>
          <w:lang w:eastAsia="zh-CN"/>
        </w:rPr>
        <w:t>本次项目旨在为</w:t>
      </w:r>
      <w:r>
        <w:rPr>
          <w:rFonts w:hint="eastAsia" w:ascii="仿宋" w:hAnsi="仿宋" w:eastAsia="仿宋" w:cs="仿宋"/>
          <w:sz w:val="28"/>
          <w:szCs w:val="28"/>
          <w:lang w:val="en-US" w:eastAsia="zh-CN"/>
        </w:rPr>
        <w:t>958台台式终端主机进行音频改造工作，报价内容包含配件（LOGO标签958个、内置扬声器958个）采买、物流运输、音频改造、组装包装、售后服务等</w:t>
      </w:r>
      <w:r>
        <w:rPr>
          <w:rFonts w:ascii="仿宋" w:hAnsi="仿宋" w:eastAsia="仿宋" w:cs="仿宋"/>
          <w:sz w:val="28"/>
          <w:szCs w:val="28"/>
        </w:rPr>
        <w:t>。</w:t>
      </w:r>
    </w:p>
    <w:p>
      <w:pPr>
        <w:pStyle w:val="5"/>
        <w:spacing w:line="240" w:lineRule="auto"/>
        <w:rPr>
          <w:rFonts w:ascii="仿宋" w:hAnsi="仿宋" w:eastAsia="仿宋" w:cs="仿宋"/>
        </w:rPr>
      </w:pPr>
      <w:bookmarkStart w:id="57" w:name="_Toc16708"/>
      <w:r>
        <w:rPr>
          <w:rFonts w:hint="eastAsia" w:ascii="仿宋" w:hAnsi="仿宋" w:eastAsia="仿宋" w:cs="仿宋"/>
        </w:rPr>
        <w:t>应遵循的标准</w:t>
      </w:r>
      <w:bookmarkEnd w:id="51"/>
      <w:bookmarkEnd w:id="52"/>
      <w:bookmarkEnd w:id="53"/>
      <w:bookmarkEnd w:id="54"/>
      <w:bookmarkEnd w:id="55"/>
      <w:bookmarkEnd w:id="56"/>
      <w:bookmarkEnd w:id="57"/>
    </w:p>
    <w:p>
      <w:pPr>
        <w:pStyle w:val="13"/>
        <w:tabs>
          <w:tab w:val="left" w:pos="640"/>
        </w:tabs>
        <w:spacing w:line="240" w:lineRule="auto"/>
        <w:ind w:firstLine="560" w:firstLineChars="200"/>
        <w:rPr>
          <w:rFonts w:ascii="仿宋" w:hAnsi="仿宋" w:eastAsia="仿宋" w:cs="仿宋"/>
          <w:sz w:val="28"/>
          <w:szCs w:val="28"/>
        </w:rPr>
      </w:pPr>
      <w:r>
        <w:rPr>
          <w:rFonts w:hint="eastAsia" w:ascii="仿宋" w:hAnsi="仿宋" w:eastAsia="仿宋" w:cs="仿宋"/>
          <w:sz w:val="28"/>
          <w:szCs w:val="28"/>
        </w:rPr>
        <w:t>除本技术规范书特殊规定外，投标方所提供的设备及服务均按规定的标准和规程的最新版本进行设计、制造、试验和安装。投标方需承担产品加工技术服务责任，包括但不限于产品部件与成品的来料检测、组装生产、系统测试、老化测试等各项服务。如果这些标准内容有矛盾时，应按技术要求最高的条款执行或按双方商定的标准执行。如果投标方选用本技术规范书规定以外的标准时，则需提交这种替换标准供审查和分析。仅在投标方已证明替换标准相当或优于技术规范书规定的标准，并从招标方处获得书面的认可才能使用。提交供审查的标准应为中文版本。</w:t>
      </w:r>
    </w:p>
    <w:p>
      <w:pPr>
        <w:ind w:firstLine="560" w:firstLineChars="200"/>
        <w:rPr>
          <w:rFonts w:ascii="仿宋" w:hAnsi="仿宋" w:eastAsia="仿宋" w:cs="仿宋"/>
          <w:sz w:val="28"/>
          <w:szCs w:val="28"/>
        </w:rPr>
      </w:pPr>
      <w:r>
        <w:rPr>
          <w:rFonts w:hint="eastAsia" w:ascii="仿宋" w:hAnsi="仿宋" w:eastAsia="仿宋" w:cs="仿宋"/>
          <w:sz w:val="28"/>
          <w:szCs w:val="28"/>
        </w:rPr>
        <w:t>下列文件对于本技术规范书的应用是必不可少。凡是注日期的引用文件，仅注日期的版本适用于本技术规范书。凡是不注日期的引用文件，其最新版本（包括所有的修改单）适用于本技术规范书：</w:t>
      </w:r>
    </w:p>
    <w:p>
      <w:pPr>
        <w:ind w:firstLine="560" w:firstLineChars="200"/>
        <w:rPr>
          <w:rFonts w:ascii="仿宋" w:hAnsi="仿宋" w:eastAsia="仿宋" w:cs="仿宋"/>
          <w:sz w:val="28"/>
          <w:szCs w:val="28"/>
        </w:rPr>
      </w:pPr>
      <w:r>
        <w:rPr>
          <w:rFonts w:hint="eastAsia" w:ascii="仿宋" w:hAnsi="仿宋" w:eastAsia="仿宋" w:cs="仿宋"/>
          <w:sz w:val="28"/>
          <w:szCs w:val="28"/>
        </w:rPr>
        <w:t>GB 17625.1-2022电磁兼容限值第1部分：谐波电流发射限值（设备每相输入电流≤16A）</w:t>
      </w:r>
    </w:p>
    <w:p>
      <w:pPr>
        <w:ind w:firstLine="560" w:firstLineChars="200"/>
        <w:rPr>
          <w:rFonts w:ascii="仿宋" w:hAnsi="仿宋" w:eastAsia="仿宋" w:cs="仿宋"/>
          <w:sz w:val="28"/>
          <w:szCs w:val="28"/>
        </w:rPr>
      </w:pPr>
      <w:r>
        <w:rPr>
          <w:rFonts w:hint="eastAsia" w:ascii="仿宋" w:hAnsi="仿宋" w:eastAsia="仿宋" w:cs="仿宋"/>
          <w:sz w:val="28"/>
          <w:szCs w:val="28"/>
        </w:rPr>
        <w:t>GB 4943.1-2022音视频、信息技术和通信技术设备第1部分：安全要求</w:t>
      </w:r>
    </w:p>
    <w:p>
      <w:pPr>
        <w:ind w:firstLine="560" w:firstLineChars="200"/>
        <w:rPr>
          <w:rFonts w:ascii="仿宋" w:hAnsi="仿宋" w:eastAsia="仿宋" w:cs="仿宋"/>
          <w:sz w:val="28"/>
          <w:szCs w:val="28"/>
        </w:rPr>
      </w:pPr>
      <w:r>
        <w:rPr>
          <w:rFonts w:hint="eastAsia" w:ascii="仿宋" w:hAnsi="仿宋" w:eastAsia="仿宋" w:cs="仿宋"/>
          <w:sz w:val="28"/>
          <w:szCs w:val="28"/>
        </w:rPr>
        <w:t>GB∕T9254.1-2021信息技术设备、多媒体设备和接收机电磁兼容第1部分发射要求</w:t>
      </w:r>
    </w:p>
    <w:bookmarkEnd w:id="14"/>
    <w:p>
      <w:pPr>
        <w:pStyle w:val="5"/>
        <w:spacing w:line="240" w:lineRule="auto"/>
        <w:rPr>
          <w:rFonts w:ascii="仿宋" w:hAnsi="仿宋" w:eastAsia="仿宋" w:cs="仿宋"/>
        </w:rPr>
      </w:pPr>
      <w:bookmarkStart w:id="58" w:name="_Toc24705"/>
      <w:bookmarkStart w:id="59" w:name="_Toc22630"/>
      <w:bookmarkStart w:id="60" w:name="_Toc28679"/>
      <w:bookmarkStart w:id="61" w:name="_Toc1688"/>
      <w:bookmarkStart w:id="62" w:name="_Toc934"/>
      <w:bookmarkStart w:id="63" w:name="_Toc198288469"/>
      <w:bookmarkStart w:id="64" w:name="_Toc197719624"/>
      <w:r>
        <w:rPr>
          <w:rFonts w:hint="eastAsia" w:ascii="仿宋" w:hAnsi="仿宋" w:eastAsia="仿宋" w:cs="仿宋"/>
        </w:rPr>
        <w:t>产品技术指标要求</w:t>
      </w:r>
      <w:bookmarkEnd w:id="58"/>
      <w:bookmarkEnd w:id="59"/>
      <w:bookmarkEnd w:id="60"/>
      <w:bookmarkEnd w:id="61"/>
    </w:p>
    <w:bookmarkEnd w:id="62"/>
    <w:p>
      <w:pPr>
        <w:pStyle w:val="13"/>
        <w:numPr>
          <w:ilvl w:val="0"/>
          <w:numId w:val="8"/>
        </w:numPr>
        <w:tabs>
          <w:tab w:val="left" w:pos="900"/>
        </w:tabs>
        <w:spacing w:line="240" w:lineRule="auto"/>
        <w:rPr>
          <w:rFonts w:ascii="仿宋" w:hAnsi="仿宋" w:eastAsia="仿宋" w:cs="仿宋"/>
          <w:sz w:val="28"/>
          <w:szCs w:val="28"/>
        </w:rPr>
      </w:pPr>
      <w:r>
        <w:rPr>
          <w:rFonts w:hint="eastAsia" w:ascii="仿宋" w:hAnsi="仿宋" w:eastAsia="仿宋" w:cs="仿宋"/>
          <w:sz w:val="28"/>
          <w:szCs w:val="28"/>
        </w:rPr>
        <w:t>投标方投标的设备里面不得配置有美光公司产品，如投标设备里面包含有美光公司任一产品，都视为无效投标。</w:t>
      </w:r>
    </w:p>
    <w:p>
      <w:pPr>
        <w:pStyle w:val="13"/>
        <w:numPr>
          <w:ilvl w:val="0"/>
          <w:numId w:val="8"/>
        </w:numPr>
        <w:tabs>
          <w:tab w:val="left" w:pos="900"/>
        </w:tabs>
        <w:spacing w:line="240" w:lineRule="auto"/>
        <w:rPr>
          <w:rFonts w:ascii="仿宋" w:hAnsi="仿宋" w:eastAsia="仿宋" w:cs="仿宋"/>
          <w:sz w:val="28"/>
          <w:szCs w:val="28"/>
        </w:rPr>
      </w:pPr>
      <w:r>
        <w:rPr>
          <w:rFonts w:hint="eastAsia" w:ascii="仿宋" w:hAnsi="仿宋" w:eastAsia="仿宋" w:cs="仿宋"/>
          <w:sz w:val="28"/>
          <w:szCs w:val="28"/>
        </w:rPr>
        <w:t>中标方应按本规范书的要求提供全新的、合格的设备，设备需符合自主可控要求。</w:t>
      </w:r>
    </w:p>
    <w:p>
      <w:pPr>
        <w:pStyle w:val="13"/>
        <w:numPr>
          <w:ilvl w:val="0"/>
          <w:numId w:val="8"/>
        </w:numPr>
        <w:tabs>
          <w:tab w:val="left" w:pos="900"/>
        </w:tabs>
        <w:spacing w:line="240" w:lineRule="auto"/>
        <w:rPr>
          <w:rFonts w:ascii="仿宋" w:hAnsi="仿宋" w:eastAsia="仿宋" w:cs="仿宋"/>
          <w:b/>
          <w:bCs/>
          <w:sz w:val="32"/>
          <w:szCs w:val="32"/>
        </w:rPr>
      </w:pPr>
      <w:r>
        <w:rPr>
          <w:rFonts w:hint="eastAsia" w:ascii="仿宋" w:hAnsi="仿宋" w:eastAsia="仿宋" w:cs="仿宋"/>
          <w:sz w:val="28"/>
          <w:szCs w:val="28"/>
        </w:rPr>
        <w:t>中标方应对零部件质量、加工质量、整机质量、出厂测试结果负责。在后续整机调试和运行期间，如发现由于中标方所提供的零部件质量、加工质量、整机质量不合格，出厂测试结果与实际运行结构不符等原因造成的损失由中标方完全负责。</w:t>
      </w:r>
      <w:bookmarkStart w:id="65" w:name="_Toc6143"/>
      <w:bookmarkStart w:id="66" w:name="_Toc11574"/>
      <w:bookmarkStart w:id="67" w:name="_Toc27113"/>
      <w:bookmarkStart w:id="68" w:name="_Toc19732"/>
      <w:bookmarkStart w:id="69" w:name="_Toc27944"/>
      <w:bookmarkStart w:id="70" w:name="_Toc7850"/>
      <w:bookmarkStart w:id="71" w:name="_Toc28250"/>
      <w:bookmarkStart w:id="72" w:name="_Toc1386"/>
    </w:p>
    <w:tbl>
      <w:tblPr>
        <w:tblStyle w:val="3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6"/>
        <w:gridCol w:w="1122"/>
        <w:gridCol w:w="6054"/>
        <w:gridCol w:w="10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trPr>
        <w:tc>
          <w:tcPr>
            <w:tcW w:w="288" w:type="pct"/>
            <w:shd w:val="clear" w:color="auto" w:fill="auto"/>
            <w:noWrap/>
            <w:vAlign w:val="center"/>
          </w:tcPr>
          <w:p>
            <w:pPr>
              <w:widowControl/>
              <w:jc w:val="center"/>
              <w:rPr>
                <w:rFonts w:ascii="仿宋" w:hAnsi="仿宋" w:eastAsia="仿宋" w:cs="宋体"/>
                <w:b/>
                <w:bCs/>
                <w:color w:val="000000"/>
                <w:kern w:val="0"/>
                <w:szCs w:val="21"/>
              </w:rPr>
            </w:pPr>
            <w:r>
              <w:rPr>
                <w:rFonts w:hint="eastAsia" w:ascii="仿宋" w:hAnsi="仿宋" w:eastAsia="仿宋" w:cs="宋体"/>
                <w:b/>
                <w:bCs/>
                <w:color w:val="000000"/>
                <w:kern w:val="0"/>
                <w:szCs w:val="21"/>
              </w:rPr>
              <w:t>序号</w:t>
            </w:r>
          </w:p>
        </w:tc>
        <w:tc>
          <w:tcPr>
            <w:tcW w:w="640" w:type="pct"/>
            <w:shd w:val="clear" w:color="auto" w:fill="auto"/>
            <w:noWrap/>
            <w:vAlign w:val="center"/>
          </w:tcPr>
          <w:p>
            <w:pPr>
              <w:widowControl/>
              <w:jc w:val="center"/>
              <w:rPr>
                <w:rFonts w:ascii="仿宋" w:hAnsi="仿宋" w:eastAsia="仿宋" w:cs="宋体"/>
                <w:b/>
                <w:bCs/>
                <w:color w:val="000000"/>
                <w:kern w:val="0"/>
                <w:szCs w:val="21"/>
              </w:rPr>
            </w:pPr>
            <w:r>
              <w:rPr>
                <w:rFonts w:hint="eastAsia" w:ascii="仿宋" w:hAnsi="仿宋" w:eastAsia="仿宋" w:cs="宋体"/>
                <w:b/>
                <w:bCs/>
                <w:color w:val="000000"/>
                <w:kern w:val="0"/>
                <w:szCs w:val="21"/>
              </w:rPr>
              <w:t>指标项</w:t>
            </w:r>
          </w:p>
        </w:tc>
        <w:tc>
          <w:tcPr>
            <w:tcW w:w="3453" w:type="pct"/>
            <w:shd w:val="clear" w:color="auto" w:fill="auto"/>
            <w:noWrap/>
            <w:vAlign w:val="center"/>
          </w:tcPr>
          <w:p>
            <w:pPr>
              <w:widowControl/>
              <w:jc w:val="center"/>
              <w:rPr>
                <w:rFonts w:ascii="仿宋" w:hAnsi="仿宋" w:eastAsia="仿宋" w:cs="宋体"/>
                <w:b/>
                <w:bCs/>
                <w:color w:val="000000"/>
                <w:kern w:val="0"/>
                <w:szCs w:val="21"/>
              </w:rPr>
            </w:pPr>
            <w:r>
              <w:rPr>
                <w:rFonts w:hint="eastAsia" w:ascii="仿宋" w:hAnsi="仿宋" w:eastAsia="仿宋" w:cs="宋体"/>
                <w:b/>
                <w:bCs/>
                <w:color w:val="000000"/>
                <w:kern w:val="0"/>
                <w:szCs w:val="21"/>
              </w:rPr>
              <w:t>指标要求</w:t>
            </w:r>
          </w:p>
        </w:tc>
        <w:tc>
          <w:tcPr>
            <w:tcW w:w="617" w:type="pct"/>
            <w:shd w:val="clear" w:color="auto" w:fill="auto"/>
            <w:noWrap/>
            <w:vAlign w:val="center"/>
          </w:tcPr>
          <w:p>
            <w:pPr>
              <w:widowControl/>
              <w:jc w:val="center"/>
              <w:rPr>
                <w:rFonts w:hint="eastAsia" w:ascii="仿宋" w:hAnsi="仿宋" w:eastAsia="仿宋" w:cs="宋体"/>
                <w:b/>
                <w:bCs/>
                <w:color w:val="000000"/>
                <w:kern w:val="0"/>
                <w:szCs w:val="21"/>
                <w:lang w:eastAsia="zh-CN"/>
              </w:rPr>
            </w:pPr>
            <w:r>
              <w:rPr>
                <w:rFonts w:hint="eastAsia" w:ascii="仿宋" w:hAnsi="仿宋" w:eastAsia="仿宋" w:cs="宋体"/>
                <w:b/>
                <w:bCs/>
                <w:color w:val="000000"/>
                <w:kern w:val="0"/>
                <w:szCs w:val="21"/>
                <w:lang w:eastAsia="zh-CN"/>
              </w:rPr>
              <w:t>供货数量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288" w:type="pct"/>
            <w:vMerge w:val="restart"/>
            <w:shd w:val="clear" w:color="auto" w:fill="auto"/>
            <w:noWrap/>
            <w:vAlign w:val="center"/>
          </w:tcPr>
          <w:p>
            <w:pPr>
              <w:widowControl/>
              <w:jc w:val="center"/>
              <w:rPr>
                <w:rFonts w:ascii="仿宋" w:hAnsi="仿宋" w:eastAsia="仿宋" w:cs="宋体"/>
                <w:color w:val="000000"/>
                <w:kern w:val="0"/>
                <w:szCs w:val="21"/>
              </w:rPr>
            </w:pPr>
            <w:r>
              <w:rPr>
                <w:rFonts w:hint="eastAsia" w:ascii="仿宋" w:hAnsi="仿宋" w:eastAsia="仿宋" w:cs="宋体"/>
                <w:color w:val="000000"/>
                <w:kern w:val="0"/>
                <w:szCs w:val="21"/>
              </w:rPr>
              <w:t>1</w:t>
            </w:r>
          </w:p>
        </w:tc>
        <w:tc>
          <w:tcPr>
            <w:tcW w:w="640" w:type="pct"/>
            <w:vMerge w:val="restart"/>
            <w:shd w:val="clear" w:color="auto" w:fill="auto"/>
            <w:noWrap/>
            <w:vAlign w:val="center"/>
          </w:tcPr>
          <w:p>
            <w:pPr>
              <w:widowControl/>
              <w:jc w:val="center"/>
              <w:rPr>
                <w:rFonts w:ascii="仿宋" w:hAnsi="仿宋" w:eastAsia="仿宋" w:cs="Courier New"/>
                <w:color w:val="000000"/>
                <w:kern w:val="0"/>
                <w:szCs w:val="21"/>
              </w:rPr>
            </w:pPr>
            <w:r>
              <w:rPr>
                <w:rFonts w:hint="eastAsia" w:ascii="仿宋" w:hAnsi="仿宋" w:eastAsia="仿宋" w:cs="Courier New"/>
                <w:color w:val="000000"/>
                <w:kern w:val="0"/>
                <w:szCs w:val="21"/>
              </w:rPr>
              <w:t>LOGO标签定制</w:t>
            </w:r>
          </w:p>
        </w:tc>
        <w:tc>
          <w:tcPr>
            <w:tcW w:w="3453" w:type="pct"/>
            <w:shd w:val="clear" w:color="auto" w:fill="auto"/>
            <w:noWrap/>
            <w:vAlign w:val="center"/>
          </w:tcPr>
          <w:p>
            <w:pPr>
              <w:pStyle w:val="112"/>
              <w:widowControl/>
              <w:numPr>
                <w:ilvl w:val="0"/>
                <w:numId w:val="9"/>
              </w:numPr>
              <w:ind w:left="0" w:leftChars="0" w:firstLineChars="0"/>
              <w:rPr>
                <w:rFonts w:hint="eastAsia" w:ascii="仿宋" w:hAnsi="仿宋" w:eastAsia="仿宋" w:cs="Courier New"/>
                <w:color w:val="000000"/>
                <w:kern w:val="0"/>
                <w:szCs w:val="21"/>
              </w:rPr>
            </w:pPr>
            <w:r>
              <w:rPr>
                <w:rFonts w:hint="eastAsia" w:ascii="仿宋" w:hAnsi="仿宋" w:eastAsia="仿宋" w:cs="Courier New"/>
                <w:color w:val="000000"/>
                <w:kern w:val="0"/>
                <w:szCs w:val="21"/>
              </w:rPr>
              <w:t>技术要求:</w:t>
            </w:r>
          </w:p>
          <w:p>
            <w:pPr>
              <w:pStyle w:val="112"/>
              <w:widowControl/>
              <w:numPr>
                <w:ilvl w:val="0"/>
                <w:numId w:val="9"/>
              </w:numPr>
              <w:ind w:left="0" w:leftChars="0" w:firstLineChars="0"/>
              <w:rPr>
                <w:rFonts w:hint="eastAsia" w:ascii="仿宋" w:hAnsi="仿宋" w:eastAsia="仿宋" w:cs="Courier New"/>
                <w:color w:val="000000"/>
                <w:kern w:val="0"/>
                <w:szCs w:val="21"/>
              </w:rPr>
            </w:pPr>
            <w:r>
              <w:rPr>
                <w:rFonts w:hint="eastAsia" w:ascii="仿宋" w:hAnsi="仿宋" w:eastAsia="仿宋" w:cs="Courier New"/>
                <w:color w:val="000000"/>
                <w:kern w:val="0"/>
                <w:szCs w:val="21"/>
              </w:rPr>
              <w:t>材质:1070# 0态软铝;</w:t>
            </w:r>
          </w:p>
          <w:p>
            <w:pPr>
              <w:pStyle w:val="112"/>
              <w:widowControl/>
              <w:numPr>
                <w:ilvl w:val="0"/>
                <w:numId w:val="9"/>
              </w:numPr>
              <w:ind w:left="0" w:leftChars="0" w:firstLineChars="0"/>
              <w:rPr>
                <w:rFonts w:hint="eastAsia" w:ascii="仿宋" w:hAnsi="仿宋" w:eastAsia="仿宋" w:cs="Courier New"/>
                <w:color w:val="000000"/>
                <w:kern w:val="0"/>
                <w:szCs w:val="21"/>
              </w:rPr>
            </w:pPr>
            <w:r>
              <w:rPr>
                <w:rFonts w:hint="eastAsia" w:ascii="仿宋" w:hAnsi="仿宋" w:eastAsia="仿宋" w:cs="Courier New"/>
                <w:color w:val="000000"/>
                <w:kern w:val="0"/>
                <w:szCs w:val="21"/>
              </w:rPr>
              <w:t>后处理:喷砂150#玻璃砂+黑色C,从左上到右下斜45度刻花;</w:t>
            </w:r>
          </w:p>
          <w:p>
            <w:pPr>
              <w:pStyle w:val="112"/>
              <w:widowControl/>
              <w:numPr>
                <w:ilvl w:val="0"/>
                <w:numId w:val="9"/>
              </w:numPr>
              <w:ind w:left="0" w:leftChars="0" w:firstLineChars="0"/>
              <w:rPr>
                <w:rFonts w:hint="eastAsia" w:ascii="仿宋" w:hAnsi="仿宋" w:eastAsia="仿宋" w:cs="Courier New"/>
                <w:color w:val="000000"/>
                <w:kern w:val="0"/>
                <w:szCs w:val="21"/>
              </w:rPr>
            </w:pPr>
            <w:r>
              <w:rPr>
                <w:rFonts w:hint="eastAsia" w:ascii="仿宋" w:hAnsi="仿宋" w:eastAsia="仿宋" w:cs="Courier New"/>
                <w:color w:val="000000"/>
                <w:kern w:val="0"/>
                <w:szCs w:val="21"/>
              </w:rPr>
              <w:t>表面不可有割伤，脏污，变形等不良現象;</w:t>
            </w:r>
          </w:p>
          <w:p>
            <w:pPr>
              <w:pStyle w:val="112"/>
              <w:widowControl/>
              <w:numPr>
                <w:ilvl w:val="0"/>
                <w:numId w:val="9"/>
              </w:numPr>
              <w:ind w:left="0" w:leftChars="0" w:firstLineChars="0"/>
              <w:rPr>
                <w:rFonts w:ascii="仿宋" w:hAnsi="仿宋" w:eastAsia="仿宋" w:cs="Courier New"/>
                <w:color w:val="000000"/>
                <w:kern w:val="0"/>
                <w:szCs w:val="21"/>
              </w:rPr>
            </w:pPr>
            <w:r>
              <w:rPr>
                <w:rFonts w:hint="eastAsia" w:ascii="仿宋" w:hAnsi="仿宋" w:eastAsia="仿宋" w:cs="Courier New"/>
                <w:color w:val="000000"/>
                <w:kern w:val="0"/>
                <w:szCs w:val="21"/>
              </w:rPr>
              <w:t>产品需符合Rohs2.0 2015/863/EU十项及无卤，(HF)要求</w:t>
            </w:r>
            <w:r>
              <w:rPr>
                <w:rFonts w:ascii="仿宋" w:hAnsi="仿宋" w:eastAsia="仿宋" w:cs="Courier New"/>
                <w:color w:val="000000"/>
                <w:kern w:val="0"/>
                <w:szCs w:val="21"/>
              </w:rPr>
              <w:t>。</w:t>
            </w:r>
          </w:p>
        </w:tc>
        <w:tc>
          <w:tcPr>
            <w:tcW w:w="617" w:type="pct"/>
            <w:vMerge w:val="restart"/>
            <w:shd w:val="clear" w:color="auto" w:fill="auto"/>
            <w:noWrap/>
            <w:vAlign w:val="center"/>
          </w:tcPr>
          <w:p>
            <w:pPr>
              <w:pStyle w:val="112"/>
              <w:widowControl/>
              <w:numPr>
                <w:ilvl w:val="0"/>
                <w:numId w:val="0"/>
              </w:numPr>
              <w:ind w:leftChars="0"/>
              <w:rPr>
                <w:rFonts w:hint="default" w:ascii="仿宋" w:hAnsi="仿宋" w:eastAsia="仿宋" w:cs="Courier New"/>
                <w:color w:val="000000"/>
                <w:kern w:val="0"/>
                <w:szCs w:val="21"/>
                <w:lang w:val="en-US" w:eastAsia="zh-CN"/>
              </w:rPr>
            </w:pPr>
            <w:r>
              <w:rPr>
                <w:rFonts w:hint="eastAsia" w:ascii="仿宋" w:hAnsi="仿宋" w:eastAsia="仿宋" w:cs="Courier New"/>
                <w:color w:val="000000"/>
                <w:kern w:val="0"/>
                <w:szCs w:val="21"/>
                <w:lang w:val="en-US" w:eastAsia="zh-CN"/>
              </w:rPr>
              <w:t>958个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288" w:type="pct"/>
            <w:vMerge w:val="continue"/>
            <w:shd w:val="clear" w:color="auto" w:fill="auto"/>
            <w:noWrap/>
            <w:vAlign w:val="center"/>
          </w:tcPr>
          <w:p>
            <w:pPr>
              <w:widowControl/>
              <w:jc w:val="center"/>
              <w:rPr>
                <w:rFonts w:ascii="仿宋" w:hAnsi="仿宋" w:eastAsia="仿宋" w:cs="宋体"/>
                <w:color w:val="000000"/>
                <w:kern w:val="0"/>
                <w:szCs w:val="21"/>
              </w:rPr>
            </w:pPr>
          </w:p>
        </w:tc>
        <w:tc>
          <w:tcPr>
            <w:tcW w:w="640" w:type="pct"/>
            <w:vMerge w:val="continue"/>
            <w:shd w:val="clear" w:color="auto" w:fill="auto"/>
            <w:noWrap/>
            <w:vAlign w:val="center"/>
          </w:tcPr>
          <w:p>
            <w:pPr>
              <w:widowControl/>
              <w:jc w:val="center"/>
              <w:rPr>
                <w:rFonts w:ascii="仿宋" w:hAnsi="仿宋" w:eastAsia="仿宋" w:cs="Courier New"/>
                <w:color w:val="000000"/>
                <w:kern w:val="0"/>
                <w:szCs w:val="21"/>
              </w:rPr>
            </w:pPr>
          </w:p>
        </w:tc>
        <w:tc>
          <w:tcPr>
            <w:tcW w:w="3453" w:type="pct"/>
            <w:shd w:val="clear" w:color="auto" w:fill="auto"/>
            <w:noWrap/>
            <w:vAlign w:val="center"/>
          </w:tcPr>
          <w:p>
            <w:pPr>
              <w:pStyle w:val="112"/>
              <w:widowControl/>
              <w:numPr>
                <w:ilvl w:val="0"/>
                <w:numId w:val="0"/>
              </w:numPr>
              <w:ind w:leftChars="0"/>
              <w:jc w:val="center"/>
              <w:rPr>
                <w:rFonts w:ascii="仿宋" w:hAnsi="仿宋" w:eastAsia="仿宋" w:cs="Courier New"/>
                <w:color w:val="000000"/>
                <w:kern w:val="0"/>
                <w:szCs w:val="21"/>
              </w:rPr>
            </w:pPr>
            <w:r>
              <w:drawing>
                <wp:inline distT="0" distB="0" distL="114300" distR="114300">
                  <wp:extent cx="3177540" cy="1304290"/>
                  <wp:effectExtent l="0" t="0" r="7620" b="6350"/>
                  <wp:docPr id="2" name="ID_E3EE2D7636B34B41B4CBD7C62DA35642" descr="5d126696a396c62b258576b7a074b09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D_E3EE2D7636B34B41B4CBD7C62DA35642" descr="5d126696a396c62b258576b7a074b09b"/>
                          <pic:cNvPicPr>
                            <a:picLocks noChangeAspect="1"/>
                          </pic:cNvPicPr>
                        </pic:nvPicPr>
                        <pic:blipFill>
                          <a:blip r:embed="rId6"/>
                          <a:stretch>
                            <a:fillRect/>
                          </a:stretch>
                        </pic:blipFill>
                        <pic:spPr>
                          <a:xfrm>
                            <a:off x="0" y="0"/>
                            <a:ext cx="3177540" cy="1304290"/>
                          </a:xfrm>
                          <a:prstGeom prst="rect">
                            <a:avLst/>
                          </a:prstGeom>
                        </pic:spPr>
                      </pic:pic>
                    </a:graphicData>
                  </a:graphic>
                </wp:inline>
              </w:drawing>
            </w:r>
          </w:p>
        </w:tc>
        <w:tc>
          <w:tcPr>
            <w:tcW w:w="617" w:type="pct"/>
            <w:vMerge w:val="continue"/>
            <w:shd w:val="clear" w:color="auto" w:fill="auto"/>
            <w:noWrap/>
            <w:vAlign w:val="center"/>
          </w:tcPr>
          <w:p>
            <w:pPr>
              <w:pStyle w:val="112"/>
              <w:widowControl/>
              <w:numPr>
                <w:ilvl w:val="0"/>
                <w:numId w:val="0"/>
              </w:numPr>
              <w:ind w:leftChars="0"/>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trPr>
        <w:tc>
          <w:tcPr>
            <w:tcW w:w="288" w:type="pct"/>
            <w:vMerge w:val="continue"/>
            <w:shd w:val="clear" w:color="auto" w:fill="auto"/>
            <w:noWrap/>
            <w:vAlign w:val="center"/>
          </w:tcPr>
          <w:p>
            <w:pPr>
              <w:widowControl/>
              <w:jc w:val="center"/>
              <w:rPr>
                <w:rFonts w:ascii="仿宋" w:hAnsi="仿宋" w:eastAsia="仿宋" w:cs="宋体"/>
                <w:color w:val="000000"/>
                <w:kern w:val="0"/>
                <w:szCs w:val="21"/>
              </w:rPr>
            </w:pPr>
          </w:p>
        </w:tc>
        <w:tc>
          <w:tcPr>
            <w:tcW w:w="640" w:type="pct"/>
            <w:vMerge w:val="continue"/>
            <w:shd w:val="clear" w:color="auto" w:fill="auto"/>
            <w:vAlign w:val="center"/>
          </w:tcPr>
          <w:p>
            <w:pPr>
              <w:widowControl/>
              <w:jc w:val="center"/>
              <w:rPr>
                <w:rFonts w:ascii="仿宋" w:hAnsi="仿宋" w:eastAsia="仿宋" w:cs="Courier New"/>
                <w:color w:val="000000"/>
                <w:kern w:val="0"/>
                <w:szCs w:val="21"/>
              </w:rPr>
            </w:pPr>
          </w:p>
        </w:tc>
        <w:tc>
          <w:tcPr>
            <w:tcW w:w="3453" w:type="pct"/>
            <w:shd w:val="clear" w:color="auto" w:fill="auto"/>
            <w:noWrap/>
            <w:vAlign w:val="center"/>
          </w:tcPr>
          <w:p>
            <w:pPr>
              <w:pStyle w:val="112"/>
              <w:widowControl/>
              <w:numPr>
                <w:ilvl w:val="0"/>
                <w:numId w:val="0"/>
              </w:numPr>
              <w:ind w:leftChars="0"/>
              <w:jc w:val="center"/>
              <w:rPr>
                <w:rFonts w:ascii="仿宋" w:hAnsi="仿宋" w:eastAsia="仿宋" w:cs="宋体"/>
                <w:color w:val="000000"/>
                <w:kern w:val="0"/>
                <w:szCs w:val="21"/>
              </w:rPr>
            </w:pPr>
            <w:r>
              <w:drawing>
                <wp:inline distT="0" distB="0" distL="114300" distR="114300">
                  <wp:extent cx="1657985" cy="1539240"/>
                  <wp:effectExtent l="0" t="0" r="3175" b="0"/>
                  <wp:docPr id="3" name="ID_3205CCC515B2432A9E5F60A4C8202CDB" descr="3e0cd9d0b3bc168d893e1f79c8eeb6d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D_3205CCC515B2432A9E5F60A4C8202CDB" descr="3e0cd9d0b3bc168d893e1f79c8eeb6d5"/>
                          <pic:cNvPicPr>
                            <a:picLocks noChangeAspect="1"/>
                          </pic:cNvPicPr>
                        </pic:nvPicPr>
                        <pic:blipFill>
                          <a:blip r:embed="rId7"/>
                          <a:stretch>
                            <a:fillRect/>
                          </a:stretch>
                        </pic:blipFill>
                        <pic:spPr>
                          <a:xfrm>
                            <a:off x="0" y="0"/>
                            <a:ext cx="1657985" cy="1539240"/>
                          </a:xfrm>
                          <a:prstGeom prst="rect">
                            <a:avLst/>
                          </a:prstGeom>
                        </pic:spPr>
                      </pic:pic>
                    </a:graphicData>
                  </a:graphic>
                </wp:inline>
              </w:drawing>
            </w:r>
          </w:p>
        </w:tc>
        <w:tc>
          <w:tcPr>
            <w:tcW w:w="617" w:type="pct"/>
            <w:vMerge w:val="continue"/>
            <w:shd w:val="clear" w:color="auto" w:fill="auto"/>
            <w:noWrap/>
            <w:vAlign w:val="center"/>
          </w:tcPr>
          <w:p>
            <w:pPr>
              <w:pStyle w:val="112"/>
              <w:widowControl/>
              <w:numPr>
                <w:ilvl w:val="0"/>
                <w:numId w:val="0"/>
              </w:numPr>
              <w:ind w:leftChars="0"/>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trPr>
        <w:tc>
          <w:tcPr>
            <w:tcW w:w="288" w:type="pct"/>
            <w:vMerge w:val="continue"/>
            <w:shd w:val="clear" w:color="auto" w:fill="auto"/>
            <w:noWrap/>
            <w:vAlign w:val="center"/>
          </w:tcPr>
          <w:p>
            <w:pPr>
              <w:widowControl/>
              <w:jc w:val="center"/>
              <w:rPr>
                <w:rFonts w:ascii="仿宋" w:hAnsi="仿宋" w:eastAsia="仿宋" w:cs="宋体"/>
                <w:color w:val="000000"/>
                <w:kern w:val="0"/>
                <w:szCs w:val="21"/>
              </w:rPr>
            </w:pPr>
          </w:p>
        </w:tc>
        <w:tc>
          <w:tcPr>
            <w:tcW w:w="640" w:type="pct"/>
            <w:vMerge w:val="continue"/>
            <w:shd w:val="clear" w:color="auto" w:fill="auto"/>
            <w:vAlign w:val="center"/>
          </w:tcPr>
          <w:p>
            <w:pPr>
              <w:widowControl/>
              <w:jc w:val="center"/>
              <w:rPr>
                <w:rFonts w:ascii="仿宋" w:hAnsi="仿宋" w:eastAsia="仿宋" w:cs="Courier New"/>
                <w:color w:val="000000"/>
                <w:kern w:val="0"/>
                <w:szCs w:val="21"/>
              </w:rPr>
            </w:pPr>
          </w:p>
        </w:tc>
        <w:tc>
          <w:tcPr>
            <w:tcW w:w="3453" w:type="pct"/>
            <w:shd w:val="clear" w:color="auto" w:fill="auto"/>
            <w:noWrap/>
            <w:vAlign w:val="center"/>
          </w:tcPr>
          <w:p>
            <w:pPr>
              <w:pStyle w:val="112"/>
              <w:widowControl/>
              <w:numPr>
                <w:ilvl w:val="0"/>
                <w:numId w:val="0"/>
              </w:numPr>
              <w:ind w:leftChars="0"/>
              <w:jc w:val="center"/>
              <w:rPr>
                <w:rFonts w:ascii="仿宋" w:hAnsi="仿宋" w:eastAsia="仿宋" w:cs="Courier New"/>
                <w:color w:val="000000"/>
                <w:kern w:val="0"/>
                <w:szCs w:val="21"/>
              </w:rPr>
            </w:pPr>
            <w:r>
              <w:drawing>
                <wp:inline distT="0" distB="0" distL="114300" distR="114300">
                  <wp:extent cx="3177540" cy="763905"/>
                  <wp:effectExtent l="0" t="0" r="7620" b="13335"/>
                  <wp:docPr id="4" name="ID_629F8ED249F4427684B1D287ED20769B" descr="2159b55e1b58b2330359005661c24ee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D_629F8ED249F4427684B1D287ED20769B" descr="2159b55e1b58b2330359005661c24eea"/>
                          <pic:cNvPicPr>
                            <a:picLocks noChangeAspect="1"/>
                          </pic:cNvPicPr>
                        </pic:nvPicPr>
                        <pic:blipFill>
                          <a:blip r:embed="rId8"/>
                          <a:stretch>
                            <a:fillRect/>
                          </a:stretch>
                        </pic:blipFill>
                        <pic:spPr>
                          <a:xfrm>
                            <a:off x="0" y="0"/>
                            <a:ext cx="3177540" cy="763905"/>
                          </a:xfrm>
                          <a:prstGeom prst="rect">
                            <a:avLst/>
                          </a:prstGeom>
                        </pic:spPr>
                      </pic:pic>
                    </a:graphicData>
                  </a:graphic>
                </wp:inline>
              </w:drawing>
            </w:r>
          </w:p>
        </w:tc>
        <w:tc>
          <w:tcPr>
            <w:tcW w:w="617" w:type="pct"/>
            <w:vMerge w:val="continue"/>
            <w:shd w:val="clear" w:color="auto" w:fill="auto"/>
            <w:noWrap/>
            <w:vAlign w:val="center"/>
          </w:tcPr>
          <w:p>
            <w:pPr>
              <w:pStyle w:val="112"/>
              <w:widowControl/>
              <w:numPr>
                <w:ilvl w:val="0"/>
                <w:numId w:val="0"/>
              </w:numPr>
              <w:ind w:leftChars="0"/>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78" w:hRule="atLeast"/>
        </w:trPr>
        <w:tc>
          <w:tcPr>
            <w:tcW w:w="288" w:type="pct"/>
            <w:shd w:val="clear" w:color="auto" w:fill="auto"/>
            <w:noWrap/>
            <w:vAlign w:val="center"/>
          </w:tcPr>
          <w:p>
            <w:pPr>
              <w:widowControl/>
              <w:jc w:val="center"/>
              <w:rPr>
                <w:rFonts w:hint="eastAsia" w:ascii="仿宋" w:hAnsi="仿宋" w:eastAsia="仿宋" w:cs="宋体"/>
                <w:color w:val="000000"/>
                <w:kern w:val="0"/>
                <w:szCs w:val="21"/>
                <w:lang w:val="en-US" w:eastAsia="zh-CN"/>
              </w:rPr>
            </w:pPr>
            <w:r>
              <w:rPr>
                <w:rFonts w:hint="eastAsia" w:ascii="仿宋" w:hAnsi="仿宋" w:eastAsia="仿宋" w:cs="宋体"/>
                <w:color w:val="000000"/>
                <w:kern w:val="0"/>
                <w:szCs w:val="21"/>
                <w:lang w:val="en-US" w:eastAsia="zh-CN"/>
              </w:rPr>
              <w:t>2</w:t>
            </w:r>
          </w:p>
        </w:tc>
        <w:tc>
          <w:tcPr>
            <w:tcW w:w="640" w:type="pct"/>
            <w:shd w:val="clear" w:color="auto" w:fill="auto"/>
            <w:vAlign w:val="center"/>
          </w:tcPr>
          <w:p>
            <w:pPr>
              <w:widowControl/>
              <w:jc w:val="center"/>
              <w:rPr>
                <w:rFonts w:ascii="仿宋" w:hAnsi="仿宋" w:eastAsia="仿宋" w:cs="Courier New"/>
                <w:color w:val="000000"/>
                <w:kern w:val="0"/>
                <w:szCs w:val="21"/>
              </w:rPr>
            </w:pPr>
            <w:r>
              <w:rPr>
                <w:rFonts w:hint="eastAsia" w:ascii="仿宋" w:hAnsi="仿宋" w:eastAsia="仿宋" w:cs="Courier New"/>
                <w:color w:val="000000"/>
                <w:kern w:val="0"/>
                <w:szCs w:val="21"/>
              </w:rPr>
              <w:t>内置扬声器</w:t>
            </w:r>
          </w:p>
        </w:tc>
        <w:tc>
          <w:tcPr>
            <w:tcW w:w="3453" w:type="pct"/>
            <w:shd w:val="clear" w:color="auto" w:fill="auto"/>
            <w:noWrap/>
            <w:vAlign w:val="center"/>
          </w:tcPr>
          <w:p>
            <w:pPr>
              <w:pStyle w:val="112"/>
              <w:widowControl/>
              <w:numPr>
                <w:ilvl w:val="0"/>
                <w:numId w:val="10"/>
              </w:numPr>
              <w:ind w:left="0" w:leftChars="0" w:firstLineChars="0"/>
              <w:rPr>
                <w:rFonts w:hint="eastAsia" w:ascii="仿宋" w:hAnsi="仿宋" w:eastAsia="仿宋" w:cs="Courier New"/>
                <w:color w:val="000000"/>
                <w:kern w:val="0"/>
                <w:szCs w:val="21"/>
              </w:rPr>
            </w:pPr>
            <w:r>
              <w:rPr>
                <w:rFonts w:hint="eastAsia" w:ascii="仿宋" w:hAnsi="仿宋" w:eastAsia="仿宋" w:cs="Courier New"/>
                <w:color w:val="000000"/>
                <w:kern w:val="0"/>
                <w:szCs w:val="21"/>
              </w:rPr>
              <w:t>主板USB9针接口；</w:t>
            </w:r>
          </w:p>
          <w:p>
            <w:pPr>
              <w:pStyle w:val="112"/>
              <w:widowControl/>
              <w:numPr>
                <w:ilvl w:val="0"/>
                <w:numId w:val="10"/>
              </w:numPr>
              <w:ind w:left="0" w:leftChars="0" w:firstLineChars="0"/>
              <w:rPr>
                <w:rFonts w:hint="eastAsia" w:ascii="仿宋" w:hAnsi="仿宋" w:eastAsia="仿宋" w:cs="Courier New"/>
                <w:color w:val="000000"/>
                <w:kern w:val="0"/>
                <w:szCs w:val="21"/>
              </w:rPr>
            </w:pPr>
            <w:r>
              <w:rPr>
                <w:rFonts w:hint="eastAsia" w:ascii="仿宋" w:hAnsi="仿宋" w:eastAsia="仿宋" w:cs="Courier New"/>
                <w:color w:val="000000"/>
                <w:kern w:val="0"/>
                <w:szCs w:val="21"/>
              </w:rPr>
              <w:t>额定功率3W；</w:t>
            </w:r>
          </w:p>
          <w:p>
            <w:pPr>
              <w:pStyle w:val="112"/>
              <w:widowControl/>
              <w:numPr>
                <w:ilvl w:val="0"/>
                <w:numId w:val="10"/>
              </w:numPr>
              <w:ind w:left="0" w:leftChars="0" w:firstLineChars="0"/>
              <w:rPr>
                <w:rFonts w:hint="eastAsia" w:ascii="仿宋" w:hAnsi="仿宋" w:eastAsia="仿宋" w:cs="Courier New"/>
                <w:color w:val="000000"/>
                <w:kern w:val="0"/>
                <w:szCs w:val="21"/>
              </w:rPr>
            </w:pPr>
            <w:r>
              <w:rPr>
                <w:rFonts w:hint="eastAsia" w:ascii="仿宋" w:hAnsi="仿宋" w:eastAsia="仿宋" w:cs="Courier New"/>
                <w:color w:val="000000"/>
                <w:kern w:val="0"/>
                <w:szCs w:val="21"/>
              </w:rPr>
              <w:t xml:space="preserve">尺寸100*45*21CM ; </w:t>
            </w:r>
          </w:p>
          <w:p>
            <w:pPr>
              <w:pStyle w:val="112"/>
              <w:widowControl/>
              <w:numPr>
                <w:ilvl w:val="0"/>
                <w:numId w:val="10"/>
              </w:numPr>
              <w:ind w:left="0" w:leftChars="0" w:firstLineChars="0"/>
              <w:rPr>
                <w:rFonts w:ascii="仿宋" w:hAnsi="仿宋" w:eastAsia="仿宋" w:cs="宋体"/>
                <w:color w:val="000000"/>
                <w:kern w:val="0"/>
                <w:szCs w:val="21"/>
              </w:rPr>
            </w:pPr>
            <w:r>
              <w:rPr>
                <w:rFonts w:hint="eastAsia" w:ascii="仿宋" w:hAnsi="仿宋" w:eastAsia="仿宋" w:cs="Courier New"/>
                <w:color w:val="000000"/>
                <w:kern w:val="0"/>
                <w:szCs w:val="21"/>
              </w:rPr>
              <w:t>主板USB2.0 9PIN转双9PIN接口9针转双9针一分二扩展HUB集线器（供应内置扬声器接口）.</w:t>
            </w:r>
          </w:p>
        </w:tc>
        <w:tc>
          <w:tcPr>
            <w:tcW w:w="617" w:type="pct"/>
            <w:shd w:val="clear" w:color="auto" w:fill="auto"/>
            <w:noWrap/>
            <w:vAlign w:val="center"/>
          </w:tcPr>
          <w:p>
            <w:pPr>
              <w:pStyle w:val="112"/>
              <w:widowControl/>
              <w:numPr>
                <w:ilvl w:val="0"/>
                <w:numId w:val="0"/>
              </w:numPr>
              <w:ind w:leftChars="0"/>
              <w:rPr>
                <w:rFonts w:hint="default" w:ascii="仿宋" w:hAnsi="仿宋" w:eastAsia="仿宋" w:cs="宋体"/>
                <w:color w:val="000000"/>
                <w:kern w:val="0"/>
                <w:szCs w:val="21"/>
                <w:lang w:val="en-US" w:eastAsia="zh-CN"/>
              </w:rPr>
            </w:pPr>
            <w:r>
              <w:rPr>
                <w:rFonts w:hint="eastAsia" w:ascii="仿宋" w:hAnsi="仿宋" w:eastAsia="仿宋" w:cs="宋体"/>
                <w:color w:val="000000"/>
                <w:kern w:val="0"/>
                <w:szCs w:val="21"/>
                <w:lang w:val="en-US" w:eastAsia="zh-CN"/>
              </w:rPr>
              <w:t>958个</w:t>
            </w:r>
          </w:p>
        </w:tc>
      </w:tr>
    </w:tbl>
    <w:p>
      <w:pPr>
        <w:pStyle w:val="5"/>
        <w:spacing w:line="240" w:lineRule="auto"/>
        <w:rPr>
          <w:rFonts w:ascii="仿宋" w:hAnsi="仿宋" w:eastAsia="仿宋" w:cs="仿宋"/>
        </w:rPr>
      </w:pPr>
      <w:bookmarkStart w:id="73" w:name="_Toc19147"/>
      <w:r>
        <w:rPr>
          <w:rFonts w:hint="eastAsia" w:ascii="仿宋" w:hAnsi="仿宋" w:eastAsia="仿宋" w:cs="仿宋"/>
        </w:rPr>
        <w:t>产品服务</w:t>
      </w:r>
      <w:bookmarkStart w:id="74" w:name="_Toc198702473"/>
      <w:bookmarkStart w:id="75" w:name="_Toc293308323"/>
      <w:r>
        <w:rPr>
          <w:rFonts w:hint="eastAsia" w:ascii="仿宋" w:hAnsi="仿宋" w:eastAsia="仿宋" w:cs="仿宋"/>
        </w:rPr>
        <w:t>保障要求</w:t>
      </w:r>
      <w:bookmarkEnd w:id="65"/>
      <w:bookmarkEnd w:id="66"/>
      <w:bookmarkEnd w:id="67"/>
      <w:bookmarkEnd w:id="68"/>
      <w:bookmarkEnd w:id="73"/>
    </w:p>
    <w:bookmarkEnd w:id="74"/>
    <w:bookmarkEnd w:id="75"/>
    <w:p>
      <w:pPr>
        <w:pStyle w:val="6"/>
        <w:spacing w:line="240" w:lineRule="auto"/>
        <w:rPr>
          <w:rFonts w:eastAsia="仿宋" w:cs="仿宋"/>
        </w:rPr>
      </w:pPr>
      <w:bookmarkStart w:id="76" w:name="_Toc168479656"/>
      <w:bookmarkEnd w:id="76"/>
      <w:bookmarkStart w:id="77" w:name="_Toc7119"/>
      <w:bookmarkStart w:id="78" w:name="_Toc14540"/>
      <w:bookmarkStart w:id="79" w:name="_Toc30042"/>
      <w:bookmarkStart w:id="80" w:name="_Toc9490"/>
      <w:bookmarkStart w:id="81" w:name="_Toc5603"/>
      <w:bookmarkStart w:id="82" w:name="_Toc13234"/>
      <w:bookmarkStart w:id="83" w:name="_Toc19409"/>
      <w:r>
        <w:rPr>
          <w:rFonts w:hint="eastAsia" w:eastAsia="仿宋" w:cs="仿宋"/>
        </w:rPr>
        <w:t>技术服务要求</w:t>
      </w:r>
      <w:bookmarkEnd w:id="77"/>
      <w:bookmarkEnd w:id="78"/>
      <w:bookmarkEnd w:id="79"/>
    </w:p>
    <w:p>
      <w:pPr>
        <w:pStyle w:val="13"/>
        <w:numPr>
          <w:ilvl w:val="0"/>
          <w:numId w:val="11"/>
        </w:numPr>
        <w:tabs>
          <w:tab w:val="left" w:pos="900"/>
        </w:tabs>
        <w:spacing w:line="240" w:lineRule="auto"/>
        <w:rPr>
          <w:rFonts w:ascii="仿宋" w:hAnsi="仿宋" w:eastAsia="仿宋" w:cs="仿宋"/>
          <w:sz w:val="28"/>
          <w:szCs w:val="28"/>
        </w:rPr>
      </w:pPr>
      <w:r>
        <w:rPr>
          <w:rFonts w:hint="eastAsia" w:ascii="仿宋" w:hAnsi="仿宋" w:eastAsia="仿宋" w:cs="仿宋"/>
          <w:sz w:val="28"/>
          <w:szCs w:val="28"/>
        </w:rPr>
        <w:t>投标方需承担产品</w:t>
      </w:r>
      <w:r>
        <w:rPr>
          <w:rFonts w:hint="eastAsia" w:ascii="仿宋" w:hAnsi="仿宋" w:eastAsia="仿宋" w:cs="仿宋"/>
          <w:sz w:val="28"/>
          <w:szCs w:val="28"/>
          <w:lang w:eastAsia="zh-CN"/>
        </w:rPr>
        <w:t>改装、</w:t>
      </w:r>
      <w:r>
        <w:rPr>
          <w:rFonts w:hint="eastAsia" w:ascii="仿宋" w:hAnsi="仿宋" w:eastAsia="仿宋" w:cs="仿宋"/>
          <w:sz w:val="28"/>
          <w:szCs w:val="28"/>
        </w:rPr>
        <w:t>加工技术服务责任，涵盖包括但不限于产品部件与成品的来料检测、组装生产、</w:t>
      </w:r>
      <w:r>
        <w:rPr>
          <w:rFonts w:hint="eastAsia" w:ascii="仿宋" w:hAnsi="仿宋" w:eastAsia="仿宋" w:cs="仿宋"/>
          <w:sz w:val="28"/>
          <w:szCs w:val="28"/>
          <w:lang w:eastAsia="zh-CN"/>
        </w:rPr>
        <w:t>音频改造、标签组装、重新包装等工作</w:t>
      </w:r>
      <w:r>
        <w:rPr>
          <w:rFonts w:hint="eastAsia" w:ascii="仿宋" w:hAnsi="仿宋" w:eastAsia="仿宋" w:cs="仿宋"/>
          <w:sz w:val="28"/>
          <w:szCs w:val="28"/>
        </w:rPr>
        <w:t>。</w:t>
      </w:r>
    </w:p>
    <w:p>
      <w:pPr>
        <w:pStyle w:val="6"/>
        <w:spacing w:line="240" w:lineRule="auto"/>
        <w:rPr>
          <w:rFonts w:eastAsia="仿宋" w:cs="仿宋"/>
        </w:rPr>
      </w:pPr>
      <w:bookmarkStart w:id="84" w:name="_Toc13594"/>
      <w:bookmarkStart w:id="85" w:name="_Toc26699"/>
      <w:bookmarkStart w:id="86" w:name="_Toc17093"/>
      <w:r>
        <w:rPr>
          <w:rFonts w:hint="eastAsia" w:eastAsia="仿宋" w:cs="仿宋"/>
        </w:rPr>
        <w:t>产品质量</w:t>
      </w:r>
      <w:bookmarkEnd w:id="80"/>
      <w:bookmarkEnd w:id="81"/>
      <w:bookmarkEnd w:id="82"/>
      <w:bookmarkEnd w:id="83"/>
      <w:r>
        <w:rPr>
          <w:rFonts w:hint="eastAsia" w:eastAsia="仿宋" w:cs="仿宋"/>
        </w:rPr>
        <w:t>保障</w:t>
      </w:r>
      <w:bookmarkEnd w:id="84"/>
      <w:bookmarkEnd w:id="85"/>
      <w:bookmarkEnd w:id="86"/>
    </w:p>
    <w:p>
      <w:pPr>
        <w:pStyle w:val="13"/>
        <w:numPr>
          <w:ilvl w:val="0"/>
          <w:numId w:val="12"/>
        </w:numPr>
        <w:tabs>
          <w:tab w:val="left" w:pos="900"/>
        </w:tabs>
        <w:spacing w:line="240" w:lineRule="auto"/>
        <w:rPr>
          <w:rFonts w:ascii="仿宋" w:hAnsi="仿宋" w:eastAsia="仿宋" w:cs="仿宋"/>
          <w:sz w:val="28"/>
          <w:szCs w:val="28"/>
        </w:rPr>
      </w:pPr>
      <w:r>
        <w:rPr>
          <w:rFonts w:hint="eastAsia" w:ascii="仿宋" w:hAnsi="仿宋" w:eastAsia="仿宋" w:cs="仿宋"/>
          <w:sz w:val="28"/>
          <w:szCs w:val="28"/>
        </w:rPr>
        <w:t>投标方应保证标的产品的技术标准及产品质量要求符合国家标准、行业标准、地方标准、招标文件中的技术规范书、货物生产商的产品质量标准、有关部门制定的相关技术规范及符合产品说明书表明的质量。</w:t>
      </w:r>
    </w:p>
    <w:p>
      <w:pPr>
        <w:pStyle w:val="13"/>
        <w:numPr>
          <w:ilvl w:val="0"/>
          <w:numId w:val="12"/>
        </w:numPr>
        <w:tabs>
          <w:tab w:val="left" w:pos="900"/>
        </w:tabs>
        <w:spacing w:line="240" w:lineRule="auto"/>
        <w:rPr>
          <w:rFonts w:ascii="仿宋" w:hAnsi="仿宋" w:eastAsia="仿宋" w:cs="仿宋"/>
          <w:sz w:val="28"/>
          <w:szCs w:val="28"/>
        </w:rPr>
      </w:pPr>
      <w:r>
        <w:rPr>
          <w:rFonts w:hint="eastAsia" w:ascii="仿宋" w:hAnsi="仿宋" w:eastAsia="仿宋" w:cs="仿宋"/>
          <w:sz w:val="28"/>
          <w:szCs w:val="28"/>
        </w:rPr>
        <w:t>全部设备必须是全新的，持久耐用的，应满足作为一个完整产品所能满足的全部要求。投标方应保证设备在规定的使用条件下运行、预期寿命应不少于</w:t>
      </w:r>
      <w:r>
        <w:rPr>
          <w:rFonts w:hint="eastAsia" w:ascii="仿宋" w:hAnsi="仿宋" w:eastAsia="仿宋" w:cs="仿宋"/>
          <w:sz w:val="28"/>
          <w:szCs w:val="28"/>
          <w:lang w:val="en-US" w:eastAsia="zh-CN"/>
        </w:rPr>
        <w:t>3</w:t>
      </w:r>
      <w:r>
        <w:rPr>
          <w:rFonts w:hint="eastAsia" w:ascii="仿宋" w:hAnsi="仿宋" w:eastAsia="仿宋" w:cs="仿宋"/>
          <w:sz w:val="28"/>
          <w:szCs w:val="28"/>
        </w:rPr>
        <w:t>年。</w:t>
      </w:r>
    </w:p>
    <w:p>
      <w:pPr>
        <w:pStyle w:val="13"/>
        <w:numPr>
          <w:ilvl w:val="0"/>
          <w:numId w:val="12"/>
        </w:numPr>
        <w:tabs>
          <w:tab w:val="left" w:pos="900"/>
        </w:tabs>
        <w:spacing w:line="240" w:lineRule="auto"/>
        <w:rPr>
          <w:rFonts w:ascii="仿宋" w:hAnsi="仿宋" w:eastAsia="仿宋" w:cs="仿宋"/>
          <w:sz w:val="28"/>
          <w:szCs w:val="28"/>
        </w:rPr>
      </w:pPr>
      <w:r>
        <w:rPr>
          <w:rFonts w:hint="eastAsia" w:ascii="仿宋" w:hAnsi="仿宋" w:eastAsia="仿宋" w:cs="仿宋"/>
          <w:sz w:val="28"/>
          <w:szCs w:val="28"/>
        </w:rPr>
        <w:t>投标方应保证制造过程中的所有工艺、材料试验等均应符合本技术规范的规定。</w:t>
      </w:r>
    </w:p>
    <w:p>
      <w:pPr>
        <w:pStyle w:val="13"/>
        <w:numPr>
          <w:ilvl w:val="0"/>
          <w:numId w:val="12"/>
        </w:numPr>
        <w:tabs>
          <w:tab w:val="left" w:pos="900"/>
        </w:tabs>
        <w:spacing w:line="240" w:lineRule="auto"/>
        <w:rPr>
          <w:rFonts w:ascii="仿宋" w:hAnsi="仿宋" w:eastAsia="仿宋" w:cs="仿宋"/>
          <w:sz w:val="28"/>
          <w:szCs w:val="28"/>
        </w:rPr>
      </w:pPr>
      <w:r>
        <w:rPr>
          <w:rFonts w:hint="eastAsia" w:ascii="仿宋" w:hAnsi="仿宋" w:eastAsia="仿宋" w:cs="仿宋"/>
          <w:sz w:val="28"/>
          <w:szCs w:val="28"/>
        </w:rPr>
        <w:t>标的产品及其材料必须符合本合同约定的标准，招标方有权聘请具有检验资质的第三方检验机构对标的产品进行检验，如检验机构出具的检验结果与合同规定的质量要求相符，则验收合格；如检验结果与合同规定的质量要求不符，则验收不合格，投标方需承担违约责任。</w:t>
      </w:r>
    </w:p>
    <w:p>
      <w:pPr>
        <w:pStyle w:val="13"/>
        <w:numPr>
          <w:ilvl w:val="0"/>
          <w:numId w:val="12"/>
        </w:numPr>
        <w:tabs>
          <w:tab w:val="left" w:pos="900"/>
        </w:tabs>
        <w:spacing w:line="240" w:lineRule="auto"/>
        <w:rPr>
          <w:rFonts w:ascii="仿宋" w:hAnsi="仿宋" w:eastAsia="仿宋" w:cs="仿宋"/>
          <w:sz w:val="28"/>
          <w:szCs w:val="28"/>
        </w:rPr>
      </w:pPr>
      <w:r>
        <w:rPr>
          <w:rFonts w:hint="eastAsia" w:ascii="仿宋" w:hAnsi="仿宋" w:eastAsia="仿宋" w:cs="仿宋"/>
          <w:sz w:val="28"/>
          <w:szCs w:val="28"/>
        </w:rPr>
        <w:t>由于投标方质量安全措施不力造成质量安全事故的责任，以及由此发生的费用和损失，由投标方承担。</w:t>
      </w:r>
    </w:p>
    <w:p>
      <w:pPr>
        <w:pStyle w:val="13"/>
        <w:numPr>
          <w:ilvl w:val="0"/>
          <w:numId w:val="12"/>
        </w:numPr>
        <w:tabs>
          <w:tab w:val="left" w:pos="900"/>
        </w:tabs>
        <w:spacing w:line="240" w:lineRule="auto"/>
        <w:rPr>
          <w:rFonts w:ascii="仿宋" w:hAnsi="仿宋" w:eastAsia="仿宋" w:cs="仿宋"/>
          <w:sz w:val="28"/>
          <w:szCs w:val="28"/>
        </w:rPr>
      </w:pPr>
      <w:r>
        <w:rPr>
          <w:rFonts w:hint="eastAsia" w:ascii="仿宋" w:hAnsi="仿宋" w:eastAsia="仿宋" w:cs="仿宋"/>
          <w:sz w:val="28"/>
          <w:szCs w:val="28"/>
        </w:rPr>
        <w:t>在接到招标方通知后，投标方虽经努力改进，但仍不满足合同要求，则招标方可按合同处理或更换这些设备，由此引起的一切费用由投标方承担。</w:t>
      </w:r>
    </w:p>
    <w:p>
      <w:pPr>
        <w:pStyle w:val="13"/>
        <w:numPr>
          <w:ilvl w:val="0"/>
          <w:numId w:val="12"/>
        </w:numPr>
        <w:tabs>
          <w:tab w:val="left" w:pos="900"/>
        </w:tabs>
        <w:spacing w:line="360" w:lineRule="auto"/>
      </w:pPr>
      <w:r>
        <w:rPr>
          <w:rFonts w:hint="eastAsia" w:ascii="仿宋" w:hAnsi="仿宋" w:eastAsia="仿宋" w:cs="仿宋"/>
          <w:sz w:val="28"/>
          <w:szCs w:val="28"/>
        </w:rPr>
        <w:t>设备、部件制造中所用的材料应该是全新的、优质的、无缺陷的和无损伤的。</w:t>
      </w:r>
    </w:p>
    <w:p>
      <w:pPr>
        <w:pStyle w:val="13"/>
        <w:numPr>
          <w:ilvl w:val="0"/>
          <w:numId w:val="12"/>
        </w:numPr>
        <w:tabs>
          <w:tab w:val="left" w:pos="900"/>
        </w:tabs>
        <w:spacing w:line="360" w:lineRule="auto"/>
        <w:rPr>
          <w:rFonts w:ascii="仿宋" w:hAnsi="仿宋" w:eastAsia="仿宋" w:cs="仿宋"/>
          <w:sz w:val="28"/>
          <w:szCs w:val="28"/>
        </w:rPr>
      </w:pPr>
      <w:r>
        <w:rPr>
          <w:rFonts w:hint="eastAsia" w:ascii="仿宋" w:hAnsi="仿宋" w:eastAsia="仿宋" w:cs="仿宋"/>
          <w:sz w:val="28"/>
          <w:szCs w:val="28"/>
        </w:rPr>
        <w:t>因国家、行业或企业有关标准发生调整，原有规格型号已不能满足安全、生产要求且供应商无法供应对应品类新式型号的，经协商可提前终止协议。</w:t>
      </w:r>
    </w:p>
    <w:p>
      <w:pPr>
        <w:pStyle w:val="6"/>
        <w:spacing w:line="240" w:lineRule="auto"/>
        <w:rPr>
          <w:rFonts w:eastAsia="仿宋" w:cs="仿宋"/>
        </w:rPr>
      </w:pPr>
      <w:bookmarkStart w:id="87" w:name="_Toc27010"/>
      <w:bookmarkStart w:id="88" w:name="_Toc14710"/>
      <w:bookmarkStart w:id="89" w:name="_Toc22175"/>
      <w:bookmarkStart w:id="90" w:name="_Toc11644"/>
      <w:bookmarkStart w:id="91" w:name="_Toc1152"/>
      <w:bookmarkStart w:id="92" w:name="_Toc12476"/>
      <w:bookmarkStart w:id="93" w:name="_Toc1365"/>
      <w:bookmarkStart w:id="94" w:name="_Toc2325"/>
      <w:bookmarkStart w:id="95" w:name="_Toc9227"/>
      <w:r>
        <w:rPr>
          <w:rFonts w:hint="eastAsia" w:eastAsia="仿宋" w:cs="仿宋"/>
        </w:rPr>
        <w:t>检测要求</w:t>
      </w:r>
      <w:bookmarkEnd w:id="87"/>
      <w:bookmarkEnd w:id="88"/>
      <w:bookmarkEnd w:id="89"/>
      <w:bookmarkEnd w:id="90"/>
      <w:bookmarkEnd w:id="91"/>
    </w:p>
    <w:p>
      <w:pPr>
        <w:pStyle w:val="7"/>
        <w:spacing w:before="0" w:after="0" w:line="240" w:lineRule="auto"/>
        <w:rPr>
          <w:rFonts w:ascii="仿宋" w:hAnsi="仿宋" w:cs="仿宋"/>
        </w:rPr>
      </w:pPr>
      <w:bookmarkStart w:id="96" w:name="_Toc4053"/>
      <w:bookmarkStart w:id="97" w:name="_Toc428"/>
      <w:bookmarkStart w:id="98" w:name="_Toc17615"/>
      <w:bookmarkStart w:id="99" w:name="_Toc10328"/>
      <w:r>
        <w:rPr>
          <w:rFonts w:hint="eastAsia" w:ascii="仿宋" w:hAnsi="仿宋" w:cs="仿宋"/>
        </w:rPr>
        <w:t>抽样试验</w:t>
      </w:r>
      <w:bookmarkEnd w:id="96"/>
      <w:bookmarkEnd w:id="97"/>
      <w:bookmarkEnd w:id="98"/>
      <w:bookmarkEnd w:id="99"/>
    </w:p>
    <w:p>
      <w:pPr>
        <w:adjustRightInd w:val="0"/>
        <w:snapToGrid w:val="0"/>
        <w:spacing w:line="360" w:lineRule="auto"/>
        <w:ind w:firstLine="560" w:firstLineChars="200"/>
        <w:rPr>
          <w:rFonts w:ascii="仿宋" w:hAnsi="仿宋" w:eastAsia="仿宋" w:cs="仿宋"/>
          <w:kern w:val="0"/>
          <w:sz w:val="28"/>
          <w:szCs w:val="28"/>
        </w:rPr>
      </w:pPr>
      <w:r>
        <w:rPr>
          <w:rFonts w:hint="eastAsia" w:ascii="仿宋" w:hAnsi="仿宋" w:eastAsia="仿宋" w:cs="仿宋"/>
          <w:kern w:val="0"/>
          <w:sz w:val="28"/>
          <w:szCs w:val="28"/>
        </w:rPr>
        <w:t>投标方应定期开展产品抽样试验工作，并根据抽样试验结果，对产品质量情况进行评估分析。</w:t>
      </w:r>
    </w:p>
    <w:p>
      <w:pPr>
        <w:pStyle w:val="13"/>
        <w:numPr>
          <w:ilvl w:val="0"/>
          <w:numId w:val="13"/>
        </w:numPr>
        <w:tabs>
          <w:tab w:val="left" w:pos="900"/>
        </w:tabs>
        <w:spacing w:line="240" w:lineRule="auto"/>
        <w:rPr>
          <w:rFonts w:ascii="仿宋" w:hAnsi="仿宋" w:eastAsia="仿宋" w:cs="仿宋"/>
          <w:sz w:val="28"/>
          <w:szCs w:val="28"/>
        </w:rPr>
      </w:pPr>
      <w:r>
        <w:rPr>
          <w:rFonts w:hint="eastAsia" w:ascii="仿宋" w:hAnsi="仿宋" w:eastAsia="仿宋" w:cs="仿宋"/>
          <w:sz w:val="28"/>
          <w:szCs w:val="28"/>
        </w:rPr>
        <w:t>确定抽样计划：根据生产批次规模和要求确定抽样数量和抽样点。</w:t>
      </w:r>
    </w:p>
    <w:p>
      <w:pPr>
        <w:pStyle w:val="13"/>
        <w:numPr>
          <w:ilvl w:val="0"/>
          <w:numId w:val="13"/>
        </w:numPr>
        <w:tabs>
          <w:tab w:val="left" w:pos="900"/>
        </w:tabs>
        <w:spacing w:line="240" w:lineRule="auto"/>
        <w:rPr>
          <w:rFonts w:ascii="仿宋" w:hAnsi="仿宋" w:eastAsia="仿宋" w:cs="仿宋"/>
          <w:sz w:val="28"/>
          <w:szCs w:val="28"/>
        </w:rPr>
      </w:pPr>
      <w:r>
        <w:rPr>
          <w:rFonts w:hint="eastAsia" w:ascii="仿宋" w:hAnsi="仿宋" w:eastAsia="仿宋" w:cs="仿宋"/>
          <w:sz w:val="28"/>
          <w:szCs w:val="28"/>
        </w:rPr>
        <w:t>抽样：按照抽样计划从生产批次中随机抽取样品。</w:t>
      </w:r>
    </w:p>
    <w:p>
      <w:pPr>
        <w:pStyle w:val="13"/>
        <w:numPr>
          <w:ilvl w:val="0"/>
          <w:numId w:val="13"/>
        </w:numPr>
        <w:tabs>
          <w:tab w:val="left" w:pos="900"/>
        </w:tabs>
        <w:spacing w:line="240" w:lineRule="auto"/>
        <w:rPr>
          <w:rFonts w:ascii="仿宋" w:hAnsi="仿宋" w:eastAsia="仿宋" w:cs="仿宋"/>
          <w:sz w:val="28"/>
          <w:szCs w:val="28"/>
        </w:rPr>
      </w:pPr>
      <w:r>
        <w:rPr>
          <w:rFonts w:hint="eastAsia" w:ascii="仿宋" w:hAnsi="仿宋" w:eastAsia="仿宋" w:cs="仿宋"/>
          <w:sz w:val="28"/>
          <w:szCs w:val="28"/>
        </w:rPr>
        <w:t>检验：对抽取的样品进行外观检查、功能测试、性能测试等检验项目。</w:t>
      </w:r>
    </w:p>
    <w:p>
      <w:pPr>
        <w:pStyle w:val="13"/>
        <w:numPr>
          <w:ilvl w:val="0"/>
          <w:numId w:val="13"/>
        </w:numPr>
        <w:tabs>
          <w:tab w:val="left" w:pos="900"/>
        </w:tabs>
        <w:spacing w:line="240" w:lineRule="auto"/>
        <w:rPr>
          <w:rFonts w:ascii="仿宋" w:hAnsi="仿宋" w:eastAsia="仿宋" w:cs="仿宋"/>
          <w:sz w:val="28"/>
          <w:szCs w:val="28"/>
        </w:rPr>
      </w:pPr>
      <w:r>
        <w:rPr>
          <w:rFonts w:hint="eastAsia" w:ascii="仿宋" w:hAnsi="仿宋" w:eastAsia="仿宋" w:cs="仿宋"/>
          <w:sz w:val="28"/>
          <w:szCs w:val="28"/>
        </w:rPr>
        <w:t>记录结果：记录每个样品的检验结果，包括合格、不合格或有待进一步处理。</w:t>
      </w:r>
    </w:p>
    <w:p>
      <w:pPr>
        <w:pStyle w:val="13"/>
        <w:numPr>
          <w:ilvl w:val="0"/>
          <w:numId w:val="13"/>
        </w:numPr>
        <w:tabs>
          <w:tab w:val="left" w:pos="900"/>
        </w:tabs>
        <w:spacing w:line="240" w:lineRule="auto"/>
        <w:rPr>
          <w:rFonts w:ascii="仿宋" w:hAnsi="仿宋" w:eastAsia="仿宋" w:cs="仿宋"/>
          <w:sz w:val="28"/>
          <w:szCs w:val="28"/>
        </w:rPr>
      </w:pPr>
      <w:r>
        <w:rPr>
          <w:rFonts w:hint="eastAsia" w:ascii="仿宋" w:hAnsi="仿宋" w:eastAsia="仿宋" w:cs="仿宋"/>
          <w:sz w:val="28"/>
          <w:szCs w:val="28"/>
        </w:rPr>
        <w:t>分析结果：根据抽样试验结果分析产品质量状况，评估整个批次产品的质量水平。</w:t>
      </w:r>
    </w:p>
    <w:p>
      <w:pPr>
        <w:pStyle w:val="13"/>
        <w:numPr>
          <w:ilvl w:val="0"/>
          <w:numId w:val="13"/>
        </w:numPr>
        <w:tabs>
          <w:tab w:val="left" w:pos="900"/>
        </w:tabs>
        <w:spacing w:line="240" w:lineRule="auto"/>
        <w:rPr>
          <w:rFonts w:ascii="仿宋" w:hAnsi="仿宋" w:eastAsia="仿宋" w:cs="仿宋"/>
          <w:sz w:val="28"/>
          <w:szCs w:val="28"/>
        </w:rPr>
      </w:pPr>
      <w:r>
        <w:rPr>
          <w:rFonts w:hint="eastAsia" w:ascii="仿宋" w:hAnsi="仿宋" w:eastAsia="仿宋" w:cs="仿宋"/>
          <w:sz w:val="28"/>
          <w:szCs w:val="28"/>
        </w:rPr>
        <w:t>采取措施：根据分析结果采取相应措施，如进一步测试、调整生产工艺、纠正不良品等。</w:t>
      </w:r>
    </w:p>
    <w:p>
      <w:pPr>
        <w:pStyle w:val="7"/>
        <w:spacing w:before="0" w:after="0" w:line="240" w:lineRule="auto"/>
        <w:rPr>
          <w:rFonts w:ascii="仿宋" w:hAnsi="仿宋" w:cs="仿宋"/>
        </w:rPr>
      </w:pPr>
      <w:bookmarkStart w:id="100" w:name="_Toc24866"/>
      <w:bookmarkStart w:id="101" w:name="_Toc19829"/>
      <w:r>
        <w:rPr>
          <w:rFonts w:hint="eastAsia" w:ascii="仿宋" w:hAnsi="仿宋" w:cs="仿宋"/>
        </w:rPr>
        <w:t>例行试验</w:t>
      </w:r>
      <w:bookmarkEnd w:id="100"/>
      <w:bookmarkEnd w:id="101"/>
    </w:p>
    <w:p>
      <w:pPr>
        <w:adjustRightInd w:val="0"/>
        <w:snapToGrid w:val="0"/>
        <w:spacing w:line="360" w:lineRule="auto"/>
        <w:ind w:firstLine="560" w:firstLineChars="200"/>
        <w:rPr>
          <w:rFonts w:ascii="仿宋" w:hAnsi="仿宋" w:eastAsia="仿宋" w:cs="仿宋"/>
          <w:kern w:val="0"/>
          <w:sz w:val="28"/>
          <w:szCs w:val="28"/>
        </w:rPr>
      </w:pPr>
      <w:r>
        <w:rPr>
          <w:rFonts w:hint="eastAsia" w:ascii="仿宋" w:hAnsi="仿宋" w:eastAsia="仿宋" w:cs="仿宋"/>
          <w:kern w:val="0"/>
          <w:sz w:val="28"/>
          <w:szCs w:val="28"/>
        </w:rPr>
        <w:t>生产过程中进行例行试验，以确保产品的质量和性能符合标准。例行试验是一种定期进行的检验活动，旨在监控生产过程中的关键环节，确保产品质量的稳定性。投标方需提供例行试验方案包含但不限于以下要求：</w:t>
      </w:r>
    </w:p>
    <w:p>
      <w:pPr>
        <w:pStyle w:val="13"/>
        <w:numPr>
          <w:ilvl w:val="0"/>
          <w:numId w:val="14"/>
        </w:numPr>
        <w:tabs>
          <w:tab w:val="left" w:pos="900"/>
        </w:tabs>
        <w:spacing w:line="240" w:lineRule="auto"/>
        <w:rPr>
          <w:rFonts w:ascii="仿宋" w:hAnsi="仿宋" w:eastAsia="仿宋" w:cs="仿宋"/>
          <w:sz w:val="28"/>
          <w:szCs w:val="28"/>
        </w:rPr>
      </w:pPr>
      <w:r>
        <w:rPr>
          <w:rFonts w:hint="eastAsia" w:ascii="仿宋" w:hAnsi="仿宋" w:eastAsia="仿宋" w:cs="仿宋"/>
          <w:sz w:val="28"/>
          <w:szCs w:val="28"/>
        </w:rPr>
        <w:t>外观检查：检查产品外观，确保没有划痕、变形、颜色不均等问题。</w:t>
      </w:r>
    </w:p>
    <w:p>
      <w:pPr>
        <w:pStyle w:val="13"/>
        <w:numPr>
          <w:ilvl w:val="0"/>
          <w:numId w:val="14"/>
        </w:numPr>
        <w:tabs>
          <w:tab w:val="left" w:pos="900"/>
        </w:tabs>
        <w:spacing w:line="240" w:lineRule="auto"/>
        <w:rPr>
          <w:rFonts w:ascii="仿宋" w:hAnsi="仿宋" w:eastAsia="仿宋" w:cs="仿宋"/>
          <w:sz w:val="28"/>
          <w:szCs w:val="28"/>
        </w:rPr>
      </w:pPr>
      <w:r>
        <w:rPr>
          <w:rFonts w:hint="eastAsia" w:ascii="仿宋" w:hAnsi="仿宋" w:eastAsia="仿宋" w:cs="仿宋"/>
          <w:sz w:val="28"/>
          <w:szCs w:val="28"/>
        </w:rPr>
        <w:t>功能测试：测试产品各项功能是否正常，包括开机、关机、声音、接口等功能。</w:t>
      </w:r>
    </w:p>
    <w:p>
      <w:pPr>
        <w:pStyle w:val="13"/>
        <w:numPr>
          <w:ilvl w:val="0"/>
          <w:numId w:val="14"/>
        </w:numPr>
        <w:tabs>
          <w:tab w:val="left" w:pos="900"/>
        </w:tabs>
        <w:spacing w:line="240" w:lineRule="auto"/>
        <w:rPr>
          <w:rFonts w:ascii="仿宋" w:hAnsi="仿宋" w:eastAsia="仿宋" w:cs="仿宋"/>
          <w:sz w:val="28"/>
          <w:szCs w:val="28"/>
        </w:rPr>
      </w:pPr>
      <w:r>
        <w:rPr>
          <w:rFonts w:hint="eastAsia" w:ascii="仿宋" w:hAnsi="仿宋" w:eastAsia="仿宋" w:cs="仿宋"/>
          <w:sz w:val="28"/>
          <w:szCs w:val="28"/>
        </w:rPr>
        <w:t>性能测试：测试产品的性能指标是否符合规定标准，如处理器性能、内存容量、硬盘读写速度等。</w:t>
      </w:r>
    </w:p>
    <w:p>
      <w:pPr>
        <w:pStyle w:val="13"/>
        <w:numPr>
          <w:ilvl w:val="0"/>
          <w:numId w:val="14"/>
        </w:numPr>
        <w:tabs>
          <w:tab w:val="left" w:pos="900"/>
        </w:tabs>
        <w:spacing w:line="240" w:lineRule="auto"/>
        <w:rPr>
          <w:rFonts w:ascii="仿宋" w:hAnsi="仿宋" w:eastAsia="仿宋" w:cs="仿宋"/>
          <w:sz w:val="28"/>
          <w:szCs w:val="28"/>
        </w:rPr>
      </w:pPr>
      <w:r>
        <w:rPr>
          <w:rFonts w:hint="eastAsia" w:ascii="仿宋" w:hAnsi="仿宋" w:eastAsia="仿宋" w:cs="仿宋"/>
          <w:sz w:val="28"/>
          <w:szCs w:val="28"/>
        </w:rPr>
        <w:t>稳定性测试：测试产品在长时间运行或高负荷运行时的稳定性和耐用性。</w:t>
      </w:r>
    </w:p>
    <w:p>
      <w:pPr>
        <w:pStyle w:val="13"/>
        <w:tabs>
          <w:tab w:val="left" w:pos="640"/>
        </w:tabs>
        <w:spacing w:line="240" w:lineRule="auto"/>
        <w:ind w:left="420" w:firstLine="0"/>
        <w:rPr>
          <w:rFonts w:ascii="仿宋" w:hAnsi="仿宋" w:eastAsia="仿宋" w:cs="仿宋"/>
          <w:sz w:val="28"/>
          <w:szCs w:val="28"/>
        </w:rPr>
      </w:pPr>
      <w:r>
        <w:rPr>
          <w:rFonts w:hint="eastAsia" w:ascii="仿宋" w:hAnsi="仿宋" w:eastAsia="仿宋" w:cs="仿宋"/>
          <w:sz w:val="28"/>
          <w:szCs w:val="28"/>
        </w:rPr>
        <w:t>试验应满足技术规范书规定要求，如有一项不合格，不得出厂。</w:t>
      </w:r>
    </w:p>
    <w:p>
      <w:pPr>
        <w:pStyle w:val="7"/>
        <w:spacing w:before="0" w:after="0" w:line="240" w:lineRule="auto"/>
        <w:rPr>
          <w:rFonts w:ascii="仿宋" w:hAnsi="仿宋" w:cs="仿宋"/>
        </w:rPr>
      </w:pPr>
      <w:r>
        <w:rPr>
          <w:rFonts w:hint="eastAsia" w:ascii="仿宋" w:hAnsi="仿宋" w:cs="仿宋"/>
        </w:rPr>
        <w:t>出厂试验</w:t>
      </w:r>
    </w:p>
    <w:p>
      <w:pPr>
        <w:ind w:firstLine="560" w:firstLineChars="200"/>
        <w:rPr>
          <w:rFonts w:ascii="仿宋" w:hAnsi="仿宋" w:eastAsia="仿宋" w:cs="仿宋"/>
          <w:kern w:val="0"/>
          <w:sz w:val="28"/>
          <w:szCs w:val="28"/>
        </w:rPr>
      </w:pPr>
      <w:r>
        <w:rPr>
          <w:rFonts w:hint="eastAsia" w:ascii="仿宋" w:hAnsi="仿宋" w:eastAsia="仿宋" w:cs="仿宋"/>
          <w:kern w:val="0"/>
          <w:sz w:val="28"/>
          <w:szCs w:val="28"/>
        </w:rPr>
        <w:t>生产完成后进行出厂试验，以确保产品的质量和性能符合标准。出厂试验是在产品完成制造后，为了验证其是否符合设计规格和质量标准，在正式交付前进行的一系列检测和试验。投标方需提供出厂试验方案包含但不限于以下要求：</w:t>
      </w:r>
    </w:p>
    <w:p>
      <w:pPr>
        <w:pStyle w:val="13"/>
        <w:numPr>
          <w:ilvl w:val="0"/>
          <w:numId w:val="15"/>
        </w:numPr>
        <w:tabs>
          <w:tab w:val="left" w:pos="900"/>
        </w:tabs>
        <w:spacing w:line="240" w:lineRule="auto"/>
        <w:rPr>
          <w:rFonts w:ascii="仿宋" w:hAnsi="仿宋" w:eastAsia="仿宋" w:cs="仿宋"/>
          <w:sz w:val="28"/>
          <w:szCs w:val="28"/>
        </w:rPr>
      </w:pPr>
      <w:r>
        <w:rPr>
          <w:rFonts w:hint="eastAsia" w:ascii="仿宋" w:hAnsi="仿宋" w:eastAsia="仿宋" w:cs="仿宋"/>
          <w:sz w:val="28"/>
          <w:szCs w:val="28"/>
        </w:rPr>
        <w:t>温度测试：测试产品在不同温度条件下的表现，确保产品能够在各种环境下正常运行。</w:t>
      </w:r>
    </w:p>
    <w:p>
      <w:pPr>
        <w:pStyle w:val="13"/>
        <w:numPr>
          <w:ilvl w:val="0"/>
          <w:numId w:val="15"/>
        </w:numPr>
        <w:tabs>
          <w:tab w:val="left" w:pos="900"/>
        </w:tabs>
        <w:spacing w:line="240" w:lineRule="auto"/>
        <w:rPr>
          <w:rFonts w:ascii="仿宋" w:hAnsi="仿宋" w:eastAsia="仿宋" w:cs="仿宋"/>
          <w:sz w:val="28"/>
          <w:szCs w:val="28"/>
        </w:rPr>
      </w:pPr>
      <w:r>
        <w:rPr>
          <w:rFonts w:hint="eastAsia" w:ascii="仿宋" w:hAnsi="仿宋" w:eastAsia="仿宋" w:cs="仿宋"/>
          <w:sz w:val="28"/>
          <w:szCs w:val="28"/>
        </w:rPr>
        <w:t>湿度测试：测试产品在不同湿度条件下的表现，确保产品的耐潮湿性能。</w:t>
      </w:r>
    </w:p>
    <w:p>
      <w:pPr>
        <w:pStyle w:val="13"/>
        <w:numPr>
          <w:ilvl w:val="0"/>
          <w:numId w:val="15"/>
        </w:numPr>
        <w:tabs>
          <w:tab w:val="left" w:pos="900"/>
        </w:tabs>
        <w:spacing w:line="240" w:lineRule="auto"/>
        <w:rPr>
          <w:rFonts w:ascii="仿宋" w:hAnsi="仿宋" w:eastAsia="仿宋" w:cs="仿宋"/>
          <w:sz w:val="28"/>
          <w:szCs w:val="28"/>
        </w:rPr>
      </w:pPr>
      <w:r>
        <w:rPr>
          <w:rFonts w:hint="eastAsia" w:ascii="仿宋" w:hAnsi="仿宋" w:eastAsia="仿宋" w:cs="仿宋"/>
          <w:sz w:val="28"/>
          <w:szCs w:val="28"/>
        </w:rPr>
        <w:t>电气安全测试：测试产品是否符合电气安全标准，确保产品在使用过程中安全可靠。</w:t>
      </w:r>
    </w:p>
    <w:p>
      <w:pPr>
        <w:pStyle w:val="6"/>
        <w:spacing w:line="240" w:lineRule="auto"/>
        <w:rPr>
          <w:rFonts w:eastAsia="仿宋" w:cs="仿宋"/>
        </w:rPr>
      </w:pPr>
      <w:bookmarkStart w:id="102" w:name="_Toc24850"/>
      <w:bookmarkStart w:id="103" w:name="_Toc17295"/>
      <w:bookmarkStart w:id="104" w:name="_Toc25520"/>
      <w:r>
        <w:rPr>
          <w:rFonts w:hint="eastAsia" w:eastAsia="仿宋" w:cs="仿宋"/>
        </w:rPr>
        <w:t>包装、运输和储存要求</w:t>
      </w:r>
      <w:bookmarkEnd w:id="92"/>
      <w:bookmarkEnd w:id="93"/>
      <w:bookmarkEnd w:id="94"/>
      <w:bookmarkEnd w:id="95"/>
      <w:bookmarkEnd w:id="102"/>
      <w:bookmarkEnd w:id="103"/>
      <w:bookmarkEnd w:id="104"/>
    </w:p>
    <w:p>
      <w:pPr>
        <w:pStyle w:val="7"/>
        <w:spacing w:before="0" w:after="0" w:line="240" w:lineRule="auto"/>
        <w:rPr>
          <w:rFonts w:ascii="仿宋" w:hAnsi="仿宋" w:cs="仿宋"/>
        </w:rPr>
      </w:pPr>
      <w:bookmarkStart w:id="105" w:name="_Toc19076"/>
      <w:bookmarkStart w:id="106" w:name="_Toc3010"/>
      <w:bookmarkStart w:id="107" w:name="_Toc9273"/>
      <w:bookmarkStart w:id="108" w:name="_Toc25547"/>
      <w:bookmarkStart w:id="109" w:name="_Toc13664"/>
      <w:r>
        <w:rPr>
          <w:rFonts w:hint="eastAsia" w:ascii="仿宋" w:hAnsi="仿宋" w:cs="仿宋"/>
        </w:rPr>
        <w:t>包装</w:t>
      </w:r>
    </w:p>
    <w:p>
      <w:pPr>
        <w:pStyle w:val="13"/>
        <w:numPr>
          <w:ilvl w:val="0"/>
          <w:numId w:val="16"/>
        </w:numPr>
        <w:tabs>
          <w:tab w:val="left" w:pos="900"/>
        </w:tabs>
        <w:spacing w:line="240" w:lineRule="auto"/>
        <w:rPr>
          <w:rFonts w:ascii="仿宋" w:hAnsi="仿宋" w:eastAsia="仿宋" w:cs="仿宋"/>
          <w:sz w:val="28"/>
          <w:szCs w:val="28"/>
        </w:rPr>
      </w:pPr>
      <w:r>
        <w:rPr>
          <w:rFonts w:hint="eastAsia" w:ascii="仿宋" w:hAnsi="仿宋" w:eastAsia="仿宋" w:cs="仿宋"/>
          <w:sz w:val="28"/>
          <w:szCs w:val="28"/>
        </w:rPr>
        <w:t>设备制造完成并通过试验后应及时包装，否则应得到切实的保护，确保其不受污损。所有部件经妥善包装或装箱后，在运输过程中尚应采取其他防护措施，以免散失损坏或被盗。</w:t>
      </w:r>
    </w:p>
    <w:p>
      <w:pPr>
        <w:pStyle w:val="13"/>
        <w:numPr>
          <w:ilvl w:val="0"/>
          <w:numId w:val="16"/>
        </w:numPr>
        <w:tabs>
          <w:tab w:val="left" w:pos="900"/>
        </w:tabs>
        <w:spacing w:line="240" w:lineRule="auto"/>
        <w:rPr>
          <w:rFonts w:ascii="仿宋" w:hAnsi="仿宋" w:eastAsia="仿宋" w:cs="仿宋"/>
          <w:sz w:val="28"/>
          <w:szCs w:val="28"/>
        </w:rPr>
      </w:pPr>
      <w:r>
        <w:rPr>
          <w:rFonts w:hint="eastAsia" w:ascii="仿宋" w:hAnsi="仿宋" w:eastAsia="仿宋" w:cs="仿宋"/>
          <w:sz w:val="28"/>
          <w:szCs w:val="28"/>
        </w:rPr>
        <w:t>在包装箱外应标明需方的订货号、发货号。</w:t>
      </w:r>
    </w:p>
    <w:p>
      <w:pPr>
        <w:pStyle w:val="13"/>
        <w:numPr>
          <w:ilvl w:val="0"/>
          <w:numId w:val="16"/>
        </w:numPr>
        <w:tabs>
          <w:tab w:val="left" w:pos="900"/>
        </w:tabs>
        <w:spacing w:line="240" w:lineRule="auto"/>
        <w:rPr>
          <w:rFonts w:ascii="仿宋" w:hAnsi="仿宋" w:eastAsia="仿宋" w:cs="仿宋"/>
          <w:sz w:val="28"/>
          <w:szCs w:val="28"/>
        </w:rPr>
      </w:pPr>
      <w:r>
        <w:rPr>
          <w:rFonts w:hint="eastAsia" w:ascii="仿宋" w:hAnsi="仿宋" w:eastAsia="仿宋" w:cs="仿宋"/>
          <w:sz w:val="28"/>
          <w:szCs w:val="28"/>
        </w:rPr>
        <w:t>各种包装应能确保各零部件在运输过程中不致遭到损坏、丢失、变形、受潮和腐蚀。</w:t>
      </w:r>
    </w:p>
    <w:p>
      <w:pPr>
        <w:pStyle w:val="13"/>
        <w:numPr>
          <w:ilvl w:val="0"/>
          <w:numId w:val="16"/>
        </w:numPr>
        <w:tabs>
          <w:tab w:val="left" w:pos="900"/>
        </w:tabs>
        <w:spacing w:line="240" w:lineRule="auto"/>
        <w:rPr>
          <w:rFonts w:ascii="仿宋" w:hAnsi="仿宋" w:eastAsia="仿宋" w:cs="仿宋"/>
          <w:sz w:val="28"/>
          <w:szCs w:val="28"/>
        </w:rPr>
      </w:pPr>
      <w:r>
        <w:rPr>
          <w:rFonts w:hint="eastAsia" w:ascii="仿宋" w:hAnsi="仿宋" w:eastAsia="仿宋" w:cs="仿宋"/>
          <w:sz w:val="28"/>
          <w:szCs w:val="28"/>
        </w:rPr>
        <w:t>招标方提供的产品装箱以及运输贮存应满足以下指标：</w:t>
      </w:r>
    </w:p>
    <w:p>
      <w:pPr>
        <w:numPr>
          <w:ilvl w:val="0"/>
          <w:numId w:val="17"/>
        </w:numPr>
        <w:ind w:left="483" w:firstLine="567"/>
        <w:jc w:val="left"/>
        <w:rPr>
          <w:rFonts w:ascii="仿宋" w:hAnsi="仿宋" w:eastAsia="仿宋" w:cs="仿宋"/>
          <w:sz w:val="28"/>
          <w:szCs w:val="36"/>
        </w:rPr>
      </w:pPr>
      <w:r>
        <w:rPr>
          <w:rFonts w:hint="eastAsia" w:ascii="仿宋" w:hAnsi="仿宋" w:eastAsia="仿宋" w:cs="仿宋"/>
          <w:sz w:val="28"/>
          <w:szCs w:val="36"/>
        </w:rPr>
        <w:t>纸箱厚度：厚度10mm</w:t>
      </w:r>
    </w:p>
    <w:p>
      <w:pPr>
        <w:numPr>
          <w:ilvl w:val="0"/>
          <w:numId w:val="17"/>
        </w:numPr>
        <w:ind w:left="483" w:firstLine="567"/>
        <w:jc w:val="left"/>
        <w:rPr>
          <w:rFonts w:ascii="仿宋" w:hAnsi="仿宋" w:eastAsia="仿宋" w:cs="仿宋"/>
          <w:sz w:val="28"/>
          <w:szCs w:val="36"/>
        </w:rPr>
      </w:pPr>
      <w:r>
        <w:rPr>
          <w:rFonts w:hint="eastAsia" w:ascii="仿宋" w:hAnsi="仿宋" w:eastAsia="仿宋" w:cs="仿宋"/>
          <w:sz w:val="28"/>
          <w:szCs w:val="36"/>
        </w:rPr>
        <w:t>泡沫护角：配置8个泡沫护角</w:t>
      </w:r>
    </w:p>
    <w:p>
      <w:pPr>
        <w:numPr>
          <w:ilvl w:val="0"/>
          <w:numId w:val="17"/>
        </w:numPr>
        <w:ind w:left="483" w:firstLine="567"/>
        <w:jc w:val="left"/>
        <w:rPr>
          <w:rFonts w:ascii="仿宋" w:hAnsi="仿宋" w:eastAsia="仿宋" w:cs="仿宋"/>
          <w:sz w:val="28"/>
          <w:szCs w:val="36"/>
        </w:rPr>
      </w:pPr>
      <w:r>
        <w:rPr>
          <w:rFonts w:hint="eastAsia" w:ascii="仿宋" w:hAnsi="仿宋" w:eastAsia="仿宋" w:cs="仿宋"/>
          <w:sz w:val="28"/>
          <w:szCs w:val="36"/>
        </w:rPr>
        <w:t>塑料袋：配置塑料防水包装袋1个</w:t>
      </w:r>
    </w:p>
    <w:p>
      <w:pPr>
        <w:numPr>
          <w:ilvl w:val="0"/>
          <w:numId w:val="17"/>
        </w:numPr>
        <w:ind w:left="483" w:firstLine="567"/>
        <w:jc w:val="left"/>
        <w:rPr>
          <w:rFonts w:ascii="仿宋" w:hAnsi="仿宋" w:eastAsia="仿宋" w:cs="仿宋"/>
          <w:sz w:val="28"/>
          <w:szCs w:val="36"/>
        </w:rPr>
      </w:pPr>
      <w:r>
        <w:rPr>
          <w:rFonts w:hint="eastAsia" w:ascii="仿宋" w:hAnsi="仿宋" w:eastAsia="仿宋" w:cs="仿宋"/>
          <w:sz w:val="28"/>
          <w:szCs w:val="36"/>
        </w:rPr>
        <w:t>包装标识：提供招标方LOGO标识定制化服务（包括但不限于型号标贴、纸箱标贴、封箱胶带）</w:t>
      </w:r>
    </w:p>
    <w:p>
      <w:pPr>
        <w:numPr>
          <w:ilvl w:val="0"/>
          <w:numId w:val="17"/>
        </w:numPr>
        <w:ind w:left="483" w:firstLine="567"/>
        <w:jc w:val="left"/>
        <w:rPr>
          <w:rFonts w:ascii="仿宋" w:hAnsi="仿宋" w:eastAsia="仿宋" w:cs="仿宋"/>
          <w:sz w:val="28"/>
          <w:szCs w:val="36"/>
        </w:rPr>
      </w:pPr>
      <w:r>
        <w:rPr>
          <w:rFonts w:hint="eastAsia" w:ascii="仿宋" w:hAnsi="仿宋" w:eastAsia="仿宋" w:cs="仿宋"/>
          <w:sz w:val="28"/>
          <w:szCs w:val="36"/>
        </w:rPr>
        <w:t>材质：250g牛皮面纸，耐破13kg/㎡，边压4500N/m</w:t>
      </w:r>
    </w:p>
    <w:p>
      <w:pPr>
        <w:numPr>
          <w:ilvl w:val="0"/>
          <w:numId w:val="17"/>
        </w:numPr>
        <w:ind w:left="483" w:firstLine="567"/>
        <w:jc w:val="left"/>
        <w:rPr>
          <w:rFonts w:ascii="仿宋" w:hAnsi="仿宋" w:eastAsia="仿宋" w:cs="仿宋"/>
          <w:sz w:val="28"/>
          <w:szCs w:val="36"/>
        </w:rPr>
      </w:pPr>
      <w:r>
        <w:rPr>
          <w:rFonts w:hint="eastAsia" w:ascii="仿宋" w:hAnsi="仿宋" w:eastAsia="仿宋" w:cs="仿宋"/>
          <w:sz w:val="28"/>
          <w:szCs w:val="36"/>
        </w:rPr>
        <w:t>随箱资料：合格证、质保卡、用户指南、装箱清单（统一放置到招标方指定位置）</w:t>
      </w:r>
    </w:p>
    <w:p>
      <w:pPr>
        <w:numPr>
          <w:ilvl w:val="0"/>
          <w:numId w:val="17"/>
        </w:numPr>
        <w:ind w:left="483" w:firstLine="567"/>
        <w:jc w:val="left"/>
        <w:rPr>
          <w:rFonts w:ascii="仿宋" w:hAnsi="仿宋" w:eastAsia="仿宋" w:cs="仿宋"/>
          <w:sz w:val="28"/>
          <w:szCs w:val="28"/>
        </w:rPr>
      </w:pPr>
      <w:r>
        <w:rPr>
          <w:rFonts w:hint="eastAsia" w:ascii="仿宋" w:hAnsi="仿宋" w:eastAsia="仿宋" w:cs="仿宋"/>
          <w:sz w:val="28"/>
          <w:szCs w:val="36"/>
        </w:rPr>
        <w:t>标志、包装、运输和贮存：符合GB/T 9813.1和商品包装政府采购需求标准的相关规定</w:t>
      </w:r>
    </w:p>
    <w:p>
      <w:pPr>
        <w:pStyle w:val="7"/>
        <w:spacing w:before="0" w:after="0" w:line="240" w:lineRule="auto"/>
        <w:rPr>
          <w:rFonts w:ascii="仿宋" w:hAnsi="仿宋" w:cs="仿宋"/>
        </w:rPr>
      </w:pPr>
      <w:r>
        <w:rPr>
          <w:rFonts w:hint="eastAsia" w:ascii="仿宋" w:hAnsi="仿宋" w:cs="仿宋"/>
        </w:rPr>
        <w:t>运输和储存</w:t>
      </w:r>
    </w:p>
    <w:p>
      <w:pPr>
        <w:pStyle w:val="13"/>
        <w:numPr>
          <w:ilvl w:val="0"/>
          <w:numId w:val="18"/>
        </w:numPr>
        <w:tabs>
          <w:tab w:val="left" w:pos="900"/>
        </w:tabs>
        <w:spacing w:line="240" w:lineRule="auto"/>
        <w:rPr>
          <w:rFonts w:ascii="仿宋" w:hAnsi="仿宋" w:eastAsia="仿宋" w:cs="仿宋"/>
          <w:sz w:val="28"/>
          <w:szCs w:val="28"/>
        </w:rPr>
      </w:pPr>
      <w:r>
        <w:rPr>
          <w:rFonts w:hint="eastAsia" w:ascii="仿宋" w:hAnsi="仿宋" w:eastAsia="仿宋" w:cs="仿宋"/>
          <w:sz w:val="28"/>
          <w:szCs w:val="28"/>
        </w:rPr>
        <w:t>整体产品或分别运输的部件都要符合运输和装载的要求。</w:t>
      </w:r>
    </w:p>
    <w:p>
      <w:pPr>
        <w:pStyle w:val="13"/>
        <w:numPr>
          <w:ilvl w:val="0"/>
          <w:numId w:val="18"/>
        </w:numPr>
        <w:tabs>
          <w:tab w:val="left" w:pos="900"/>
        </w:tabs>
        <w:spacing w:line="240" w:lineRule="auto"/>
        <w:rPr>
          <w:rFonts w:ascii="仿宋" w:hAnsi="仿宋" w:eastAsia="仿宋" w:cs="仿宋"/>
          <w:sz w:val="28"/>
          <w:szCs w:val="28"/>
        </w:rPr>
      </w:pPr>
      <w:r>
        <w:rPr>
          <w:rFonts w:hint="eastAsia" w:ascii="仿宋" w:hAnsi="仿宋" w:eastAsia="仿宋" w:cs="仿宋"/>
          <w:sz w:val="28"/>
          <w:szCs w:val="28"/>
        </w:rPr>
        <w:t>随产品提供的技术资料应完整无缺，提供数量符合本技术规范书的要求。</w:t>
      </w:r>
    </w:p>
    <w:p>
      <w:pPr>
        <w:pStyle w:val="13"/>
        <w:numPr>
          <w:ilvl w:val="0"/>
          <w:numId w:val="18"/>
        </w:numPr>
        <w:tabs>
          <w:tab w:val="left" w:pos="900"/>
        </w:tabs>
        <w:spacing w:line="240" w:lineRule="auto"/>
        <w:rPr>
          <w:rFonts w:ascii="仿宋" w:hAnsi="仿宋" w:eastAsia="仿宋" w:cs="仿宋"/>
          <w:sz w:val="28"/>
          <w:szCs w:val="28"/>
        </w:rPr>
      </w:pPr>
      <w:r>
        <w:rPr>
          <w:rFonts w:hint="eastAsia" w:ascii="仿宋" w:hAnsi="仿宋" w:eastAsia="仿宋" w:cs="仿宋"/>
          <w:sz w:val="28"/>
          <w:szCs w:val="28"/>
        </w:rPr>
        <w:t>包装、运输和贮存均由投标方负责，运输的目的地为安装地点，设备抵达目的地后，投标方组织开箱验收。如果发现任一设备有偏差、损坏、损失、遗漏或数量、质量、技术规范因投标方的责任与合同不符，招标方有权向投标方提出索赔。</w:t>
      </w:r>
    </w:p>
    <w:p>
      <w:pPr>
        <w:pStyle w:val="13"/>
        <w:numPr>
          <w:ilvl w:val="0"/>
          <w:numId w:val="18"/>
        </w:numPr>
        <w:tabs>
          <w:tab w:val="left" w:pos="900"/>
        </w:tabs>
        <w:spacing w:line="240" w:lineRule="auto"/>
        <w:rPr>
          <w:rFonts w:ascii="仿宋" w:hAnsi="仿宋" w:eastAsia="仿宋" w:cs="仿宋"/>
          <w:sz w:val="28"/>
          <w:szCs w:val="28"/>
        </w:rPr>
      </w:pPr>
      <w:r>
        <w:rPr>
          <w:rFonts w:hint="eastAsia" w:ascii="仿宋" w:hAnsi="仿宋" w:eastAsia="仿宋" w:cs="仿宋"/>
          <w:sz w:val="28"/>
          <w:szCs w:val="28"/>
        </w:rPr>
        <w:t>运输时间：应在招标方规定的时间内完成产品运输工作。</w:t>
      </w:r>
    </w:p>
    <w:p>
      <w:pPr>
        <w:pStyle w:val="13"/>
        <w:numPr>
          <w:ilvl w:val="0"/>
          <w:numId w:val="18"/>
        </w:numPr>
        <w:tabs>
          <w:tab w:val="left" w:pos="900"/>
        </w:tabs>
        <w:spacing w:line="240" w:lineRule="auto"/>
        <w:rPr>
          <w:rFonts w:ascii="仿宋" w:hAnsi="仿宋" w:eastAsia="仿宋" w:cs="仿宋"/>
          <w:sz w:val="28"/>
          <w:szCs w:val="28"/>
        </w:rPr>
      </w:pPr>
      <w:r>
        <w:rPr>
          <w:rFonts w:hint="eastAsia" w:ascii="仿宋" w:hAnsi="仿宋" w:eastAsia="仿宋" w:cs="仿宋"/>
          <w:sz w:val="28"/>
          <w:szCs w:val="28"/>
        </w:rPr>
        <w:t>货物运输地点：广州区域。</w:t>
      </w:r>
    </w:p>
    <w:p>
      <w:pPr>
        <w:pStyle w:val="6"/>
        <w:spacing w:line="240" w:lineRule="auto"/>
        <w:rPr>
          <w:rFonts w:eastAsia="仿宋" w:cs="仿宋"/>
        </w:rPr>
      </w:pPr>
      <w:bookmarkStart w:id="110" w:name="_Toc5571"/>
      <w:bookmarkStart w:id="111" w:name="_Toc3877"/>
      <w:bookmarkStart w:id="112" w:name="_Toc13066"/>
      <w:r>
        <w:rPr>
          <w:rFonts w:hint="eastAsia" w:eastAsia="仿宋" w:cs="仿宋"/>
        </w:rPr>
        <w:t>产品售后服务要求</w:t>
      </w:r>
      <w:bookmarkEnd w:id="105"/>
      <w:bookmarkEnd w:id="106"/>
      <w:bookmarkEnd w:id="107"/>
      <w:bookmarkEnd w:id="108"/>
      <w:bookmarkEnd w:id="109"/>
      <w:bookmarkEnd w:id="110"/>
      <w:bookmarkEnd w:id="111"/>
      <w:bookmarkEnd w:id="112"/>
    </w:p>
    <w:p>
      <w:pPr>
        <w:pStyle w:val="7"/>
        <w:spacing w:before="0" w:after="0" w:line="240" w:lineRule="auto"/>
        <w:rPr>
          <w:rFonts w:ascii="仿宋" w:hAnsi="仿宋" w:cs="仿宋"/>
        </w:rPr>
      </w:pPr>
      <w:bookmarkStart w:id="113" w:name="_Toc23353"/>
      <w:bookmarkStart w:id="114" w:name="_Toc19425"/>
      <w:r>
        <w:rPr>
          <w:rFonts w:hint="eastAsia" w:ascii="仿宋" w:hAnsi="仿宋" w:cs="仿宋"/>
        </w:rPr>
        <w:t>产品质保期</w:t>
      </w:r>
      <w:bookmarkEnd w:id="113"/>
      <w:bookmarkEnd w:id="114"/>
    </w:p>
    <w:p>
      <w:pPr>
        <w:pStyle w:val="13"/>
        <w:tabs>
          <w:tab w:val="left" w:pos="900"/>
        </w:tabs>
        <w:adjustRightInd w:val="0"/>
        <w:snapToGrid w:val="0"/>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本项目</w:t>
      </w:r>
      <w:r>
        <w:rPr>
          <w:rFonts w:hint="eastAsia" w:ascii="仿宋" w:hAnsi="仿宋" w:eastAsia="仿宋" w:cs="仿宋"/>
          <w:sz w:val="28"/>
          <w:szCs w:val="28"/>
          <w:lang w:eastAsia="zh-CN"/>
        </w:rPr>
        <w:t>改造</w:t>
      </w:r>
      <w:r>
        <w:rPr>
          <w:rFonts w:hint="eastAsia" w:ascii="仿宋" w:hAnsi="仿宋" w:eastAsia="仿宋" w:cs="仿宋"/>
          <w:sz w:val="28"/>
          <w:szCs w:val="28"/>
        </w:rPr>
        <w:t>产品质保期为从代工产品通过验收并投运后开始计算</w:t>
      </w:r>
      <w:r>
        <w:rPr>
          <w:rFonts w:hint="eastAsia" w:ascii="仿宋" w:hAnsi="仿宋" w:eastAsia="仿宋" w:cs="仿宋"/>
          <w:sz w:val="28"/>
          <w:szCs w:val="28"/>
          <w:lang w:val="en-US" w:eastAsia="zh-CN"/>
        </w:rPr>
        <w:t>12</w:t>
      </w:r>
      <w:r>
        <w:rPr>
          <w:rFonts w:hint="eastAsia" w:ascii="仿宋" w:hAnsi="仿宋" w:eastAsia="仿宋" w:cs="仿宋"/>
          <w:sz w:val="28"/>
          <w:szCs w:val="28"/>
        </w:rPr>
        <w:t>个月。</w:t>
      </w:r>
    </w:p>
    <w:p>
      <w:pPr>
        <w:pStyle w:val="13"/>
        <w:tabs>
          <w:tab w:val="left" w:pos="900"/>
        </w:tabs>
        <w:adjustRightInd w:val="0"/>
        <w:snapToGrid w:val="0"/>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在质保期内因产品质量原因造成的损坏，投标方负责免费维修。保修期内硬件故障时，投标方所提供的替代硬件设备的性能应等于或高于原产品性能。设备在合同规定的质保期内，发生损坏和缺陷，或者由于设计错误、开发、材料、工艺等原因造成的损坏，或是不满足合同的要求，招标方将用书面方式通知投标方，投标方应立即免费更换这些有损坏和有缺陷的设备（包括运输费、税收等）。</w:t>
      </w:r>
    </w:p>
    <w:p>
      <w:pPr>
        <w:pStyle w:val="13"/>
        <w:tabs>
          <w:tab w:val="left" w:pos="900"/>
        </w:tabs>
        <w:adjustRightInd w:val="0"/>
        <w:snapToGrid w:val="0"/>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合同期内，因招标方或者使用方运输、安装、使用、保管不当等造成的损坏或者非产品质量导致的损坏，投标方配合维修或者更换，产生的所有费用由招标方或者使用方承担。</w:t>
      </w:r>
    </w:p>
    <w:p>
      <w:pPr>
        <w:pStyle w:val="7"/>
        <w:spacing w:before="0" w:after="0" w:line="240" w:lineRule="auto"/>
        <w:rPr>
          <w:rFonts w:ascii="仿宋" w:hAnsi="仿宋" w:cs="仿宋"/>
        </w:rPr>
      </w:pPr>
      <w:bookmarkStart w:id="115" w:name="_Toc6355"/>
      <w:bookmarkStart w:id="116" w:name="_Toc4477"/>
      <w:r>
        <w:rPr>
          <w:rFonts w:hint="eastAsia" w:ascii="仿宋" w:hAnsi="仿宋" w:cs="仿宋"/>
        </w:rPr>
        <w:t>项目售后要求</w:t>
      </w:r>
      <w:bookmarkEnd w:id="115"/>
      <w:bookmarkEnd w:id="116"/>
    </w:p>
    <w:p>
      <w:pPr>
        <w:pStyle w:val="13"/>
        <w:numPr>
          <w:ilvl w:val="0"/>
          <w:numId w:val="19"/>
        </w:numPr>
        <w:tabs>
          <w:tab w:val="left" w:pos="900"/>
        </w:tabs>
        <w:spacing w:line="240" w:lineRule="auto"/>
        <w:rPr>
          <w:rFonts w:ascii="仿宋" w:hAnsi="仿宋" w:eastAsia="仿宋" w:cs="仿宋"/>
          <w:sz w:val="28"/>
          <w:szCs w:val="28"/>
        </w:rPr>
      </w:pPr>
      <w:bookmarkStart w:id="117" w:name="_Toc16828"/>
      <w:r>
        <w:rPr>
          <w:rFonts w:hint="eastAsia" w:ascii="仿宋" w:hAnsi="仿宋" w:eastAsia="仿宋" w:cs="仿宋"/>
          <w:sz w:val="28"/>
          <w:szCs w:val="28"/>
        </w:rPr>
        <w:t>质保期内投标方提供7×24小时技术支持服务，指定相对固定的技术负责人及联络电话、传真、e-mail等</w:t>
      </w:r>
      <w:r>
        <w:rPr>
          <w:rFonts w:hint="eastAsia" w:ascii="仿宋" w:hAnsi="仿宋" w:eastAsia="仿宋" w:cs="仿宋"/>
          <w:sz w:val="28"/>
          <w:szCs w:val="28"/>
          <w:lang w:eastAsia="zh-Hans"/>
        </w:rPr>
        <w:t>，</w:t>
      </w:r>
      <w:r>
        <w:rPr>
          <w:rFonts w:hint="eastAsia" w:ascii="仿宋" w:hAnsi="仿宋" w:eastAsia="仿宋" w:cs="仿宋"/>
          <w:sz w:val="28"/>
          <w:szCs w:val="28"/>
        </w:rPr>
        <w:t>设备出现质量问题，要求10天故障得以解决；</w:t>
      </w:r>
    </w:p>
    <w:p>
      <w:pPr>
        <w:pStyle w:val="13"/>
        <w:numPr>
          <w:ilvl w:val="0"/>
          <w:numId w:val="19"/>
        </w:numPr>
        <w:tabs>
          <w:tab w:val="left" w:pos="900"/>
        </w:tabs>
        <w:spacing w:line="240" w:lineRule="auto"/>
        <w:rPr>
          <w:rFonts w:ascii="仿宋" w:hAnsi="仿宋" w:eastAsia="仿宋" w:cs="仿宋"/>
          <w:sz w:val="28"/>
          <w:szCs w:val="28"/>
        </w:rPr>
      </w:pPr>
      <w:r>
        <w:rPr>
          <w:rFonts w:hint="eastAsia" w:ascii="仿宋" w:hAnsi="仿宋" w:eastAsia="仿宋" w:cs="仿宋"/>
          <w:sz w:val="28"/>
          <w:szCs w:val="28"/>
        </w:rPr>
        <w:t>投标方提供上门、电话、电子邮件、远程连接等多种形式服务；</w:t>
      </w:r>
    </w:p>
    <w:p>
      <w:pPr>
        <w:pStyle w:val="13"/>
        <w:numPr>
          <w:ilvl w:val="0"/>
          <w:numId w:val="19"/>
        </w:numPr>
        <w:tabs>
          <w:tab w:val="left" w:pos="900"/>
        </w:tabs>
        <w:spacing w:line="240" w:lineRule="auto"/>
        <w:rPr>
          <w:rFonts w:ascii="仿宋" w:hAnsi="仿宋" w:eastAsia="仿宋" w:cs="仿宋"/>
          <w:sz w:val="28"/>
          <w:szCs w:val="28"/>
        </w:rPr>
      </w:pPr>
      <w:r>
        <w:rPr>
          <w:rFonts w:hint="eastAsia" w:ascii="仿宋" w:hAnsi="仿宋" w:eastAsia="仿宋" w:cs="仿宋"/>
          <w:sz w:val="28"/>
          <w:szCs w:val="28"/>
        </w:rPr>
        <w:t>投标方应保证技术服务响应的及时性，3个工作日解决问题，对于未能解决的问题和故障应提供可行的升级方案，并提供周转设备或更换设备；</w:t>
      </w:r>
    </w:p>
    <w:p>
      <w:pPr>
        <w:pStyle w:val="13"/>
        <w:numPr>
          <w:ilvl w:val="0"/>
          <w:numId w:val="19"/>
        </w:numPr>
        <w:tabs>
          <w:tab w:val="left" w:pos="900"/>
        </w:tabs>
        <w:spacing w:line="240" w:lineRule="auto"/>
        <w:rPr>
          <w:rFonts w:ascii="仿宋" w:hAnsi="仿宋" w:eastAsia="仿宋" w:cs="仿宋"/>
          <w:sz w:val="28"/>
          <w:szCs w:val="28"/>
        </w:rPr>
      </w:pPr>
      <w:r>
        <w:rPr>
          <w:rFonts w:hint="eastAsia" w:ascii="仿宋" w:hAnsi="仿宋" w:eastAsia="仿宋" w:cs="仿宋"/>
          <w:sz w:val="28"/>
          <w:szCs w:val="28"/>
        </w:rPr>
        <w:t>服务周期内提供产品的维修、换件和升级服务</w:t>
      </w:r>
    </w:p>
    <w:p>
      <w:pPr>
        <w:pStyle w:val="13"/>
        <w:numPr>
          <w:ilvl w:val="0"/>
          <w:numId w:val="19"/>
        </w:numPr>
        <w:tabs>
          <w:tab w:val="left" w:pos="900"/>
        </w:tabs>
        <w:spacing w:line="240" w:lineRule="auto"/>
        <w:rPr>
          <w:rFonts w:ascii="仿宋" w:hAnsi="仿宋" w:eastAsia="仿宋" w:cs="仿宋"/>
          <w:sz w:val="28"/>
          <w:szCs w:val="28"/>
        </w:rPr>
      </w:pPr>
      <w:r>
        <w:rPr>
          <w:rFonts w:hint="eastAsia" w:ascii="仿宋" w:hAnsi="仿宋" w:eastAsia="仿宋" w:cs="仿宋"/>
          <w:sz w:val="28"/>
          <w:szCs w:val="28"/>
        </w:rPr>
        <w:t>本技术标书范围内的所有产品的上门服务和使用过程中出现的问题由招标方负责，投标方应提供相应的技术支持。所有故障产品由招标方寄送至投标方工厂进行维修，投标方应及时处理并负担维修完成后的物流费用。</w:t>
      </w:r>
    </w:p>
    <w:bookmarkEnd w:id="69"/>
    <w:bookmarkEnd w:id="70"/>
    <w:bookmarkEnd w:id="71"/>
    <w:bookmarkEnd w:id="72"/>
    <w:bookmarkEnd w:id="117"/>
    <w:p>
      <w:pPr>
        <w:numPr>
          <w:ilvl w:val="0"/>
          <w:numId w:val="19"/>
        </w:numPr>
        <w:tabs>
          <w:tab w:val="left" w:pos="900"/>
        </w:tabs>
        <w:spacing w:line="360" w:lineRule="auto"/>
        <w:rPr>
          <w:rFonts w:ascii="仿宋" w:hAnsi="仿宋" w:eastAsia="仿宋" w:cs="仿宋"/>
          <w:sz w:val="28"/>
          <w:szCs w:val="28"/>
        </w:rPr>
      </w:pPr>
      <w:bookmarkStart w:id="118" w:name="_Toc3956"/>
      <w:bookmarkStart w:id="119" w:name="_Toc8089"/>
      <w:bookmarkStart w:id="120" w:name="_Toc32640"/>
      <w:bookmarkStart w:id="121" w:name="_Toc32342"/>
      <w:r>
        <w:rPr>
          <w:rFonts w:hint="eastAsia" w:ascii="仿宋" w:hAnsi="仿宋" w:eastAsia="仿宋" w:cs="仿宋"/>
          <w:sz w:val="28"/>
          <w:szCs w:val="28"/>
        </w:rPr>
        <w:t>对于需要维修的非质保产品招标方可以选择自行送取或快递的方式，如果招标方选择用快递的形式送到投标方售后维修的，投标方维修费用应包含运输费。</w:t>
      </w:r>
    </w:p>
    <w:p>
      <w:pPr>
        <w:numPr>
          <w:ilvl w:val="0"/>
          <w:numId w:val="19"/>
        </w:numPr>
        <w:tabs>
          <w:tab w:val="left" w:pos="900"/>
        </w:tabs>
        <w:spacing w:line="360" w:lineRule="auto"/>
        <w:rPr>
          <w:rFonts w:ascii="仿宋" w:hAnsi="仿宋" w:eastAsia="仿宋" w:cs="仿宋"/>
          <w:sz w:val="28"/>
          <w:szCs w:val="28"/>
        </w:rPr>
      </w:pPr>
      <w:r>
        <w:rPr>
          <w:rFonts w:hint="eastAsia" w:ascii="仿宋" w:hAnsi="仿宋" w:eastAsia="仿宋" w:cs="仿宋"/>
          <w:sz w:val="28"/>
          <w:szCs w:val="28"/>
        </w:rPr>
        <w:t>维修期：通常维修期为自投标方收到需维修产品之日起10天为维修期，如遇节假日等特殊原因维修期可顺延。</w:t>
      </w:r>
    </w:p>
    <w:p>
      <w:pPr>
        <w:numPr>
          <w:ilvl w:val="0"/>
          <w:numId w:val="19"/>
        </w:numPr>
        <w:tabs>
          <w:tab w:val="left" w:pos="900"/>
        </w:tabs>
        <w:spacing w:line="360" w:lineRule="auto"/>
        <w:rPr>
          <w:rFonts w:ascii="仿宋" w:hAnsi="仿宋" w:eastAsia="仿宋" w:cs="仿宋"/>
          <w:sz w:val="28"/>
          <w:szCs w:val="28"/>
        </w:rPr>
      </w:pPr>
      <w:r>
        <w:rPr>
          <w:rFonts w:hint="eastAsia" w:ascii="仿宋" w:hAnsi="仿宋" w:eastAsia="仿宋" w:cs="仿宋"/>
          <w:sz w:val="28"/>
          <w:szCs w:val="28"/>
        </w:rPr>
        <w:t>保修期：经维修后的产品，投标方就同一故障同一不良原因引起的问题点负责自维修后产品交付招标方之日起一个月的保修期。</w:t>
      </w:r>
    </w:p>
    <w:p>
      <w:pPr>
        <w:pStyle w:val="4"/>
        <w:spacing w:before="0" w:after="0" w:line="240" w:lineRule="auto"/>
        <w:rPr>
          <w:rFonts w:ascii="仿宋" w:hAnsi="仿宋" w:eastAsia="仿宋" w:cs="仿宋"/>
        </w:rPr>
      </w:pPr>
      <w:bookmarkStart w:id="122" w:name="_Toc335"/>
      <w:r>
        <w:rPr>
          <w:rFonts w:hint="eastAsia" w:ascii="仿宋" w:hAnsi="仿宋" w:eastAsia="仿宋" w:cs="仿宋"/>
        </w:rPr>
        <w:t>项目实施要求</w:t>
      </w:r>
      <w:bookmarkEnd w:id="118"/>
      <w:bookmarkEnd w:id="119"/>
      <w:bookmarkEnd w:id="120"/>
      <w:bookmarkEnd w:id="121"/>
      <w:bookmarkEnd w:id="122"/>
    </w:p>
    <w:bookmarkEnd w:id="63"/>
    <w:bookmarkEnd w:id="64"/>
    <w:p>
      <w:pPr>
        <w:pStyle w:val="5"/>
        <w:spacing w:line="240" w:lineRule="auto"/>
        <w:rPr>
          <w:rFonts w:ascii="仿宋" w:hAnsi="仿宋" w:eastAsia="仿宋" w:cs="仿宋"/>
        </w:rPr>
      </w:pPr>
      <w:bookmarkStart w:id="123" w:name="_Toc749"/>
      <w:bookmarkStart w:id="124" w:name="_Toc31730"/>
      <w:bookmarkStart w:id="125" w:name="_Toc19627"/>
      <w:bookmarkStart w:id="126" w:name="_Toc5587"/>
      <w:bookmarkStart w:id="127" w:name="_Toc10124"/>
      <w:bookmarkStart w:id="128" w:name="_Toc30881"/>
      <w:bookmarkStart w:id="129" w:name="_Toc6225"/>
      <w:bookmarkStart w:id="130" w:name="_Toc7986"/>
      <w:r>
        <w:rPr>
          <w:rFonts w:hint="eastAsia" w:ascii="仿宋" w:hAnsi="仿宋" w:eastAsia="仿宋" w:cs="仿宋"/>
        </w:rPr>
        <w:t>项目进度要求</w:t>
      </w:r>
      <w:bookmarkEnd w:id="123"/>
      <w:bookmarkEnd w:id="124"/>
      <w:bookmarkEnd w:id="125"/>
      <w:bookmarkEnd w:id="126"/>
      <w:bookmarkEnd w:id="127"/>
      <w:bookmarkEnd w:id="128"/>
      <w:bookmarkEnd w:id="129"/>
      <w:bookmarkEnd w:id="130"/>
    </w:p>
    <w:p>
      <w:pPr>
        <w:pStyle w:val="13"/>
        <w:numPr>
          <w:ilvl w:val="0"/>
          <w:numId w:val="20"/>
        </w:numPr>
        <w:tabs>
          <w:tab w:val="left" w:pos="900"/>
        </w:tabs>
        <w:spacing w:line="240" w:lineRule="auto"/>
        <w:rPr>
          <w:rFonts w:ascii="仿宋" w:hAnsi="仿宋" w:eastAsia="仿宋" w:cs="仿宋"/>
          <w:sz w:val="28"/>
          <w:szCs w:val="28"/>
        </w:rPr>
      </w:pPr>
      <w:r>
        <w:rPr>
          <w:rFonts w:hint="eastAsia" w:ascii="仿宋" w:hAnsi="仿宋" w:eastAsia="仿宋" w:cs="仿宋"/>
          <w:sz w:val="28"/>
          <w:szCs w:val="28"/>
        </w:rPr>
        <w:t>投标方必须按照合同约定的交付期限或经招标方同意顺延的计划周期内完成项目交付。</w:t>
      </w:r>
    </w:p>
    <w:p>
      <w:pPr>
        <w:pStyle w:val="13"/>
        <w:numPr>
          <w:ilvl w:val="0"/>
          <w:numId w:val="20"/>
        </w:numPr>
        <w:tabs>
          <w:tab w:val="left" w:pos="900"/>
        </w:tabs>
        <w:spacing w:line="240" w:lineRule="auto"/>
        <w:rPr>
          <w:rFonts w:ascii="仿宋" w:hAnsi="仿宋" w:eastAsia="仿宋" w:cs="仿宋"/>
          <w:sz w:val="28"/>
          <w:szCs w:val="28"/>
        </w:rPr>
      </w:pPr>
      <w:r>
        <w:rPr>
          <w:rFonts w:hint="eastAsia" w:ascii="仿宋" w:hAnsi="仿宋" w:eastAsia="仿宋" w:cs="仿宋"/>
          <w:sz w:val="28"/>
          <w:szCs w:val="28"/>
        </w:rPr>
        <w:t>因投标方原因不能按照合同条款约定的交付日期或招标方同意顺延的工期完成的，投标方承担违约责任。</w:t>
      </w:r>
    </w:p>
    <w:p>
      <w:pPr>
        <w:pStyle w:val="5"/>
        <w:spacing w:line="240" w:lineRule="auto"/>
        <w:rPr>
          <w:rFonts w:ascii="仿宋" w:hAnsi="仿宋" w:eastAsia="仿宋" w:cs="仿宋"/>
        </w:rPr>
      </w:pPr>
      <w:bookmarkStart w:id="131" w:name="_Toc19547"/>
      <w:bookmarkStart w:id="132" w:name="_Toc6860"/>
      <w:bookmarkStart w:id="133" w:name="_Toc10525"/>
      <w:bookmarkStart w:id="134" w:name="_Toc1546"/>
      <w:bookmarkStart w:id="135" w:name="_Toc13497"/>
      <w:bookmarkStart w:id="136" w:name="_Toc21696"/>
      <w:bookmarkStart w:id="137" w:name="_Toc32183"/>
      <w:bookmarkStart w:id="138" w:name="_Toc11265"/>
      <w:r>
        <w:rPr>
          <w:rFonts w:hint="eastAsia" w:ascii="仿宋" w:hAnsi="仿宋" w:eastAsia="仿宋" w:cs="仿宋"/>
        </w:rPr>
        <w:t>知识产权要求</w:t>
      </w:r>
      <w:bookmarkEnd w:id="131"/>
      <w:bookmarkEnd w:id="132"/>
      <w:bookmarkEnd w:id="133"/>
      <w:bookmarkEnd w:id="134"/>
      <w:bookmarkEnd w:id="135"/>
      <w:bookmarkEnd w:id="136"/>
      <w:bookmarkEnd w:id="137"/>
      <w:bookmarkEnd w:id="138"/>
    </w:p>
    <w:p>
      <w:pPr>
        <w:pStyle w:val="13"/>
        <w:numPr>
          <w:ilvl w:val="0"/>
          <w:numId w:val="21"/>
        </w:numPr>
        <w:tabs>
          <w:tab w:val="left" w:pos="900"/>
        </w:tabs>
        <w:spacing w:line="240" w:lineRule="auto"/>
        <w:rPr>
          <w:rFonts w:ascii="仿宋" w:hAnsi="仿宋" w:eastAsia="仿宋" w:cs="仿宋"/>
          <w:sz w:val="28"/>
          <w:szCs w:val="28"/>
        </w:rPr>
      </w:pPr>
      <w:r>
        <w:rPr>
          <w:rFonts w:hint="eastAsia" w:ascii="仿宋" w:hAnsi="仿宋" w:eastAsia="仿宋" w:cs="仿宋"/>
          <w:sz w:val="28"/>
          <w:szCs w:val="28"/>
        </w:rPr>
        <w:t>投标方所提供的产品、工具、模型、方法论、文档及服务没有任何权利瑕疵，没有侵犯任何第三方权利。招标方在使用该产品或服务的任何一部分时，免受第三方提出的任何侵犯其知识产权的权利主张。</w:t>
      </w:r>
    </w:p>
    <w:p>
      <w:pPr>
        <w:pStyle w:val="13"/>
        <w:numPr>
          <w:ilvl w:val="0"/>
          <w:numId w:val="21"/>
        </w:numPr>
        <w:tabs>
          <w:tab w:val="left" w:pos="900"/>
        </w:tabs>
        <w:spacing w:line="240" w:lineRule="auto"/>
        <w:rPr>
          <w:rFonts w:ascii="仿宋" w:hAnsi="仿宋" w:eastAsia="仿宋" w:cs="仿宋"/>
          <w:sz w:val="28"/>
          <w:szCs w:val="28"/>
        </w:rPr>
      </w:pPr>
      <w:r>
        <w:rPr>
          <w:rFonts w:hint="eastAsia" w:ascii="仿宋" w:hAnsi="仿宋" w:eastAsia="仿宋" w:cs="仿宋"/>
          <w:sz w:val="28"/>
          <w:szCs w:val="28"/>
        </w:rPr>
        <w:t>在项目完成以后，投标方应向招标方提供该项目所有技术成果、文档以及相关数据等。</w:t>
      </w:r>
    </w:p>
    <w:p>
      <w:pPr>
        <w:pStyle w:val="13"/>
        <w:numPr>
          <w:ilvl w:val="0"/>
          <w:numId w:val="21"/>
        </w:numPr>
        <w:tabs>
          <w:tab w:val="left" w:pos="900"/>
        </w:tabs>
        <w:spacing w:line="240" w:lineRule="auto"/>
        <w:rPr>
          <w:rFonts w:ascii="仿宋" w:hAnsi="仿宋" w:eastAsia="仿宋" w:cs="仿宋"/>
          <w:sz w:val="28"/>
          <w:szCs w:val="28"/>
        </w:rPr>
      </w:pPr>
      <w:r>
        <w:rPr>
          <w:rFonts w:hint="eastAsia" w:ascii="仿宋" w:hAnsi="仿宋" w:eastAsia="仿宋" w:cs="仿宋"/>
          <w:sz w:val="28"/>
          <w:szCs w:val="28"/>
        </w:rPr>
        <w:t>招标方提供的资料、企业内部信息，所有权归招标方，招标方授权投标方为履行本合同服务的目的，在本合同范围内使用招标方提供的上述资料。招标方、投标方及第三方各自拥有在履行本合同之前已有作品的著作权及知识产权。</w:t>
      </w:r>
    </w:p>
    <w:p>
      <w:pPr>
        <w:pStyle w:val="13"/>
        <w:numPr>
          <w:ilvl w:val="0"/>
          <w:numId w:val="21"/>
        </w:numPr>
        <w:tabs>
          <w:tab w:val="left" w:pos="900"/>
        </w:tabs>
        <w:spacing w:line="240" w:lineRule="auto"/>
        <w:rPr>
          <w:rFonts w:ascii="仿宋" w:hAnsi="仿宋" w:eastAsia="仿宋" w:cs="仿宋"/>
          <w:sz w:val="28"/>
          <w:szCs w:val="28"/>
        </w:rPr>
      </w:pPr>
      <w:r>
        <w:rPr>
          <w:rFonts w:hint="eastAsia" w:ascii="仿宋" w:hAnsi="仿宋" w:eastAsia="仿宋" w:cs="仿宋"/>
          <w:sz w:val="28"/>
          <w:szCs w:val="28"/>
        </w:rPr>
        <w:t>在本项目中所形成成果的知识产权归招标方所有。</w:t>
      </w:r>
    </w:p>
    <w:p>
      <w:pPr>
        <w:pStyle w:val="13"/>
        <w:numPr>
          <w:ilvl w:val="0"/>
          <w:numId w:val="21"/>
        </w:numPr>
        <w:tabs>
          <w:tab w:val="left" w:pos="900"/>
        </w:tabs>
        <w:spacing w:line="240" w:lineRule="auto"/>
        <w:rPr>
          <w:rFonts w:ascii="仿宋" w:hAnsi="仿宋" w:eastAsia="仿宋" w:cs="仿宋"/>
          <w:sz w:val="28"/>
          <w:szCs w:val="28"/>
        </w:rPr>
      </w:pPr>
      <w:r>
        <w:rPr>
          <w:rFonts w:hint="eastAsia" w:ascii="仿宋" w:hAnsi="仿宋" w:eastAsia="仿宋" w:cs="仿宋"/>
          <w:sz w:val="28"/>
          <w:szCs w:val="28"/>
        </w:rPr>
        <w:t>本合同项下由投标方在履约过程中所创作的任何交付成果或作品，由招标方拥有此类交付成果或作品的著作权，招标方可自由使用而不用获得投标方同意。投标方如果需要使用上述交付成果或作品，则需要事先获得招标方的书面同意。双方同意在任何按本项的许可复制的作品上标明著作权和任何其他所有权的说明。双方必须遵守中华人民共和国相关法律法规合法使用。</w:t>
      </w:r>
    </w:p>
    <w:p>
      <w:pPr>
        <w:pStyle w:val="5"/>
        <w:spacing w:line="240" w:lineRule="auto"/>
        <w:rPr>
          <w:rFonts w:ascii="仿宋" w:hAnsi="仿宋" w:eastAsia="仿宋" w:cs="仿宋"/>
        </w:rPr>
      </w:pPr>
      <w:bookmarkStart w:id="139" w:name="_Toc21879"/>
      <w:bookmarkStart w:id="140" w:name="_Toc7555"/>
      <w:bookmarkStart w:id="141" w:name="_Toc14812"/>
      <w:bookmarkStart w:id="142" w:name="_Toc12207"/>
      <w:bookmarkStart w:id="143" w:name="_Toc13266"/>
      <w:bookmarkStart w:id="144" w:name="_Toc6309"/>
      <w:bookmarkStart w:id="145" w:name="_Toc6740"/>
      <w:bookmarkStart w:id="146" w:name="_Toc15378"/>
      <w:r>
        <w:rPr>
          <w:rFonts w:hint="eastAsia" w:ascii="仿宋" w:hAnsi="仿宋" w:eastAsia="仿宋" w:cs="仿宋"/>
        </w:rPr>
        <w:t>安全保密要求</w:t>
      </w:r>
      <w:bookmarkEnd w:id="139"/>
      <w:bookmarkEnd w:id="140"/>
      <w:bookmarkEnd w:id="141"/>
      <w:bookmarkEnd w:id="142"/>
      <w:bookmarkEnd w:id="143"/>
      <w:bookmarkEnd w:id="144"/>
      <w:bookmarkEnd w:id="145"/>
      <w:bookmarkEnd w:id="146"/>
    </w:p>
    <w:p>
      <w:pPr>
        <w:pStyle w:val="13"/>
        <w:numPr>
          <w:ilvl w:val="0"/>
          <w:numId w:val="22"/>
        </w:numPr>
        <w:tabs>
          <w:tab w:val="left" w:pos="900"/>
        </w:tabs>
        <w:spacing w:line="240" w:lineRule="auto"/>
        <w:rPr>
          <w:rFonts w:ascii="仿宋" w:hAnsi="仿宋" w:eastAsia="仿宋" w:cs="仿宋"/>
          <w:sz w:val="28"/>
          <w:szCs w:val="28"/>
        </w:rPr>
      </w:pPr>
      <w:r>
        <w:rPr>
          <w:rFonts w:hint="eastAsia" w:ascii="仿宋" w:hAnsi="仿宋" w:eastAsia="仿宋" w:cs="仿宋"/>
          <w:sz w:val="28"/>
          <w:szCs w:val="28"/>
        </w:rPr>
        <w:t>投标方在服务期间，负有保护本项目的网络安全、信息安全和系统数据安全的义务和责任；负有保护所持有、接触的属于或涉及南方电网公司商业秘密的信息安全的义务和责任。</w:t>
      </w:r>
    </w:p>
    <w:p>
      <w:pPr>
        <w:pStyle w:val="13"/>
        <w:numPr>
          <w:ilvl w:val="0"/>
          <w:numId w:val="22"/>
        </w:numPr>
        <w:tabs>
          <w:tab w:val="left" w:pos="900"/>
        </w:tabs>
        <w:spacing w:line="240" w:lineRule="auto"/>
        <w:rPr>
          <w:rFonts w:ascii="仿宋" w:hAnsi="仿宋" w:eastAsia="仿宋" w:cs="仿宋"/>
          <w:sz w:val="28"/>
          <w:szCs w:val="28"/>
        </w:rPr>
      </w:pPr>
      <w:r>
        <w:rPr>
          <w:rFonts w:hint="eastAsia" w:ascii="仿宋" w:hAnsi="仿宋" w:eastAsia="仿宋" w:cs="仿宋"/>
          <w:sz w:val="28"/>
          <w:szCs w:val="28"/>
        </w:rPr>
        <w:t>在现场服务过程中，投标方必须在招标方指定地点办公，并遵守招标方关于第三方人员管理规定要求；未经许可不得以任何方式对保密信息及工作成果进行复制、传播、泄漏、告知，不得将保密信息带离办公场所。</w:t>
      </w:r>
    </w:p>
    <w:p>
      <w:pPr>
        <w:pStyle w:val="13"/>
        <w:numPr>
          <w:ilvl w:val="0"/>
          <w:numId w:val="22"/>
        </w:numPr>
        <w:tabs>
          <w:tab w:val="left" w:pos="900"/>
        </w:tabs>
        <w:spacing w:line="240" w:lineRule="auto"/>
        <w:rPr>
          <w:rFonts w:ascii="仿宋" w:hAnsi="仿宋" w:eastAsia="仿宋" w:cs="仿宋"/>
          <w:sz w:val="28"/>
          <w:szCs w:val="28"/>
        </w:rPr>
      </w:pPr>
      <w:r>
        <w:rPr>
          <w:rFonts w:hint="eastAsia" w:ascii="仿宋" w:hAnsi="仿宋" w:eastAsia="仿宋" w:cs="仿宋"/>
          <w:sz w:val="28"/>
          <w:szCs w:val="28"/>
        </w:rPr>
        <w:t>无论何种原因导致合同解除或终止，本项目约定下的保密条款、保密内容及相关的违约责任的约定仍然生效。保密期限为签订合同之后至永久，保密范围为项目所涉及的任何资料。</w:t>
      </w:r>
    </w:p>
    <w:p>
      <w:pPr>
        <w:pStyle w:val="5"/>
        <w:spacing w:line="240" w:lineRule="auto"/>
        <w:rPr>
          <w:rFonts w:ascii="仿宋" w:hAnsi="仿宋" w:eastAsia="仿宋" w:cs="仿宋"/>
        </w:rPr>
      </w:pPr>
      <w:bookmarkStart w:id="147" w:name="_Toc5650"/>
      <w:bookmarkStart w:id="148" w:name="_Toc5566"/>
      <w:bookmarkStart w:id="149" w:name="_Toc134"/>
      <w:bookmarkStart w:id="150" w:name="_Toc10275"/>
      <w:bookmarkStart w:id="151" w:name="_Toc8799"/>
      <w:r>
        <w:rPr>
          <w:rFonts w:hint="eastAsia" w:ascii="仿宋" w:hAnsi="仿宋" w:eastAsia="仿宋" w:cs="仿宋"/>
        </w:rPr>
        <w:t>实施交付要求</w:t>
      </w:r>
      <w:bookmarkEnd w:id="147"/>
      <w:bookmarkEnd w:id="148"/>
      <w:bookmarkEnd w:id="149"/>
      <w:bookmarkEnd w:id="150"/>
      <w:bookmarkEnd w:id="151"/>
    </w:p>
    <w:p>
      <w:pPr>
        <w:pStyle w:val="6"/>
        <w:spacing w:line="240" w:lineRule="auto"/>
        <w:rPr>
          <w:rFonts w:eastAsia="仿宋" w:cs="仿宋"/>
        </w:rPr>
      </w:pPr>
      <w:bookmarkStart w:id="152" w:name="_Toc15667"/>
      <w:bookmarkStart w:id="153" w:name="_Toc3481"/>
      <w:bookmarkStart w:id="154" w:name="_Toc26297"/>
      <w:bookmarkStart w:id="155" w:name="_Toc20012"/>
      <w:bookmarkStart w:id="156" w:name="_Toc25416"/>
      <w:r>
        <w:rPr>
          <w:rFonts w:hint="eastAsia" w:eastAsia="仿宋" w:cs="仿宋"/>
        </w:rPr>
        <w:t>交付方式要求</w:t>
      </w:r>
      <w:bookmarkEnd w:id="152"/>
      <w:bookmarkEnd w:id="153"/>
      <w:bookmarkEnd w:id="154"/>
      <w:bookmarkEnd w:id="155"/>
      <w:bookmarkEnd w:id="156"/>
    </w:p>
    <w:p>
      <w:pPr>
        <w:ind w:firstLine="560" w:firstLineChars="200"/>
        <w:rPr>
          <w:rFonts w:ascii="仿宋" w:hAnsi="仿宋" w:eastAsia="仿宋" w:cs="仿宋"/>
          <w:sz w:val="28"/>
          <w:szCs w:val="28"/>
        </w:rPr>
      </w:pPr>
      <w:r>
        <w:rPr>
          <w:rFonts w:hint="eastAsia" w:ascii="仿宋" w:hAnsi="仿宋" w:eastAsia="仿宋" w:cs="仿宋"/>
          <w:sz w:val="28"/>
          <w:szCs w:val="28"/>
        </w:rPr>
        <w:t>根据招标方业务需求，投标方按照招标方订单中约定的产品规格及数量要求，完成产品组装生产，交付整机产品。</w:t>
      </w:r>
    </w:p>
    <w:p>
      <w:pPr>
        <w:pStyle w:val="6"/>
        <w:spacing w:line="240" w:lineRule="auto"/>
        <w:rPr>
          <w:rFonts w:eastAsia="仿宋" w:cs="仿宋"/>
        </w:rPr>
      </w:pPr>
      <w:bookmarkStart w:id="157" w:name="_Toc23554"/>
      <w:bookmarkStart w:id="158" w:name="_Toc16501"/>
      <w:bookmarkStart w:id="159" w:name="_Toc21713"/>
      <w:bookmarkStart w:id="160" w:name="_Toc22235"/>
      <w:bookmarkStart w:id="161" w:name="_Toc8190"/>
      <w:r>
        <w:rPr>
          <w:rFonts w:hint="eastAsia" w:eastAsia="仿宋" w:cs="仿宋"/>
        </w:rPr>
        <w:t>交付时间要求</w:t>
      </w:r>
      <w:bookmarkEnd w:id="157"/>
      <w:bookmarkEnd w:id="158"/>
      <w:bookmarkEnd w:id="159"/>
      <w:bookmarkEnd w:id="160"/>
      <w:bookmarkEnd w:id="161"/>
    </w:p>
    <w:p>
      <w:pPr>
        <w:widowControl/>
        <w:ind w:firstLine="560" w:firstLineChars="200"/>
        <w:jc w:val="left"/>
        <w:rPr>
          <w:rFonts w:ascii="仿宋" w:hAnsi="仿宋" w:eastAsia="仿宋" w:cs="仿宋"/>
          <w:sz w:val="28"/>
          <w:szCs w:val="28"/>
          <w:lang w:bidi="ar"/>
        </w:rPr>
      </w:pPr>
      <w:r>
        <w:rPr>
          <w:rFonts w:hint="eastAsia" w:ascii="仿宋" w:hAnsi="仿宋" w:eastAsia="仿宋" w:cs="仿宋"/>
          <w:sz w:val="28"/>
          <w:szCs w:val="28"/>
          <w:lang w:bidi="ar"/>
        </w:rPr>
        <w:t>产品必须按照招标方的管理流程和规定完成供货和登记工作，并在规定期限内完成配送、安装、调试和验收：</w:t>
      </w:r>
    </w:p>
    <w:tbl>
      <w:tblPr>
        <w:tblStyle w:val="3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19"/>
        <w:gridCol w:w="39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19"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textAlignment w:val="baseline"/>
              <w:rPr>
                <w:rFonts w:ascii="仿宋" w:hAnsi="仿宋" w:eastAsia="仿宋" w:cs="仿宋"/>
                <w:szCs w:val="21"/>
              </w:rPr>
            </w:pPr>
            <w:r>
              <w:rPr>
                <w:rFonts w:hint="eastAsia" w:ascii="仿宋" w:hAnsi="仿宋" w:eastAsia="仿宋" w:cs="仿宋"/>
                <w:szCs w:val="21"/>
                <w:lang w:bidi="ar"/>
              </w:rPr>
              <w:t>设备类型</w:t>
            </w:r>
          </w:p>
        </w:tc>
        <w:tc>
          <w:tcPr>
            <w:tcW w:w="39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textAlignment w:val="baseline"/>
              <w:rPr>
                <w:rFonts w:ascii="仿宋" w:hAnsi="仿宋" w:eastAsia="仿宋" w:cs="仿宋"/>
                <w:szCs w:val="21"/>
              </w:rPr>
            </w:pPr>
            <w:r>
              <w:rPr>
                <w:rFonts w:hint="eastAsia" w:ascii="仿宋" w:hAnsi="仿宋" w:eastAsia="仿宋" w:cs="仿宋"/>
                <w:szCs w:val="21"/>
                <w:lang w:bidi="ar"/>
              </w:rPr>
              <w:t>完成配送、安装、调试的期限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19"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312" w:lineRule="atLeast"/>
              <w:jc w:val="center"/>
              <w:textAlignment w:val="baseline"/>
              <w:rPr>
                <w:rFonts w:hint="default" w:ascii="仿宋" w:hAnsi="仿宋" w:eastAsia="仿宋" w:cs="仿宋"/>
                <w:szCs w:val="21"/>
                <w:lang w:val="en-US" w:eastAsia="zh-CN" w:bidi="ar"/>
              </w:rPr>
            </w:pPr>
            <w:r>
              <w:rPr>
                <w:rFonts w:hint="eastAsia" w:ascii="仿宋" w:hAnsi="仿宋" w:eastAsia="仿宋" w:cs="仿宋"/>
                <w:szCs w:val="21"/>
                <w:lang w:val="en-US" w:eastAsia="zh-CN" w:bidi="ar"/>
              </w:rPr>
              <w:t>LOGO标签、内置扬声器</w:t>
            </w:r>
          </w:p>
        </w:tc>
        <w:tc>
          <w:tcPr>
            <w:tcW w:w="3993"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312" w:lineRule="atLeast"/>
              <w:jc w:val="center"/>
              <w:textAlignment w:val="baseline"/>
              <w:rPr>
                <w:rFonts w:ascii="仿宋" w:hAnsi="仿宋" w:eastAsia="仿宋" w:cs="仿宋"/>
                <w:szCs w:val="21"/>
                <w:lang w:bidi="ar"/>
              </w:rPr>
            </w:pPr>
            <w:r>
              <w:rPr>
                <w:rFonts w:hint="eastAsia" w:ascii="仿宋" w:hAnsi="仿宋" w:eastAsia="仿宋" w:cs="仿宋"/>
                <w:lang w:bidi="ar"/>
              </w:rPr>
              <w:t>下单之日起</w:t>
            </w:r>
            <w:r>
              <w:rPr>
                <w:rFonts w:hint="eastAsia" w:ascii="仿宋" w:hAnsi="仿宋" w:eastAsia="仿宋" w:cs="仿宋"/>
                <w:lang w:val="en-US" w:eastAsia="zh-CN" w:bidi="ar"/>
              </w:rPr>
              <w:t>2</w:t>
            </w:r>
            <w:r>
              <w:rPr>
                <w:rFonts w:hint="eastAsia" w:ascii="仿宋" w:hAnsi="仿宋" w:eastAsia="仿宋" w:cs="仿宋"/>
                <w:lang w:bidi="ar"/>
              </w:rPr>
              <w:t>0个工作日</w:t>
            </w:r>
          </w:p>
        </w:tc>
      </w:tr>
    </w:tbl>
    <w:p>
      <w:pPr>
        <w:pStyle w:val="13"/>
        <w:tabs>
          <w:tab w:val="left" w:pos="640"/>
        </w:tabs>
        <w:spacing w:line="240" w:lineRule="auto"/>
        <w:ind w:firstLine="0"/>
        <w:rPr>
          <w:rFonts w:ascii="仿宋" w:hAnsi="仿宋" w:eastAsia="仿宋" w:cs="仿宋"/>
        </w:rPr>
      </w:pPr>
    </w:p>
    <w:p>
      <w:pPr>
        <w:pStyle w:val="6"/>
        <w:spacing w:line="240" w:lineRule="auto"/>
        <w:rPr>
          <w:rFonts w:eastAsia="仿宋" w:cs="仿宋"/>
        </w:rPr>
      </w:pPr>
      <w:bookmarkStart w:id="162" w:name="_Toc11735"/>
      <w:bookmarkStart w:id="163" w:name="_Toc24902"/>
      <w:bookmarkStart w:id="164" w:name="_Toc23427"/>
      <w:bookmarkStart w:id="165" w:name="_Toc23799"/>
      <w:bookmarkStart w:id="166" w:name="_Toc5601"/>
      <w:r>
        <w:rPr>
          <w:rFonts w:hint="eastAsia" w:eastAsia="仿宋" w:cs="仿宋"/>
        </w:rPr>
        <w:t>交付目的地要求</w:t>
      </w:r>
      <w:bookmarkEnd w:id="162"/>
      <w:bookmarkEnd w:id="163"/>
      <w:bookmarkEnd w:id="164"/>
      <w:bookmarkEnd w:id="165"/>
      <w:bookmarkEnd w:id="166"/>
    </w:p>
    <w:p>
      <w:pPr>
        <w:ind w:firstLine="560" w:firstLineChars="200"/>
        <w:rPr>
          <w:rFonts w:ascii="仿宋" w:hAnsi="仿宋" w:eastAsia="仿宋" w:cs="仿宋"/>
          <w:sz w:val="28"/>
          <w:szCs w:val="28"/>
        </w:rPr>
      </w:pPr>
      <w:r>
        <w:rPr>
          <w:rFonts w:hint="eastAsia" w:ascii="仿宋" w:hAnsi="仿宋" w:eastAsia="仿宋" w:cs="仿宋"/>
          <w:sz w:val="28"/>
          <w:szCs w:val="28"/>
        </w:rPr>
        <w:t>交付目的地根据招标方要求，按照合同要求交付到指定招标方指定地点。</w:t>
      </w:r>
    </w:p>
    <w:p>
      <w:pPr>
        <w:keepNext/>
        <w:keepLines/>
        <w:widowControl/>
        <w:numPr>
          <w:ilvl w:val="0"/>
          <w:numId w:val="1"/>
        </w:numPr>
        <w:outlineLvl w:val="0"/>
        <w:rPr>
          <w:rFonts w:ascii="仿宋" w:hAnsi="仿宋" w:eastAsia="仿宋" w:cs="仿宋"/>
          <w:b/>
          <w:bCs/>
          <w:kern w:val="44"/>
          <w:sz w:val="32"/>
          <w:szCs w:val="28"/>
        </w:rPr>
      </w:pPr>
      <w:bookmarkStart w:id="167" w:name="_Toc27745"/>
      <w:bookmarkStart w:id="168" w:name="_Toc31361"/>
      <w:r>
        <w:rPr>
          <w:rFonts w:hint="eastAsia" w:ascii="仿宋" w:hAnsi="仿宋" w:eastAsia="仿宋" w:cs="仿宋"/>
          <w:b/>
          <w:bCs/>
          <w:kern w:val="44"/>
          <w:sz w:val="32"/>
          <w:szCs w:val="28"/>
        </w:rPr>
        <w:t>自主可控要求</w:t>
      </w:r>
      <w:bookmarkEnd w:id="167"/>
      <w:bookmarkEnd w:id="168"/>
    </w:p>
    <w:tbl>
      <w:tblPr>
        <w:tblStyle w:val="3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72"/>
        <w:gridCol w:w="61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72" w:type="dxa"/>
          </w:tcPr>
          <w:p>
            <w:pPr>
              <w:adjustRightInd w:val="0"/>
              <w:spacing w:line="312" w:lineRule="atLeast"/>
              <w:jc w:val="center"/>
              <w:textAlignment w:val="baseline"/>
              <w:rPr>
                <w:rFonts w:ascii="仿宋" w:hAnsi="仿宋" w:eastAsia="仿宋" w:cs="仿宋"/>
                <w:b/>
                <w:bCs/>
                <w:szCs w:val="21"/>
              </w:rPr>
            </w:pPr>
            <w:r>
              <w:rPr>
                <w:rFonts w:hint="eastAsia" w:ascii="仿宋" w:hAnsi="仿宋" w:eastAsia="仿宋" w:cs="仿宋"/>
                <w:b/>
                <w:bCs/>
                <w:szCs w:val="21"/>
              </w:rPr>
              <w:t>管控项</w:t>
            </w:r>
          </w:p>
        </w:tc>
        <w:tc>
          <w:tcPr>
            <w:tcW w:w="6192" w:type="dxa"/>
          </w:tcPr>
          <w:p>
            <w:pPr>
              <w:adjustRightInd w:val="0"/>
              <w:spacing w:line="312" w:lineRule="atLeast"/>
              <w:jc w:val="center"/>
              <w:textAlignment w:val="baseline"/>
              <w:rPr>
                <w:rFonts w:ascii="仿宋" w:hAnsi="仿宋" w:eastAsia="仿宋" w:cs="仿宋"/>
                <w:b/>
                <w:bCs/>
                <w:szCs w:val="21"/>
              </w:rPr>
            </w:pPr>
            <w:r>
              <w:rPr>
                <w:rFonts w:hint="eastAsia" w:ascii="仿宋" w:hAnsi="仿宋" w:eastAsia="仿宋" w:cs="仿宋"/>
                <w:b/>
                <w:bCs/>
                <w:szCs w:val="21"/>
              </w:rPr>
              <w:t>管控要求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72" w:type="dxa"/>
            <w:vAlign w:val="center"/>
          </w:tcPr>
          <w:p>
            <w:pPr>
              <w:adjustRightInd w:val="0"/>
              <w:spacing w:line="312" w:lineRule="atLeast"/>
              <w:jc w:val="center"/>
              <w:textAlignment w:val="baseline"/>
              <w:rPr>
                <w:rFonts w:ascii="仿宋" w:hAnsi="仿宋" w:eastAsia="仿宋" w:cs="仿宋"/>
                <w:szCs w:val="21"/>
              </w:rPr>
            </w:pPr>
            <w:r>
              <w:rPr>
                <w:rFonts w:hint="eastAsia" w:ascii="仿宋" w:hAnsi="仿宋" w:eastAsia="仿宋" w:cs="仿宋"/>
                <w:szCs w:val="21"/>
              </w:rPr>
              <w:t>软硬件资源要求</w:t>
            </w:r>
          </w:p>
        </w:tc>
        <w:tc>
          <w:tcPr>
            <w:tcW w:w="6192" w:type="dxa"/>
            <w:vAlign w:val="center"/>
          </w:tcPr>
          <w:p>
            <w:pPr>
              <w:adjustRightInd w:val="0"/>
              <w:spacing w:line="312" w:lineRule="atLeast"/>
              <w:textAlignment w:val="baseline"/>
              <w:rPr>
                <w:rFonts w:ascii="仿宋" w:hAnsi="仿宋" w:eastAsia="仿宋" w:cs="仿宋"/>
                <w:szCs w:val="21"/>
              </w:rPr>
            </w:pPr>
            <w:r>
              <w:rPr>
                <w:rFonts w:hint="eastAsia" w:ascii="仿宋" w:hAnsi="仿宋" w:eastAsia="仿宋" w:cs="仿宋"/>
                <w:szCs w:val="21"/>
              </w:rPr>
              <w:t>投标方所涉及的操作系统、芯片等基础软硬件产品需符合自主可控应用要求。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72" w:type="dxa"/>
            <w:vAlign w:val="center"/>
          </w:tcPr>
          <w:p>
            <w:pPr>
              <w:adjustRightInd w:val="0"/>
              <w:spacing w:line="312" w:lineRule="atLeast"/>
              <w:jc w:val="center"/>
              <w:textAlignment w:val="baseline"/>
              <w:rPr>
                <w:rFonts w:ascii="仿宋" w:hAnsi="仿宋" w:eastAsia="仿宋" w:cs="仿宋"/>
                <w:szCs w:val="21"/>
              </w:rPr>
            </w:pPr>
            <w:r>
              <w:rPr>
                <w:rFonts w:hint="eastAsia" w:ascii="仿宋" w:hAnsi="仿宋" w:eastAsia="仿宋" w:cs="仿宋"/>
                <w:szCs w:val="21"/>
              </w:rPr>
              <w:t>运行环境要求</w:t>
            </w:r>
          </w:p>
        </w:tc>
        <w:tc>
          <w:tcPr>
            <w:tcW w:w="6192" w:type="dxa"/>
            <w:vAlign w:val="center"/>
          </w:tcPr>
          <w:p>
            <w:pPr>
              <w:adjustRightInd w:val="0"/>
              <w:spacing w:line="312" w:lineRule="atLeast"/>
              <w:textAlignment w:val="baseline"/>
              <w:rPr>
                <w:rFonts w:ascii="仿宋" w:hAnsi="仿宋" w:eastAsia="仿宋" w:cs="仿宋"/>
                <w:szCs w:val="21"/>
              </w:rPr>
            </w:pPr>
            <w:r>
              <w:rPr>
                <w:rFonts w:hint="eastAsia" w:ascii="仿宋" w:hAnsi="仿宋" w:eastAsia="仿宋" w:cs="仿宋"/>
                <w:szCs w:val="21"/>
              </w:rPr>
              <w:t>需满足自主可控标准运行环境要求，投标方所涉及的终端、操作系统等运行环境信息需满足自主可控要求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72" w:type="dxa"/>
            <w:vAlign w:val="center"/>
          </w:tcPr>
          <w:p>
            <w:pPr>
              <w:adjustRightInd w:val="0"/>
              <w:spacing w:line="312" w:lineRule="atLeast"/>
              <w:jc w:val="center"/>
              <w:textAlignment w:val="baseline"/>
              <w:rPr>
                <w:rFonts w:ascii="仿宋" w:hAnsi="仿宋" w:eastAsia="仿宋" w:cs="仿宋"/>
                <w:szCs w:val="21"/>
              </w:rPr>
            </w:pPr>
            <w:r>
              <w:rPr>
                <w:rFonts w:hint="eastAsia" w:ascii="仿宋" w:hAnsi="仿宋" w:eastAsia="仿宋" w:cs="仿宋"/>
                <w:szCs w:val="21"/>
              </w:rPr>
              <w:t>技术路线</w:t>
            </w:r>
          </w:p>
        </w:tc>
        <w:tc>
          <w:tcPr>
            <w:tcW w:w="6192" w:type="dxa"/>
            <w:vAlign w:val="center"/>
          </w:tcPr>
          <w:p>
            <w:pPr>
              <w:adjustRightInd w:val="0"/>
              <w:spacing w:line="312" w:lineRule="atLeast"/>
              <w:textAlignment w:val="baseline"/>
              <w:rPr>
                <w:rFonts w:ascii="仿宋" w:hAnsi="仿宋" w:eastAsia="仿宋" w:cs="仿宋"/>
                <w:szCs w:val="21"/>
              </w:rPr>
            </w:pPr>
            <w:r>
              <w:rPr>
                <w:rFonts w:hint="eastAsia" w:ascii="仿宋" w:hAnsi="仿宋" w:eastAsia="仿宋" w:cs="仿宋"/>
                <w:szCs w:val="21"/>
              </w:rPr>
              <w:t>依照《南方电网信息领域基础软硬件自主可控适配目录》相关要求，投标方所涉及的操作系统、终端相关技术路线需满足南方电网公司自主可控要求</w:t>
            </w:r>
          </w:p>
        </w:tc>
      </w:tr>
    </w:tbl>
    <w:p/>
    <w:sectPr>
      <w:footerReference r:id="rId4" w:type="default"/>
      <w:pgSz w:w="11906" w:h="16838"/>
      <w:pgMar w:top="1440" w:right="1558"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华文细黑">
    <w:altName w:val="微软雅黑"/>
    <w:panose1 w:val="02010600040101010101"/>
    <w:charset w:val="86"/>
    <w:family w:val="auto"/>
    <w:pitch w:val="default"/>
    <w:sig w:usb0="00000000" w:usb1="00000000" w:usb2="00000000" w:usb3="00000000" w:csb0="0004009F" w:csb1="DFD70000"/>
  </w:font>
  <w:font w:name="华文新魏">
    <w:altName w:val="宋体"/>
    <w:panose1 w:val="02010800040101010101"/>
    <w:charset w:val="86"/>
    <w:family w:val="auto"/>
    <w:pitch w:val="default"/>
    <w:sig w:usb0="00000000" w:usb1="00000000" w:usb2="00000000" w:usb3="00000000" w:csb0="00040000" w:csb1="00000000"/>
  </w:font>
  <w:font w:name="Tahoma">
    <w:panose1 w:val="020B0604030504040204"/>
    <w:charset w:val="00"/>
    <w:family w:val="swiss"/>
    <w:pitch w:val="default"/>
    <w:sig w:usb0="E1002EFF" w:usb1="C000605B" w:usb2="00000029" w:usb3="00000000" w:csb0="200101FF" w:csb1="2028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jc w:val="center"/>
    </w:pPr>
    <w:r>
      <w:rPr>
        <w:rStyle w:val="36"/>
        <w:rFonts w:hint="eastAsia"/>
      </w:rPr>
      <w:t>－</w:t>
    </w:r>
    <w:r>
      <w:fldChar w:fldCharType="begin"/>
    </w:r>
    <w:r>
      <w:rPr>
        <w:rStyle w:val="36"/>
      </w:rPr>
      <w:instrText xml:space="preserve"> PAGE </w:instrText>
    </w:r>
    <w:r>
      <w:fldChar w:fldCharType="separate"/>
    </w:r>
    <w:r>
      <w:rPr>
        <w:rStyle w:val="36"/>
      </w:rPr>
      <w:t>ii</w:t>
    </w:r>
    <w:r>
      <w:fldChar w:fldCharType="end"/>
    </w:r>
    <w:r>
      <w:rPr>
        <w:rStyle w:val="36"/>
        <w:rFonts w:hint="eastAsia"/>
      </w:rPr>
      <w: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jc w:val="center"/>
    </w:pPr>
    <w:r>
      <w:fldChar w:fldCharType="begin"/>
    </w:r>
    <w:r>
      <w:instrText xml:space="preserve">PAGE   \* MERGEFORMAT</w:instrText>
    </w:r>
    <w:r>
      <w:fldChar w:fldCharType="separate"/>
    </w:r>
    <w:r>
      <w:rPr>
        <w:lang w:val="zh-CN"/>
      </w:rPr>
      <w:t>9</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01151C2"/>
    <w:multiLevelType w:val="multilevel"/>
    <w:tmpl w:val="A01151C2"/>
    <w:lvl w:ilvl="0" w:tentative="0">
      <w:start w:val="1"/>
      <w:numFmt w:val="decimal"/>
      <w:lvlText w:val="%1）"/>
      <w:lvlJc w:val="left"/>
      <w:pPr>
        <w:ind w:left="900" w:hanging="420"/>
      </w:pPr>
      <w:rPr>
        <w:rFonts w:ascii="Times New Roman" w:hAnsi="Times New Roman" w:eastAsia="宋体" w:cs="Times New Roman"/>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
    <w:nsid w:val="A8F1B633"/>
    <w:multiLevelType w:val="singleLevel"/>
    <w:tmpl w:val="A8F1B633"/>
    <w:lvl w:ilvl="0" w:tentative="0">
      <w:start w:val="1"/>
      <w:numFmt w:val="bullet"/>
      <w:lvlText w:val=""/>
      <w:lvlJc w:val="left"/>
      <w:pPr>
        <w:ind w:left="903" w:hanging="420"/>
      </w:pPr>
      <w:rPr>
        <w:rFonts w:hint="default" w:ascii="Wingdings" w:hAnsi="Wingdings"/>
      </w:rPr>
    </w:lvl>
  </w:abstractNum>
  <w:abstractNum w:abstractNumId="2">
    <w:nsid w:val="ACD5403D"/>
    <w:multiLevelType w:val="multilevel"/>
    <w:tmpl w:val="ACD5403D"/>
    <w:lvl w:ilvl="0" w:tentative="0">
      <w:start w:val="1"/>
      <w:numFmt w:val="decimal"/>
      <w:lvlText w:val="%1）"/>
      <w:lvlJc w:val="left"/>
      <w:pPr>
        <w:ind w:left="900" w:hanging="420"/>
      </w:pPr>
      <w:rPr>
        <w:rFonts w:ascii="Times New Roman" w:hAnsi="Times New Roman" w:eastAsia="宋体" w:cs="Times New Roman"/>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3">
    <w:nsid w:val="AF4C1E01"/>
    <w:multiLevelType w:val="multilevel"/>
    <w:tmpl w:val="AF4C1E01"/>
    <w:lvl w:ilvl="0" w:tentative="0">
      <w:start w:val="1"/>
      <w:numFmt w:val="decimal"/>
      <w:lvlText w:val="%1）"/>
      <w:lvlJc w:val="left"/>
      <w:pPr>
        <w:ind w:left="900" w:hanging="420"/>
      </w:pPr>
      <w:rPr>
        <w:rFonts w:ascii="Times New Roman" w:hAnsi="Times New Roman" w:eastAsia="宋体" w:cs="Times New Roman"/>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4">
    <w:nsid w:val="BBC1C586"/>
    <w:multiLevelType w:val="multilevel"/>
    <w:tmpl w:val="BBC1C586"/>
    <w:lvl w:ilvl="0" w:tentative="0">
      <w:start w:val="1"/>
      <w:numFmt w:val="decimal"/>
      <w:lvlText w:val="%1）"/>
      <w:lvlJc w:val="left"/>
      <w:pPr>
        <w:ind w:left="900" w:hanging="420"/>
      </w:pPr>
      <w:rPr>
        <w:rFonts w:ascii="Times New Roman" w:hAnsi="Times New Roman" w:eastAsia="宋体" w:cs="Times New Roman"/>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5">
    <w:nsid w:val="C4088D37"/>
    <w:multiLevelType w:val="multilevel"/>
    <w:tmpl w:val="C4088D37"/>
    <w:lvl w:ilvl="0" w:tentative="0">
      <w:start w:val="1"/>
      <w:numFmt w:val="decimal"/>
      <w:lvlText w:val="%1）"/>
      <w:lvlJc w:val="left"/>
      <w:pPr>
        <w:ind w:left="900" w:hanging="420"/>
      </w:pPr>
      <w:rPr>
        <w:rFonts w:ascii="Times New Roman" w:hAnsi="Times New Roman" w:eastAsia="宋体" w:cs="Times New Roman"/>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6">
    <w:nsid w:val="DBB972C5"/>
    <w:multiLevelType w:val="multilevel"/>
    <w:tmpl w:val="DBB972C5"/>
    <w:lvl w:ilvl="0" w:tentative="0">
      <w:start w:val="1"/>
      <w:numFmt w:val="decimal"/>
      <w:lvlText w:val="%1）"/>
      <w:lvlJc w:val="left"/>
      <w:pPr>
        <w:ind w:left="900" w:hanging="420"/>
      </w:pPr>
      <w:rPr>
        <w:rFonts w:ascii="Times New Roman" w:hAnsi="Times New Roman" w:eastAsia="宋体" w:cs="Times New Roman"/>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7">
    <w:nsid w:val="E26F761B"/>
    <w:multiLevelType w:val="multilevel"/>
    <w:tmpl w:val="E26F761B"/>
    <w:lvl w:ilvl="0" w:tentative="0">
      <w:start w:val="1"/>
      <w:numFmt w:val="decimal"/>
      <w:suff w:val="nothing"/>
      <w:lvlText w:val="%1、"/>
      <w:lvlJc w:val="left"/>
      <w:pPr>
        <w:ind w:left="0" w:firstLine="0"/>
      </w:pPr>
      <w:rPr>
        <w:rFonts w:hint="default"/>
        <w:color w:val="00000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FCFD8B4E"/>
    <w:multiLevelType w:val="multilevel"/>
    <w:tmpl w:val="FCFD8B4E"/>
    <w:lvl w:ilvl="0" w:tentative="0">
      <w:start w:val="1"/>
      <w:numFmt w:val="decimal"/>
      <w:suff w:val="nothing"/>
      <w:lvlText w:val="%1、"/>
      <w:lvlJc w:val="left"/>
      <w:pPr>
        <w:ind w:left="0" w:firstLine="0"/>
      </w:pPr>
      <w:rPr>
        <w:rFonts w:hint="default"/>
        <w:color w:val="00000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2E95F57"/>
    <w:multiLevelType w:val="multilevel"/>
    <w:tmpl w:val="02E95F57"/>
    <w:lvl w:ilvl="0" w:tentative="0">
      <w:start w:val="1"/>
      <w:numFmt w:val="decimal"/>
      <w:lvlText w:val="%1）"/>
      <w:lvlJc w:val="left"/>
      <w:pPr>
        <w:ind w:left="900" w:hanging="420"/>
      </w:pPr>
      <w:rPr>
        <w:rFonts w:ascii="Times New Roman" w:hAnsi="Times New Roman" w:eastAsia="宋体" w:cs="Times New Roman"/>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0">
    <w:nsid w:val="040A15CD"/>
    <w:multiLevelType w:val="multilevel"/>
    <w:tmpl w:val="040A15CD"/>
    <w:lvl w:ilvl="0" w:tentative="0">
      <w:start w:val="1"/>
      <w:numFmt w:val="none"/>
      <w:suff w:val="nothing"/>
      <w:lvlText w:val="　"/>
      <w:lvlJc w:val="left"/>
      <w:pPr>
        <w:ind w:left="0" w:firstLine="0"/>
      </w:pPr>
      <w:rPr>
        <w:rFonts w:hint="eastAsia" w:ascii="黑体" w:hAnsi="Times New Roman" w:eastAsia="黑体"/>
        <w:b w:val="0"/>
        <w:i w:val="0"/>
        <w:sz w:val="21"/>
      </w:rPr>
    </w:lvl>
    <w:lvl w:ilvl="1" w:tentative="0">
      <w:start w:val="1"/>
      <w:numFmt w:val="decimal"/>
      <w:isLgl/>
      <w:suff w:val="nothing"/>
      <w:lvlText w:val="%2　"/>
      <w:lvlJc w:val="left"/>
      <w:pPr>
        <w:ind w:left="0" w:firstLine="0"/>
      </w:pPr>
      <w:rPr>
        <w:rFonts w:hint="eastAsia" w:ascii="黑体" w:hAnsi="Times New Roman" w:eastAsia="黑体"/>
        <w:b/>
        <w:i w:val="0"/>
        <w:snapToGrid/>
        <w:spacing w:val="0"/>
        <w:w w:val="100"/>
        <w:kern w:val="21"/>
        <w:sz w:val="21"/>
      </w:rPr>
    </w:lvl>
    <w:lvl w:ilvl="2" w:tentative="0">
      <w:start w:val="1"/>
      <w:numFmt w:val="decimal"/>
      <w:pStyle w:val="97"/>
      <w:suff w:val="nothing"/>
      <w:lvlText w:val="%1%2.%3　"/>
      <w:lvlJc w:val="left"/>
      <w:pPr>
        <w:ind w:left="0" w:firstLine="0"/>
      </w:pPr>
      <w:rPr>
        <w:rFonts w:hint="eastAsia" w:ascii="黑体" w:hAnsi="Times New Roman" w:eastAsia="黑体"/>
        <w:b/>
        <w:i w:val="0"/>
        <w:sz w:val="21"/>
      </w:rPr>
    </w:lvl>
    <w:lvl w:ilvl="3" w:tentative="0">
      <w:start w:val="1"/>
      <w:numFmt w:val="decimal"/>
      <w:pStyle w:val="116"/>
      <w:suff w:val="nothing"/>
      <w:lvlText w:val="%1%2.%3.%4　"/>
      <w:lvlJc w:val="left"/>
      <w:pPr>
        <w:ind w:left="0" w:firstLine="0"/>
      </w:pPr>
      <w:rPr>
        <w:rFonts w:hint="eastAsia" w:ascii="黑体" w:hAnsi="Times New Roman" w:eastAsia="黑体"/>
        <w:b/>
        <w:i w:val="0"/>
        <w:sz w:val="21"/>
      </w:rPr>
    </w:lvl>
    <w:lvl w:ilvl="4" w:tentative="0">
      <w:start w:val="1"/>
      <w:numFmt w:val="decimal"/>
      <w:pStyle w:val="85"/>
      <w:suff w:val="nothing"/>
      <w:lvlText w:val="%1%2.%3.%4.%5　"/>
      <w:lvlJc w:val="left"/>
      <w:pPr>
        <w:ind w:left="0" w:firstLine="0"/>
      </w:pPr>
      <w:rPr>
        <w:rFonts w:hint="eastAsia" w:ascii="黑体" w:hAnsi="Times New Roman" w:eastAsia="黑体"/>
        <w:b/>
        <w:i w:val="0"/>
        <w:sz w:val="21"/>
      </w:rPr>
    </w:lvl>
    <w:lvl w:ilvl="5" w:tentative="0">
      <w:start w:val="1"/>
      <w:numFmt w:val="decimal"/>
      <w:pStyle w:val="74"/>
      <w:suff w:val="nothing"/>
      <w:lvlText w:val="%1%2.%3.%4.%5.%6　"/>
      <w:lvlJc w:val="left"/>
      <w:pPr>
        <w:ind w:left="0" w:firstLine="0"/>
      </w:pPr>
      <w:rPr>
        <w:rFonts w:hint="eastAsia" w:ascii="黑体" w:hAnsi="Times New Roman" w:eastAsia="黑体"/>
        <w:b/>
        <w:i w:val="0"/>
        <w:sz w:val="21"/>
      </w:rPr>
    </w:lvl>
    <w:lvl w:ilvl="6" w:tentative="0">
      <w:start w:val="1"/>
      <w:numFmt w:val="decimal"/>
      <w:pStyle w:val="103"/>
      <w:suff w:val="nothing"/>
      <w:lvlText w:val="%1%2.%3.%4.%5.%6.%7　"/>
      <w:lvlJc w:val="left"/>
      <w:pPr>
        <w:ind w:left="0" w:firstLine="0"/>
      </w:pPr>
      <w:rPr>
        <w:rFonts w:hint="eastAsia" w:ascii="黑体" w:hAnsi="Times New Roman" w:eastAsia="黑体"/>
        <w:b/>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1">
    <w:nsid w:val="2EF5B670"/>
    <w:multiLevelType w:val="multilevel"/>
    <w:tmpl w:val="2EF5B670"/>
    <w:lvl w:ilvl="0" w:tentative="0">
      <w:start w:val="1"/>
      <w:numFmt w:val="decimal"/>
      <w:suff w:val="nothing"/>
      <w:lvlText w:val="%1）"/>
      <w:lvlJc w:val="left"/>
      <w:pPr>
        <w:ind w:left="900" w:hanging="420"/>
      </w:pPr>
      <w:rPr>
        <w:rFonts w:ascii="Times New Roman" w:hAnsi="Times New Roman" w:eastAsia="宋体" w:cs="Times New Roman"/>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2">
    <w:nsid w:val="3A9D6A98"/>
    <w:multiLevelType w:val="multilevel"/>
    <w:tmpl w:val="3A9D6A98"/>
    <w:lvl w:ilvl="0" w:tentative="0">
      <w:start w:val="1"/>
      <w:numFmt w:val="decimal"/>
      <w:lvlText w:val="%1）"/>
      <w:lvlJc w:val="left"/>
      <w:pPr>
        <w:ind w:left="900" w:hanging="420"/>
      </w:pPr>
      <w:rPr>
        <w:rFonts w:ascii="Times New Roman" w:hAnsi="Times New Roman" w:eastAsia="宋体" w:cs="Times New Roman"/>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3">
    <w:nsid w:val="4B739E5D"/>
    <w:multiLevelType w:val="multilevel"/>
    <w:tmpl w:val="4B739E5D"/>
    <w:lvl w:ilvl="0" w:tentative="0">
      <w:start w:val="1"/>
      <w:numFmt w:val="decimal"/>
      <w:suff w:val="nothing"/>
      <w:lvlText w:val="%1）"/>
      <w:lvlJc w:val="left"/>
      <w:pPr>
        <w:ind w:left="900" w:hanging="420"/>
      </w:pPr>
      <w:rPr>
        <w:rFonts w:ascii="Times New Roman" w:hAnsi="Times New Roman" w:eastAsia="宋体" w:cs="Times New Roman"/>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4">
    <w:nsid w:val="531C1A20"/>
    <w:multiLevelType w:val="multilevel"/>
    <w:tmpl w:val="531C1A20"/>
    <w:lvl w:ilvl="0" w:tentative="0">
      <w:start w:val="1"/>
      <w:numFmt w:val="decimal"/>
      <w:lvlText w:val="%1）"/>
      <w:lvlJc w:val="left"/>
      <w:pPr>
        <w:ind w:left="900" w:hanging="420"/>
      </w:pPr>
      <w:rPr>
        <w:rFonts w:ascii="Times New Roman" w:hAnsi="Times New Roman" w:eastAsia="宋体" w:cs="Times New Roman"/>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5">
    <w:nsid w:val="5B621A86"/>
    <w:multiLevelType w:val="multilevel"/>
    <w:tmpl w:val="5B621A86"/>
    <w:lvl w:ilvl="0" w:tentative="0">
      <w:start w:val="1"/>
      <w:numFmt w:val="bullet"/>
      <w:pStyle w:val="90"/>
      <w:lvlText w:val=""/>
      <w:lvlJc w:val="left"/>
      <w:pPr>
        <w:tabs>
          <w:tab w:val="left" w:pos="840"/>
        </w:tabs>
        <w:ind w:left="0" w:firstLine="420"/>
      </w:pPr>
      <w:rPr>
        <w:rFonts w:hint="default" w:ascii="Wingdings" w:hAnsi="Wingdings"/>
      </w:rPr>
    </w:lvl>
    <w:lvl w:ilvl="1" w:tentative="0">
      <w:start w:val="1"/>
      <w:numFmt w:val="none"/>
      <w:lvlRestart w:val="0"/>
      <w:lvlText w:val="%2"/>
      <w:lvlJc w:val="left"/>
      <w:pPr>
        <w:tabs>
          <w:tab w:val="left" w:pos="0"/>
        </w:tabs>
        <w:ind w:left="0" w:firstLine="0"/>
      </w:pPr>
      <w:rPr>
        <w:rFonts w:hint="eastAsia"/>
      </w:rPr>
    </w:lvl>
    <w:lvl w:ilvl="2" w:tentative="0">
      <w:start w:val="1"/>
      <w:numFmt w:val="none"/>
      <w:lvlRestart w:val="0"/>
      <w:lvlText w:val=""/>
      <w:lvlJc w:val="left"/>
      <w:pPr>
        <w:tabs>
          <w:tab w:val="left" w:pos="0"/>
        </w:tabs>
        <w:ind w:left="0" w:firstLine="0"/>
      </w:pPr>
      <w:rPr>
        <w:rFonts w:hint="eastAsia"/>
      </w:rPr>
    </w:lvl>
    <w:lvl w:ilvl="3" w:tentative="0">
      <w:start w:val="1"/>
      <w:numFmt w:val="none"/>
      <w:lvlRestart w:val="0"/>
      <w:lvlText w:val=""/>
      <w:lvlJc w:val="right"/>
      <w:pPr>
        <w:tabs>
          <w:tab w:val="left" w:pos="0"/>
        </w:tabs>
        <w:ind w:left="0" w:firstLine="0"/>
      </w:pPr>
      <w:rPr>
        <w:rFonts w:hint="eastAsia"/>
      </w:rPr>
    </w:lvl>
    <w:lvl w:ilvl="4" w:tentative="0">
      <w:start w:val="1"/>
      <w:numFmt w:val="none"/>
      <w:lvlRestart w:val="0"/>
      <w:lvlText w:val="%5"/>
      <w:lvlJc w:val="left"/>
      <w:pPr>
        <w:tabs>
          <w:tab w:val="left" w:pos="0"/>
        </w:tabs>
        <w:ind w:left="0" w:firstLine="0"/>
      </w:pPr>
      <w:rPr>
        <w:rFonts w:hint="eastAsia"/>
      </w:rPr>
    </w:lvl>
    <w:lvl w:ilvl="5" w:tentative="0">
      <w:start w:val="1"/>
      <w:numFmt w:val="none"/>
      <w:lvlRestart w:val="0"/>
      <w:lvlText w:val="%6"/>
      <w:lvlJc w:val="left"/>
      <w:pPr>
        <w:tabs>
          <w:tab w:val="left" w:pos="0"/>
        </w:tabs>
        <w:ind w:left="0" w:firstLine="0"/>
      </w:pPr>
      <w:rPr>
        <w:rFonts w:hint="eastAsia"/>
      </w:rPr>
    </w:lvl>
    <w:lvl w:ilvl="6" w:tentative="0">
      <w:start w:val="1"/>
      <w:numFmt w:val="none"/>
      <w:lvlRestart w:val="0"/>
      <w:lvlText w:val="%7"/>
      <w:lvlJc w:val="right"/>
      <w:pPr>
        <w:tabs>
          <w:tab w:val="left" w:pos="0"/>
        </w:tabs>
        <w:ind w:left="0" w:firstLine="0"/>
      </w:pPr>
      <w:rPr>
        <w:rFonts w:hint="eastAsia"/>
      </w:rPr>
    </w:lvl>
    <w:lvl w:ilvl="7" w:tentative="0">
      <w:start w:val="1"/>
      <w:numFmt w:val="none"/>
      <w:lvlRestart w:val="0"/>
      <w:lvlText w:val="%8"/>
      <w:lvlJc w:val="left"/>
      <w:pPr>
        <w:tabs>
          <w:tab w:val="left" w:pos="0"/>
        </w:tabs>
        <w:ind w:left="0" w:firstLine="0"/>
      </w:pPr>
      <w:rPr>
        <w:rFonts w:hint="eastAsia"/>
      </w:rPr>
    </w:lvl>
    <w:lvl w:ilvl="8" w:tentative="0">
      <w:start w:val="1"/>
      <w:numFmt w:val="none"/>
      <w:lvlRestart w:val="0"/>
      <w:lvlText w:val="%9"/>
      <w:lvlJc w:val="right"/>
      <w:pPr>
        <w:tabs>
          <w:tab w:val="left" w:pos="0"/>
        </w:tabs>
        <w:ind w:left="0" w:firstLine="0"/>
      </w:pPr>
      <w:rPr>
        <w:rFonts w:hint="eastAsia"/>
      </w:rPr>
    </w:lvl>
  </w:abstractNum>
  <w:abstractNum w:abstractNumId="16">
    <w:nsid w:val="656E7BB8"/>
    <w:multiLevelType w:val="multilevel"/>
    <w:tmpl w:val="656E7BB8"/>
    <w:lvl w:ilvl="0" w:tentative="0">
      <w:start w:val="1"/>
      <w:numFmt w:val="none"/>
      <w:suff w:val="nothing"/>
      <w:lvlText w:val=""/>
      <w:lvlJc w:val="left"/>
      <w:pPr>
        <w:ind w:left="0" w:firstLine="0"/>
      </w:pPr>
      <w:rPr>
        <w:rFonts w:hint="eastAsia" w:ascii="黑体" w:hAnsi="Times New Roman" w:eastAsia="黑体"/>
        <w:b/>
        <w:i w:val="0"/>
        <w:sz w:val="28"/>
      </w:rPr>
    </w:lvl>
    <w:lvl w:ilvl="1" w:tentative="0">
      <w:start w:val="1"/>
      <w:numFmt w:val="decimal"/>
      <w:pStyle w:val="79"/>
      <w:lvlText w:val="%1%2"/>
      <w:lvlJc w:val="left"/>
      <w:pPr>
        <w:tabs>
          <w:tab w:val="left" w:pos="360"/>
        </w:tabs>
        <w:ind w:left="0" w:firstLine="0"/>
      </w:pPr>
      <w:rPr>
        <w:rFonts w:hint="eastAsia" w:ascii="黑体" w:hAnsi="Times New Roman" w:eastAsia="黑体"/>
        <w:b/>
        <w:i w:val="0"/>
        <w:sz w:val="20"/>
      </w:rPr>
    </w:lvl>
    <w:lvl w:ilvl="2" w:tentative="0">
      <w:start w:val="1"/>
      <w:numFmt w:val="decimal"/>
      <w:pStyle w:val="78"/>
      <w:lvlText w:val="%1%2.%3"/>
      <w:lvlJc w:val="left"/>
      <w:pPr>
        <w:tabs>
          <w:tab w:val="left" w:pos="720"/>
        </w:tabs>
        <w:ind w:left="0" w:firstLine="0"/>
      </w:pPr>
      <w:rPr>
        <w:rFonts w:hint="eastAsia" w:ascii="黑体" w:hAnsi="Times New Roman" w:eastAsia="黑体"/>
        <w:b/>
        <w:i w:val="0"/>
        <w:sz w:val="21"/>
      </w:rPr>
    </w:lvl>
    <w:lvl w:ilvl="3" w:tentative="0">
      <w:start w:val="1"/>
      <w:numFmt w:val="decimal"/>
      <w:pStyle w:val="77"/>
      <w:lvlText w:val="%1%2.%3.%4"/>
      <w:lvlJc w:val="left"/>
      <w:pPr>
        <w:tabs>
          <w:tab w:val="left" w:pos="720"/>
        </w:tabs>
        <w:ind w:left="0" w:firstLine="0"/>
      </w:pPr>
      <w:rPr>
        <w:rFonts w:hint="eastAsia" w:ascii="黑体" w:hAnsi="Times New Roman" w:eastAsia="黑体"/>
        <w:b/>
        <w:i w:val="0"/>
        <w:sz w:val="21"/>
      </w:rPr>
    </w:lvl>
    <w:lvl w:ilvl="4" w:tentative="0">
      <w:start w:val="1"/>
      <w:numFmt w:val="decimal"/>
      <w:pStyle w:val="89"/>
      <w:lvlText w:val="%2.%3.%4.%5"/>
      <w:lvlJc w:val="left"/>
      <w:pPr>
        <w:tabs>
          <w:tab w:val="left" w:pos="1080"/>
        </w:tabs>
        <w:ind w:left="0" w:firstLine="0"/>
      </w:pPr>
      <w:rPr>
        <w:rFonts w:hint="eastAsia" w:ascii="黑体" w:hAnsi="Times New Roman" w:eastAsia="黑体"/>
        <w:b/>
        <w:i w:val="0"/>
        <w:sz w:val="21"/>
      </w:rPr>
    </w:lvl>
    <w:lvl w:ilvl="5" w:tentative="0">
      <w:start w:val="1"/>
      <w:numFmt w:val="decimal"/>
      <w:pStyle w:val="88"/>
      <w:lvlText w:val="%2.%3.%4.%5.%6"/>
      <w:lvlJc w:val="left"/>
      <w:pPr>
        <w:tabs>
          <w:tab w:val="left" w:pos="1021"/>
        </w:tabs>
        <w:ind w:left="1021" w:hanging="1021"/>
      </w:pPr>
      <w:rPr>
        <w:rFonts w:hint="eastAsia" w:ascii="黑体" w:hAnsi="Times New Roman" w:eastAsia="黑体"/>
        <w:b/>
        <w:i w:val="0"/>
        <w:sz w:val="21"/>
      </w:rPr>
    </w:lvl>
    <w:lvl w:ilvl="6" w:tentative="0">
      <w:start w:val="1"/>
      <w:numFmt w:val="decimal"/>
      <w:lvlRestart w:val="5"/>
      <w:pStyle w:val="87"/>
      <w:lvlText w:val="%2.%3.%4.%5.%6.%7"/>
      <w:lvlJc w:val="left"/>
      <w:pPr>
        <w:tabs>
          <w:tab w:val="left" w:pos="1440"/>
        </w:tabs>
        <w:ind w:left="0" w:firstLine="0"/>
      </w:pPr>
      <w:rPr>
        <w:rFonts w:hint="eastAsia" w:ascii="黑体" w:hAnsi="Times New Roman" w:eastAsia="黑体"/>
        <w:b/>
        <w:i w:val="0"/>
        <w:sz w:val="21"/>
      </w:rPr>
    </w:lvl>
    <w:lvl w:ilvl="7" w:tentative="0">
      <w:start w:val="1"/>
      <w:numFmt w:val="decimal"/>
      <w:lvlRestart w:val="5"/>
      <w:lvlText w:val="图 %2.0.%5 -%8"/>
      <w:lvlJc w:val="left"/>
      <w:pPr>
        <w:tabs>
          <w:tab w:val="left" w:pos="1440"/>
        </w:tabs>
        <w:ind w:left="0" w:firstLine="0"/>
      </w:pPr>
      <w:rPr>
        <w:rFonts w:hint="eastAsia" w:ascii="黑体" w:eastAsia="黑体"/>
        <w:b/>
        <w:i w:val="0"/>
        <w:sz w:val="21"/>
      </w:rPr>
    </w:lvl>
    <w:lvl w:ilvl="8" w:tentative="0">
      <w:start w:val="1"/>
      <w:numFmt w:val="decimal"/>
      <w:lvlRestart w:val="6"/>
      <w:lvlText w:val="      %9)"/>
      <w:lvlJc w:val="left"/>
      <w:pPr>
        <w:tabs>
          <w:tab w:val="left" w:pos="1080"/>
        </w:tabs>
        <w:ind w:left="0" w:firstLine="0"/>
      </w:pPr>
      <w:rPr>
        <w:rFonts w:hint="eastAsia" w:ascii="黑体" w:hAnsi="华文细黑" w:eastAsia="黑体"/>
        <w:b/>
        <w:i w:val="0"/>
        <w:sz w:val="21"/>
      </w:rPr>
    </w:lvl>
  </w:abstractNum>
  <w:abstractNum w:abstractNumId="17">
    <w:nsid w:val="660923B1"/>
    <w:multiLevelType w:val="multilevel"/>
    <w:tmpl w:val="660923B1"/>
    <w:lvl w:ilvl="0" w:tentative="0">
      <w:start w:val="1"/>
      <w:numFmt w:val="decimal"/>
      <w:lvlText w:val="%1）"/>
      <w:lvlJc w:val="left"/>
      <w:pPr>
        <w:ind w:left="900" w:hanging="420"/>
      </w:pPr>
      <w:rPr>
        <w:rFonts w:ascii="Times New Roman" w:hAnsi="Times New Roman" w:eastAsia="宋体" w:cs="Times New Roman"/>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8">
    <w:nsid w:val="6883480C"/>
    <w:multiLevelType w:val="multilevel"/>
    <w:tmpl w:val="6883480C"/>
    <w:lvl w:ilvl="0" w:tentative="0">
      <w:start w:val="1"/>
      <w:numFmt w:val="decimal"/>
      <w:pStyle w:val="73"/>
      <w:lvlText w:val="%1)"/>
      <w:lvlJc w:val="left"/>
      <w:pPr>
        <w:tabs>
          <w:tab w:val="left" w:pos="839"/>
        </w:tabs>
        <w:ind w:left="0" w:firstLine="420"/>
      </w:pPr>
      <w:rPr>
        <w:rFonts w:hint="eastAsia"/>
      </w:rPr>
    </w:lvl>
    <w:lvl w:ilvl="1" w:tentative="0">
      <w:start w:val="1"/>
      <w:numFmt w:val="lowerLetter"/>
      <w:pStyle w:val="110"/>
      <w:lvlText w:val="%2."/>
      <w:lvlJc w:val="left"/>
      <w:pPr>
        <w:tabs>
          <w:tab w:val="left" w:pos="839"/>
        </w:tabs>
        <w:ind w:left="0" w:firstLine="420"/>
      </w:pPr>
      <w:rPr>
        <w:rFonts w:hint="eastAsia"/>
      </w:rPr>
    </w:lvl>
    <w:lvl w:ilvl="2" w:tentative="0">
      <w:start w:val="1"/>
      <w:numFmt w:val="none"/>
      <w:lvlRestart w:val="0"/>
      <w:lvlText w:val=""/>
      <w:lvlJc w:val="left"/>
      <w:pPr>
        <w:tabs>
          <w:tab w:val="left" w:pos="1140"/>
        </w:tabs>
        <w:ind w:left="1140" w:hanging="432"/>
      </w:pPr>
      <w:rPr>
        <w:rFonts w:hint="eastAsia"/>
      </w:rPr>
    </w:lvl>
    <w:lvl w:ilvl="3" w:tentative="0">
      <w:start w:val="1"/>
      <w:numFmt w:val="none"/>
      <w:lvlRestart w:val="0"/>
      <w:lvlText w:val=""/>
      <w:lvlJc w:val="right"/>
      <w:pPr>
        <w:tabs>
          <w:tab w:val="left" w:pos="1284"/>
        </w:tabs>
        <w:ind w:left="1284" w:hanging="144"/>
      </w:pPr>
      <w:rPr>
        <w:rFonts w:hint="eastAsia"/>
      </w:rPr>
    </w:lvl>
    <w:lvl w:ilvl="4" w:tentative="0">
      <w:start w:val="1"/>
      <w:numFmt w:val="none"/>
      <w:lvlRestart w:val="0"/>
      <w:lvlText w:val="%5"/>
      <w:lvlJc w:val="left"/>
      <w:pPr>
        <w:tabs>
          <w:tab w:val="left" w:pos="1428"/>
        </w:tabs>
        <w:ind w:left="1428" w:hanging="432"/>
      </w:pPr>
      <w:rPr>
        <w:rFonts w:hint="eastAsia"/>
      </w:rPr>
    </w:lvl>
    <w:lvl w:ilvl="5" w:tentative="0">
      <w:start w:val="1"/>
      <w:numFmt w:val="none"/>
      <w:lvlRestart w:val="0"/>
      <w:lvlText w:val="%6"/>
      <w:lvlJc w:val="left"/>
      <w:pPr>
        <w:tabs>
          <w:tab w:val="left" w:pos="1572"/>
        </w:tabs>
        <w:ind w:left="1572" w:hanging="432"/>
      </w:pPr>
      <w:rPr>
        <w:rFonts w:hint="eastAsia"/>
      </w:rPr>
    </w:lvl>
    <w:lvl w:ilvl="6" w:tentative="0">
      <w:start w:val="1"/>
      <w:numFmt w:val="none"/>
      <w:lvlRestart w:val="0"/>
      <w:lvlText w:val="%7"/>
      <w:lvlJc w:val="right"/>
      <w:pPr>
        <w:tabs>
          <w:tab w:val="left" w:pos="1716"/>
        </w:tabs>
        <w:ind w:left="1716" w:hanging="288"/>
      </w:pPr>
      <w:rPr>
        <w:rFonts w:hint="eastAsia"/>
      </w:rPr>
    </w:lvl>
    <w:lvl w:ilvl="7" w:tentative="0">
      <w:start w:val="1"/>
      <w:numFmt w:val="none"/>
      <w:lvlRestart w:val="0"/>
      <w:lvlText w:val="%8"/>
      <w:lvlJc w:val="left"/>
      <w:pPr>
        <w:tabs>
          <w:tab w:val="left" w:pos="1860"/>
        </w:tabs>
        <w:ind w:left="1860" w:hanging="432"/>
      </w:pPr>
      <w:rPr>
        <w:rFonts w:hint="eastAsia"/>
      </w:rPr>
    </w:lvl>
    <w:lvl w:ilvl="8" w:tentative="0">
      <w:start w:val="1"/>
      <w:numFmt w:val="none"/>
      <w:lvlRestart w:val="0"/>
      <w:lvlText w:val="%9"/>
      <w:lvlJc w:val="right"/>
      <w:pPr>
        <w:tabs>
          <w:tab w:val="left" w:pos="2004"/>
        </w:tabs>
        <w:ind w:left="2004" w:hanging="144"/>
      </w:pPr>
      <w:rPr>
        <w:rFonts w:hint="eastAsia"/>
      </w:rPr>
    </w:lvl>
  </w:abstractNum>
  <w:abstractNum w:abstractNumId="19">
    <w:nsid w:val="72C84C7F"/>
    <w:multiLevelType w:val="multilevel"/>
    <w:tmpl w:val="72C84C7F"/>
    <w:lvl w:ilvl="0" w:tentative="0">
      <w:start w:val="1"/>
      <w:numFmt w:val="decimal"/>
      <w:lvlText w:val="%1）"/>
      <w:lvlJc w:val="left"/>
      <w:pPr>
        <w:ind w:left="900" w:hanging="420"/>
      </w:pPr>
      <w:rPr>
        <w:rFonts w:ascii="Times New Roman" w:hAnsi="Times New Roman" w:eastAsia="宋体" w:cs="Times New Roman"/>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20">
    <w:nsid w:val="752C6705"/>
    <w:multiLevelType w:val="multilevel"/>
    <w:tmpl w:val="752C6705"/>
    <w:lvl w:ilvl="0" w:tentative="0">
      <w:start w:val="1"/>
      <w:numFmt w:val="decimal"/>
      <w:lvlText w:val="%1）"/>
      <w:lvlJc w:val="left"/>
      <w:pPr>
        <w:ind w:left="900" w:hanging="420"/>
      </w:pPr>
      <w:rPr>
        <w:rFonts w:ascii="Times New Roman" w:hAnsi="Times New Roman" w:eastAsia="宋体" w:cs="Times New Roman"/>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21">
    <w:nsid w:val="756D29A0"/>
    <w:multiLevelType w:val="multilevel"/>
    <w:tmpl w:val="756D29A0"/>
    <w:lvl w:ilvl="0" w:tentative="0">
      <w:start w:val="1"/>
      <w:numFmt w:val="decimal"/>
      <w:pStyle w:val="4"/>
      <w:lvlText w:val="%1."/>
      <w:lvlJc w:val="left"/>
      <w:pPr>
        <w:tabs>
          <w:tab w:val="left" w:pos="425"/>
        </w:tabs>
        <w:ind w:left="425" w:hanging="425"/>
      </w:pPr>
      <w:rPr>
        <w:rFonts w:hint="default" w:ascii="Times New Roman" w:hAnsi="Times New Roman" w:eastAsia="宋体"/>
        <w:b w:val="0"/>
        <w:i w:val="0"/>
        <w:spacing w:val="-12"/>
        <w:sz w:val="28"/>
        <w:szCs w:val="44"/>
      </w:rPr>
    </w:lvl>
    <w:lvl w:ilvl="1" w:tentative="0">
      <w:start w:val="1"/>
      <w:numFmt w:val="decimal"/>
      <w:pStyle w:val="5"/>
      <w:lvlText w:val="%1.%2."/>
      <w:lvlJc w:val="left"/>
      <w:pPr>
        <w:tabs>
          <w:tab w:val="left" w:pos="567"/>
        </w:tabs>
        <w:ind w:left="567" w:hanging="567"/>
      </w:pPr>
      <w:rPr>
        <w:rFonts w:hint="default" w:ascii="Times New Roman" w:hAnsi="Times New Roman" w:eastAsia="宋体"/>
        <w:sz w:val="28"/>
        <w:szCs w:val="24"/>
      </w:rPr>
    </w:lvl>
    <w:lvl w:ilvl="2" w:tentative="0">
      <w:start w:val="1"/>
      <w:numFmt w:val="decimal"/>
      <w:pStyle w:val="6"/>
      <w:lvlText w:val="%1.%2.%3."/>
      <w:lvlJc w:val="left"/>
      <w:pPr>
        <w:tabs>
          <w:tab w:val="left" w:pos="3687"/>
        </w:tabs>
        <w:ind w:left="709" w:hanging="709"/>
      </w:pPr>
      <w:rPr>
        <w:rFonts w:hint="default" w:ascii="Times New Roman" w:hAnsi="Times New Roman" w:cs="Times New Roman"/>
        <w:sz w:val="28"/>
      </w:rPr>
    </w:lvl>
    <w:lvl w:ilvl="3" w:tentative="0">
      <w:start w:val="1"/>
      <w:numFmt w:val="decimal"/>
      <w:pStyle w:val="7"/>
      <w:lvlText w:val="%1.%2.%3.%4."/>
      <w:lvlJc w:val="left"/>
      <w:pPr>
        <w:tabs>
          <w:tab w:val="left" w:pos="851"/>
        </w:tabs>
        <w:ind w:left="851" w:hanging="851"/>
      </w:pPr>
      <w:rPr>
        <w:rFonts w:hint="eastAsia"/>
        <w:sz w:val="24"/>
        <w:szCs w:val="24"/>
      </w:rPr>
    </w:lvl>
    <w:lvl w:ilvl="4" w:tentative="0">
      <w:start w:val="1"/>
      <w:numFmt w:val="decimal"/>
      <w:pStyle w:val="8"/>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21"/>
  </w:num>
  <w:num w:numId="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16"/>
  </w:num>
  <w:num w:numId="5">
    <w:abstractNumId w:val="15"/>
  </w:num>
  <w:num w:numId="6">
    <w:abstractNumId w:val="17"/>
  </w:num>
  <w:num w:numId="7">
    <w:abstractNumId w:val="9"/>
  </w:num>
  <w:num w:numId="8">
    <w:abstractNumId w:val="0"/>
  </w:num>
  <w:num w:numId="9">
    <w:abstractNumId w:val="7"/>
  </w:num>
  <w:num w:numId="10">
    <w:abstractNumId w:val="8"/>
  </w:num>
  <w:num w:numId="11">
    <w:abstractNumId w:val="6"/>
  </w:num>
  <w:num w:numId="12">
    <w:abstractNumId w:val="3"/>
  </w:num>
  <w:num w:numId="13">
    <w:abstractNumId w:val="20"/>
  </w:num>
  <w:num w:numId="14">
    <w:abstractNumId w:val="5"/>
  </w:num>
  <w:num w:numId="15">
    <w:abstractNumId w:val="11"/>
  </w:num>
  <w:num w:numId="16">
    <w:abstractNumId w:val="13"/>
  </w:num>
  <w:num w:numId="17">
    <w:abstractNumId w:val="1"/>
  </w:num>
  <w:num w:numId="18">
    <w:abstractNumId w:val="19"/>
  </w:num>
  <w:num w:numId="19">
    <w:abstractNumId w:val="14"/>
  </w:num>
  <w:num w:numId="20">
    <w:abstractNumId w:val="12"/>
  </w:num>
  <w:num w:numId="21">
    <w:abstractNumId w:val="4"/>
  </w:num>
  <w:num w:numId="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21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Q3OGMyZGExYjZhZDliZDEyZTI4NGU3MTJjOTljY2QifQ=="/>
  </w:docVars>
  <w:rsids>
    <w:rsidRoot w:val="00F178A9"/>
    <w:rsid w:val="00000D50"/>
    <w:rsid w:val="0000348C"/>
    <w:rsid w:val="00005777"/>
    <w:rsid w:val="00005E57"/>
    <w:rsid w:val="0000720A"/>
    <w:rsid w:val="000121FD"/>
    <w:rsid w:val="00013FFD"/>
    <w:rsid w:val="00017A99"/>
    <w:rsid w:val="00022803"/>
    <w:rsid w:val="00023619"/>
    <w:rsid w:val="0002522C"/>
    <w:rsid w:val="000260B5"/>
    <w:rsid w:val="00033772"/>
    <w:rsid w:val="0003434F"/>
    <w:rsid w:val="00036C48"/>
    <w:rsid w:val="0003775A"/>
    <w:rsid w:val="00037956"/>
    <w:rsid w:val="00037E03"/>
    <w:rsid w:val="00041C8E"/>
    <w:rsid w:val="00042573"/>
    <w:rsid w:val="00043DA6"/>
    <w:rsid w:val="00044737"/>
    <w:rsid w:val="00044959"/>
    <w:rsid w:val="0004496C"/>
    <w:rsid w:val="000460CF"/>
    <w:rsid w:val="00046480"/>
    <w:rsid w:val="00046A59"/>
    <w:rsid w:val="00047B73"/>
    <w:rsid w:val="000502F5"/>
    <w:rsid w:val="00053191"/>
    <w:rsid w:val="00055AAF"/>
    <w:rsid w:val="00057111"/>
    <w:rsid w:val="00057E39"/>
    <w:rsid w:val="00063D61"/>
    <w:rsid w:val="00064034"/>
    <w:rsid w:val="000668E8"/>
    <w:rsid w:val="00066CE1"/>
    <w:rsid w:val="00073CA7"/>
    <w:rsid w:val="000750C0"/>
    <w:rsid w:val="00075968"/>
    <w:rsid w:val="00076BEC"/>
    <w:rsid w:val="00077E62"/>
    <w:rsid w:val="00080D0C"/>
    <w:rsid w:val="00083F7F"/>
    <w:rsid w:val="0008479C"/>
    <w:rsid w:val="00086535"/>
    <w:rsid w:val="00086696"/>
    <w:rsid w:val="00087946"/>
    <w:rsid w:val="0009092E"/>
    <w:rsid w:val="0009151E"/>
    <w:rsid w:val="00092316"/>
    <w:rsid w:val="00093AA4"/>
    <w:rsid w:val="00093C06"/>
    <w:rsid w:val="00094447"/>
    <w:rsid w:val="00095773"/>
    <w:rsid w:val="0009664D"/>
    <w:rsid w:val="00097860"/>
    <w:rsid w:val="00097BCC"/>
    <w:rsid w:val="000A1952"/>
    <w:rsid w:val="000A510C"/>
    <w:rsid w:val="000A5512"/>
    <w:rsid w:val="000A719D"/>
    <w:rsid w:val="000B0A24"/>
    <w:rsid w:val="000B16FF"/>
    <w:rsid w:val="000B547C"/>
    <w:rsid w:val="000B5606"/>
    <w:rsid w:val="000B7E17"/>
    <w:rsid w:val="000C36E1"/>
    <w:rsid w:val="000C7448"/>
    <w:rsid w:val="000D3286"/>
    <w:rsid w:val="000D3E86"/>
    <w:rsid w:val="000D4E82"/>
    <w:rsid w:val="000D5FF1"/>
    <w:rsid w:val="000D6285"/>
    <w:rsid w:val="000D709A"/>
    <w:rsid w:val="000E0755"/>
    <w:rsid w:val="000E2D49"/>
    <w:rsid w:val="000E3BDE"/>
    <w:rsid w:val="000E578B"/>
    <w:rsid w:val="000E7F2A"/>
    <w:rsid w:val="000F0423"/>
    <w:rsid w:val="000F0FD1"/>
    <w:rsid w:val="000F1E0E"/>
    <w:rsid w:val="000F2A0B"/>
    <w:rsid w:val="000F2FAE"/>
    <w:rsid w:val="000F680C"/>
    <w:rsid w:val="000F7F89"/>
    <w:rsid w:val="001000D4"/>
    <w:rsid w:val="00101604"/>
    <w:rsid w:val="00104FF5"/>
    <w:rsid w:val="00106015"/>
    <w:rsid w:val="001060B5"/>
    <w:rsid w:val="00107FA2"/>
    <w:rsid w:val="0011046C"/>
    <w:rsid w:val="00112149"/>
    <w:rsid w:val="0011399E"/>
    <w:rsid w:val="00114562"/>
    <w:rsid w:val="00114AE3"/>
    <w:rsid w:val="001151EC"/>
    <w:rsid w:val="00115D81"/>
    <w:rsid w:val="00121591"/>
    <w:rsid w:val="00121AD8"/>
    <w:rsid w:val="001220D3"/>
    <w:rsid w:val="001269EB"/>
    <w:rsid w:val="00130818"/>
    <w:rsid w:val="00130E95"/>
    <w:rsid w:val="0013153C"/>
    <w:rsid w:val="001323AF"/>
    <w:rsid w:val="00132E9A"/>
    <w:rsid w:val="00133432"/>
    <w:rsid w:val="001334F5"/>
    <w:rsid w:val="00133628"/>
    <w:rsid w:val="0013466B"/>
    <w:rsid w:val="00142E94"/>
    <w:rsid w:val="00143558"/>
    <w:rsid w:val="001475C3"/>
    <w:rsid w:val="00150030"/>
    <w:rsid w:val="00153210"/>
    <w:rsid w:val="0015464D"/>
    <w:rsid w:val="00155EE4"/>
    <w:rsid w:val="00156E1F"/>
    <w:rsid w:val="00160798"/>
    <w:rsid w:val="00162091"/>
    <w:rsid w:val="00163FB2"/>
    <w:rsid w:val="001645CC"/>
    <w:rsid w:val="0017091A"/>
    <w:rsid w:val="00172287"/>
    <w:rsid w:val="0017330D"/>
    <w:rsid w:val="00174753"/>
    <w:rsid w:val="001815AD"/>
    <w:rsid w:val="00182559"/>
    <w:rsid w:val="00182692"/>
    <w:rsid w:val="00182BA8"/>
    <w:rsid w:val="00183FBE"/>
    <w:rsid w:val="001911CC"/>
    <w:rsid w:val="00193E1A"/>
    <w:rsid w:val="00193EB7"/>
    <w:rsid w:val="00194004"/>
    <w:rsid w:val="00194904"/>
    <w:rsid w:val="00197254"/>
    <w:rsid w:val="001A1838"/>
    <w:rsid w:val="001A2493"/>
    <w:rsid w:val="001A2880"/>
    <w:rsid w:val="001A3389"/>
    <w:rsid w:val="001A3BE0"/>
    <w:rsid w:val="001A5EFC"/>
    <w:rsid w:val="001B0047"/>
    <w:rsid w:val="001B206A"/>
    <w:rsid w:val="001B42AB"/>
    <w:rsid w:val="001B5046"/>
    <w:rsid w:val="001B56E6"/>
    <w:rsid w:val="001C0EFB"/>
    <w:rsid w:val="001C35F0"/>
    <w:rsid w:val="001C37D5"/>
    <w:rsid w:val="001C49B9"/>
    <w:rsid w:val="001C62F7"/>
    <w:rsid w:val="001D0263"/>
    <w:rsid w:val="001D09B4"/>
    <w:rsid w:val="001D0D52"/>
    <w:rsid w:val="001D2508"/>
    <w:rsid w:val="001D342B"/>
    <w:rsid w:val="001D4231"/>
    <w:rsid w:val="001D4645"/>
    <w:rsid w:val="001D4F79"/>
    <w:rsid w:val="001D5A13"/>
    <w:rsid w:val="001D78A5"/>
    <w:rsid w:val="001E02B4"/>
    <w:rsid w:val="001E1E26"/>
    <w:rsid w:val="001F4C38"/>
    <w:rsid w:val="001F5521"/>
    <w:rsid w:val="001F5AC1"/>
    <w:rsid w:val="001F6841"/>
    <w:rsid w:val="001F776F"/>
    <w:rsid w:val="002000FF"/>
    <w:rsid w:val="00200E0E"/>
    <w:rsid w:val="00200FC9"/>
    <w:rsid w:val="00201F57"/>
    <w:rsid w:val="00202201"/>
    <w:rsid w:val="00202AC5"/>
    <w:rsid w:val="00205CF9"/>
    <w:rsid w:val="00207092"/>
    <w:rsid w:val="00211BBC"/>
    <w:rsid w:val="00212A02"/>
    <w:rsid w:val="00212A43"/>
    <w:rsid w:val="002145A1"/>
    <w:rsid w:val="002146BD"/>
    <w:rsid w:val="00214B9F"/>
    <w:rsid w:val="002152C7"/>
    <w:rsid w:val="00216E6A"/>
    <w:rsid w:val="002271EB"/>
    <w:rsid w:val="00227A46"/>
    <w:rsid w:val="002378B0"/>
    <w:rsid w:val="00242F19"/>
    <w:rsid w:val="00244C71"/>
    <w:rsid w:val="00250054"/>
    <w:rsid w:val="00251616"/>
    <w:rsid w:val="00252B35"/>
    <w:rsid w:val="00253702"/>
    <w:rsid w:val="00255180"/>
    <w:rsid w:val="002603A8"/>
    <w:rsid w:val="002616A2"/>
    <w:rsid w:val="002650D6"/>
    <w:rsid w:val="00267C58"/>
    <w:rsid w:val="0027048D"/>
    <w:rsid w:val="002719A8"/>
    <w:rsid w:val="002724B6"/>
    <w:rsid w:val="00273A73"/>
    <w:rsid w:val="0027477D"/>
    <w:rsid w:val="00276683"/>
    <w:rsid w:val="00283641"/>
    <w:rsid w:val="0028463B"/>
    <w:rsid w:val="00284E34"/>
    <w:rsid w:val="00285AEA"/>
    <w:rsid w:val="00285F75"/>
    <w:rsid w:val="00290519"/>
    <w:rsid w:val="00293007"/>
    <w:rsid w:val="002951D8"/>
    <w:rsid w:val="00295CE6"/>
    <w:rsid w:val="00295FFE"/>
    <w:rsid w:val="00296CAF"/>
    <w:rsid w:val="002A3497"/>
    <w:rsid w:val="002A62BC"/>
    <w:rsid w:val="002A6846"/>
    <w:rsid w:val="002A6DB1"/>
    <w:rsid w:val="002A7157"/>
    <w:rsid w:val="002B0956"/>
    <w:rsid w:val="002B3C47"/>
    <w:rsid w:val="002B48F6"/>
    <w:rsid w:val="002B53DD"/>
    <w:rsid w:val="002B59D3"/>
    <w:rsid w:val="002B6C9A"/>
    <w:rsid w:val="002C0CF1"/>
    <w:rsid w:val="002C1F51"/>
    <w:rsid w:val="002C1FED"/>
    <w:rsid w:val="002C34CD"/>
    <w:rsid w:val="002C409C"/>
    <w:rsid w:val="002C48AB"/>
    <w:rsid w:val="002C4C90"/>
    <w:rsid w:val="002C673E"/>
    <w:rsid w:val="002D11A3"/>
    <w:rsid w:val="002D391B"/>
    <w:rsid w:val="002D6D59"/>
    <w:rsid w:val="002E435B"/>
    <w:rsid w:val="002F00FE"/>
    <w:rsid w:val="002F1A0F"/>
    <w:rsid w:val="002F1F91"/>
    <w:rsid w:val="002F6083"/>
    <w:rsid w:val="002F65FD"/>
    <w:rsid w:val="002F721F"/>
    <w:rsid w:val="00302A86"/>
    <w:rsid w:val="00303B2E"/>
    <w:rsid w:val="00305AB0"/>
    <w:rsid w:val="003070C2"/>
    <w:rsid w:val="00307CDA"/>
    <w:rsid w:val="003101B3"/>
    <w:rsid w:val="003109C3"/>
    <w:rsid w:val="00311705"/>
    <w:rsid w:val="003125BC"/>
    <w:rsid w:val="0031444E"/>
    <w:rsid w:val="00316B89"/>
    <w:rsid w:val="00317BCA"/>
    <w:rsid w:val="0032084C"/>
    <w:rsid w:val="00321A55"/>
    <w:rsid w:val="00321C4D"/>
    <w:rsid w:val="00322AD6"/>
    <w:rsid w:val="00323FBE"/>
    <w:rsid w:val="00324116"/>
    <w:rsid w:val="00324446"/>
    <w:rsid w:val="003260CE"/>
    <w:rsid w:val="0032725E"/>
    <w:rsid w:val="00340324"/>
    <w:rsid w:val="00340D25"/>
    <w:rsid w:val="00341293"/>
    <w:rsid w:val="00342CDE"/>
    <w:rsid w:val="003474C7"/>
    <w:rsid w:val="00351876"/>
    <w:rsid w:val="00351DEF"/>
    <w:rsid w:val="00352D6C"/>
    <w:rsid w:val="0035312B"/>
    <w:rsid w:val="00353296"/>
    <w:rsid w:val="003537D9"/>
    <w:rsid w:val="003577C3"/>
    <w:rsid w:val="00360608"/>
    <w:rsid w:val="00360CC2"/>
    <w:rsid w:val="003618F4"/>
    <w:rsid w:val="0036353C"/>
    <w:rsid w:val="00364DB2"/>
    <w:rsid w:val="00366AC6"/>
    <w:rsid w:val="0036727B"/>
    <w:rsid w:val="00367A1B"/>
    <w:rsid w:val="00367D2C"/>
    <w:rsid w:val="003702E5"/>
    <w:rsid w:val="00371E62"/>
    <w:rsid w:val="003731FA"/>
    <w:rsid w:val="00373886"/>
    <w:rsid w:val="003742B4"/>
    <w:rsid w:val="00381216"/>
    <w:rsid w:val="00382726"/>
    <w:rsid w:val="003829A7"/>
    <w:rsid w:val="003859C4"/>
    <w:rsid w:val="00385A02"/>
    <w:rsid w:val="00385D27"/>
    <w:rsid w:val="00387897"/>
    <w:rsid w:val="00387B5B"/>
    <w:rsid w:val="003915C4"/>
    <w:rsid w:val="0039348C"/>
    <w:rsid w:val="00393DB4"/>
    <w:rsid w:val="00396F74"/>
    <w:rsid w:val="003A0026"/>
    <w:rsid w:val="003A3FBF"/>
    <w:rsid w:val="003B207C"/>
    <w:rsid w:val="003B52F5"/>
    <w:rsid w:val="003B7B48"/>
    <w:rsid w:val="003C0751"/>
    <w:rsid w:val="003C0B4B"/>
    <w:rsid w:val="003C2D3A"/>
    <w:rsid w:val="003C446D"/>
    <w:rsid w:val="003C45E0"/>
    <w:rsid w:val="003C5730"/>
    <w:rsid w:val="003C5B38"/>
    <w:rsid w:val="003D017E"/>
    <w:rsid w:val="003D28DE"/>
    <w:rsid w:val="003D3694"/>
    <w:rsid w:val="003D5712"/>
    <w:rsid w:val="003D57C8"/>
    <w:rsid w:val="003D6686"/>
    <w:rsid w:val="003D7FC8"/>
    <w:rsid w:val="003E0571"/>
    <w:rsid w:val="003E2E73"/>
    <w:rsid w:val="003E4122"/>
    <w:rsid w:val="003E4954"/>
    <w:rsid w:val="003E51C1"/>
    <w:rsid w:val="003E6326"/>
    <w:rsid w:val="003E714E"/>
    <w:rsid w:val="003F0F03"/>
    <w:rsid w:val="003F119B"/>
    <w:rsid w:val="003F1880"/>
    <w:rsid w:val="003F4046"/>
    <w:rsid w:val="003F507A"/>
    <w:rsid w:val="003F5F86"/>
    <w:rsid w:val="0040001A"/>
    <w:rsid w:val="00401194"/>
    <w:rsid w:val="004025BF"/>
    <w:rsid w:val="00405A8B"/>
    <w:rsid w:val="00406110"/>
    <w:rsid w:val="00406467"/>
    <w:rsid w:val="00406C94"/>
    <w:rsid w:val="00407316"/>
    <w:rsid w:val="00411167"/>
    <w:rsid w:val="004132A7"/>
    <w:rsid w:val="00413CCF"/>
    <w:rsid w:val="00414882"/>
    <w:rsid w:val="00414EE9"/>
    <w:rsid w:val="004152F9"/>
    <w:rsid w:val="00416F1F"/>
    <w:rsid w:val="00417CB6"/>
    <w:rsid w:val="00424D66"/>
    <w:rsid w:val="00424DA9"/>
    <w:rsid w:val="00427368"/>
    <w:rsid w:val="00427F70"/>
    <w:rsid w:val="0043033F"/>
    <w:rsid w:val="00433585"/>
    <w:rsid w:val="0043638B"/>
    <w:rsid w:val="004405D1"/>
    <w:rsid w:val="0044425D"/>
    <w:rsid w:val="00444382"/>
    <w:rsid w:val="0045439A"/>
    <w:rsid w:val="00462EAD"/>
    <w:rsid w:val="004635F6"/>
    <w:rsid w:val="00463E78"/>
    <w:rsid w:val="004673EE"/>
    <w:rsid w:val="00470281"/>
    <w:rsid w:val="00472EC5"/>
    <w:rsid w:val="00477C18"/>
    <w:rsid w:val="004801C4"/>
    <w:rsid w:val="00481BDD"/>
    <w:rsid w:val="004852AB"/>
    <w:rsid w:val="004870AF"/>
    <w:rsid w:val="00491849"/>
    <w:rsid w:val="00493D71"/>
    <w:rsid w:val="00494B36"/>
    <w:rsid w:val="004972E2"/>
    <w:rsid w:val="004A2225"/>
    <w:rsid w:val="004A56C5"/>
    <w:rsid w:val="004B08A1"/>
    <w:rsid w:val="004B1A38"/>
    <w:rsid w:val="004B38AF"/>
    <w:rsid w:val="004B4520"/>
    <w:rsid w:val="004B632D"/>
    <w:rsid w:val="004B6CEF"/>
    <w:rsid w:val="004B7AA3"/>
    <w:rsid w:val="004C08D2"/>
    <w:rsid w:val="004C3134"/>
    <w:rsid w:val="004C671D"/>
    <w:rsid w:val="004D0327"/>
    <w:rsid w:val="004D112A"/>
    <w:rsid w:val="004D23FC"/>
    <w:rsid w:val="004D450F"/>
    <w:rsid w:val="004D4EF4"/>
    <w:rsid w:val="004D7E1B"/>
    <w:rsid w:val="004E22BB"/>
    <w:rsid w:val="004E7750"/>
    <w:rsid w:val="004F4496"/>
    <w:rsid w:val="004F49D8"/>
    <w:rsid w:val="004F4AB9"/>
    <w:rsid w:val="004F5F25"/>
    <w:rsid w:val="005016E5"/>
    <w:rsid w:val="0050202A"/>
    <w:rsid w:val="005022A9"/>
    <w:rsid w:val="005025A0"/>
    <w:rsid w:val="00506913"/>
    <w:rsid w:val="00506A54"/>
    <w:rsid w:val="00507D6D"/>
    <w:rsid w:val="00510E5A"/>
    <w:rsid w:val="00515CB9"/>
    <w:rsid w:val="00516A1C"/>
    <w:rsid w:val="005178BF"/>
    <w:rsid w:val="00522694"/>
    <w:rsid w:val="00522B84"/>
    <w:rsid w:val="00524022"/>
    <w:rsid w:val="00524957"/>
    <w:rsid w:val="005338F5"/>
    <w:rsid w:val="00535383"/>
    <w:rsid w:val="00536420"/>
    <w:rsid w:val="005473A0"/>
    <w:rsid w:val="005473CE"/>
    <w:rsid w:val="00550EC1"/>
    <w:rsid w:val="0055589F"/>
    <w:rsid w:val="00555EBF"/>
    <w:rsid w:val="005564F1"/>
    <w:rsid w:val="005570E2"/>
    <w:rsid w:val="00557A67"/>
    <w:rsid w:val="00561C41"/>
    <w:rsid w:val="0056296D"/>
    <w:rsid w:val="00562AF8"/>
    <w:rsid w:val="0056365E"/>
    <w:rsid w:val="00563D8F"/>
    <w:rsid w:val="00564984"/>
    <w:rsid w:val="00564C79"/>
    <w:rsid w:val="005665E8"/>
    <w:rsid w:val="00572A4A"/>
    <w:rsid w:val="005742AC"/>
    <w:rsid w:val="005748E4"/>
    <w:rsid w:val="00574AAC"/>
    <w:rsid w:val="0057518B"/>
    <w:rsid w:val="00576615"/>
    <w:rsid w:val="00576F68"/>
    <w:rsid w:val="00577506"/>
    <w:rsid w:val="0058310A"/>
    <w:rsid w:val="00583B21"/>
    <w:rsid w:val="0058791E"/>
    <w:rsid w:val="00590853"/>
    <w:rsid w:val="005911AC"/>
    <w:rsid w:val="00591310"/>
    <w:rsid w:val="0059142B"/>
    <w:rsid w:val="00594A01"/>
    <w:rsid w:val="005954D7"/>
    <w:rsid w:val="00597C7D"/>
    <w:rsid w:val="005A00E8"/>
    <w:rsid w:val="005A16A1"/>
    <w:rsid w:val="005A291F"/>
    <w:rsid w:val="005A52EB"/>
    <w:rsid w:val="005A6A03"/>
    <w:rsid w:val="005B0205"/>
    <w:rsid w:val="005B0453"/>
    <w:rsid w:val="005B3FE5"/>
    <w:rsid w:val="005B4336"/>
    <w:rsid w:val="005B771C"/>
    <w:rsid w:val="005C2F7D"/>
    <w:rsid w:val="005C35B2"/>
    <w:rsid w:val="005C54E3"/>
    <w:rsid w:val="005C59B8"/>
    <w:rsid w:val="005C63DC"/>
    <w:rsid w:val="005C728A"/>
    <w:rsid w:val="005C77DB"/>
    <w:rsid w:val="005D2704"/>
    <w:rsid w:val="005D6805"/>
    <w:rsid w:val="005D6C8D"/>
    <w:rsid w:val="005E1F78"/>
    <w:rsid w:val="005E2E91"/>
    <w:rsid w:val="005E2F1D"/>
    <w:rsid w:val="005E3072"/>
    <w:rsid w:val="005E615D"/>
    <w:rsid w:val="005F2FA3"/>
    <w:rsid w:val="005F35C5"/>
    <w:rsid w:val="005F36C8"/>
    <w:rsid w:val="005F4920"/>
    <w:rsid w:val="005F5139"/>
    <w:rsid w:val="005F53CC"/>
    <w:rsid w:val="005F5C8B"/>
    <w:rsid w:val="006007D2"/>
    <w:rsid w:val="00601336"/>
    <w:rsid w:val="00604011"/>
    <w:rsid w:val="00605A0C"/>
    <w:rsid w:val="00607784"/>
    <w:rsid w:val="00611BBD"/>
    <w:rsid w:val="006148D5"/>
    <w:rsid w:val="006154A7"/>
    <w:rsid w:val="00615AF7"/>
    <w:rsid w:val="00615CA5"/>
    <w:rsid w:val="0062045C"/>
    <w:rsid w:val="00620AD7"/>
    <w:rsid w:val="006211CB"/>
    <w:rsid w:val="00621EF9"/>
    <w:rsid w:val="00623392"/>
    <w:rsid w:val="00624382"/>
    <w:rsid w:val="00627A2F"/>
    <w:rsid w:val="00631139"/>
    <w:rsid w:val="00631F04"/>
    <w:rsid w:val="00633367"/>
    <w:rsid w:val="00634ECE"/>
    <w:rsid w:val="006355F3"/>
    <w:rsid w:val="00643E94"/>
    <w:rsid w:val="00644256"/>
    <w:rsid w:val="00646358"/>
    <w:rsid w:val="006471E9"/>
    <w:rsid w:val="00651471"/>
    <w:rsid w:val="006533F5"/>
    <w:rsid w:val="0065473E"/>
    <w:rsid w:val="0065552A"/>
    <w:rsid w:val="00656FFD"/>
    <w:rsid w:val="00657292"/>
    <w:rsid w:val="00657C97"/>
    <w:rsid w:val="00662E8F"/>
    <w:rsid w:val="0066302A"/>
    <w:rsid w:val="00665545"/>
    <w:rsid w:val="006661A2"/>
    <w:rsid w:val="00666751"/>
    <w:rsid w:val="00667223"/>
    <w:rsid w:val="006715AF"/>
    <w:rsid w:val="00671BE7"/>
    <w:rsid w:val="00672DD7"/>
    <w:rsid w:val="0067302B"/>
    <w:rsid w:val="006737F2"/>
    <w:rsid w:val="0067445A"/>
    <w:rsid w:val="00680265"/>
    <w:rsid w:val="006808E5"/>
    <w:rsid w:val="0068330C"/>
    <w:rsid w:val="006847EC"/>
    <w:rsid w:val="00692D1C"/>
    <w:rsid w:val="00692F98"/>
    <w:rsid w:val="006945A5"/>
    <w:rsid w:val="0069565F"/>
    <w:rsid w:val="0069638E"/>
    <w:rsid w:val="00696EFC"/>
    <w:rsid w:val="006A2071"/>
    <w:rsid w:val="006A62C1"/>
    <w:rsid w:val="006A7981"/>
    <w:rsid w:val="006B26CF"/>
    <w:rsid w:val="006B42AE"/>
    <w:rsid w:val="006B6271"/>
    <w:rsid w:val="006C21F7"/>
    <w:rsid w:val="006C4658"/>
    <w:rsid w:val="006C4A14"/>
    <w:rsid w:val="006D58E7"/>
    <w:rsid w:val="006D6CDE"/>
    <w:rsid w:val="006E3C88"/>
    <w:rsid w:val="006E41B6"/>
    <w:rsid w:val="006E46F2"/>
    <w:rsid w:val="006E6C9C"/>
    <w:rsid w:val="006F005B"/>
    <w:rsid w:val="006F2188"/>
    <w:rsid w:val="006F3F2E"/>
    <w:rsid w:val="006F4EB3"/>
    <w:rsid w:val="006F4F73"/>
    <w:rsid w:val="006F76DF"/>
    <w:rsid w:val="007002CD"/>
    <w:rsid w:val="00701AF1"/>
    <w:rsid w:val="00704C11"/>
    <w:rsid w:val="00713E4B"/>
    <w:rsid w:val="00713F1E"/>
    <w:rsid w:val="007141B3"/>
    <w:rsid w:val="00714E99"/>
    <w:rsid w:val="007161B9"/>
    <w:rsid w:val="007162CE"/>
    <w:rsid w:val="0071709F"/>
    <w:rsid w:val="0072099E"/>
    <w:rsid w:val="007209C4"/>
    <w:rsid w:val="00722A6C"/>
    <w:rsid w:val="00722FC0"/>
    <w:rsid w:val="007236B2"/>
    <w:rsid w:val="007247BA"/>
    <w:rsid w:val="00724819"/>
    <w:rsid w:val="00730326"/>
    <w:rsid w:val="00730748"/>
    <w:rsid w:val="00730F31"/>
    <w:rsid w:val="00732464"/>
    <w:rsid w:val="007344AC"/>
    <w:rsid w:val="0073614A"/>
    <w:rsid w:val="00737ADA"/>
    <w:rsid w:val="00740B30"/>
    <w:rsid w:val="00741194"/>
    <w:rsid w:val="00744E12"/>
    <w:rsid w:val="00745481"/>
    <w:rsid w:val="00745596"/>
    <w:rsid w:val="00747FE0"/>
    <w:rsid w:val="00751F1A"/>
    <w:rsid w:val="007545D3"/>
    <w:rsid w:val="00754CEA"/>
    <w:rsid w:val="00755CFA"/>
    <w:rsid w:val="00757740"/>
    <w:rsid w:val="00760F42"/>
    <w:rsid w:val="007640B0"/>
    <w:rsid w:val="00764B0D"/>
    <w:rsid w:val="00764B13"/>
    <w:rsid w:val="00770492"/>
    <w:rsid w:val="007709B2"/>
    <w:rsid w:val="00770C0C"/>
    <w:rsid w:val="007717AE"/>
    <w:rsid w:val="00771CDB"/>
    <w:rsid w:val="00772431"/>
    <w:rsid w:val="0077344A"/>
    <w:rsid w:val="00773A70"/>
    <w:rsid w:val="00774FA3"/>
    <w:rsid w:val="00777618"/>
    <w:rsid w:val="007803A3"/>
    <w:rsid w:val="007829FA"/>
    <w:rsid w:val="007852CA"/>
    <w:rsid w:val="00785BCC"/>
    <w:rsid w:val="007865AA"/>
    <w:rsid w:val="00786E27"/>
    <w:rsid w:val="00790CBF"/>
    <w:rsid w:val="007924F4"/>
    <w:rsid w:val="00793EE4"/>
    <w:rsid w:val="00794ABD"/>
    <w:rsid w:val="007959AF"/>
    <w:rsid w:val="00796D14"/>
    <w:rsid w:val="00797ADC"/>
    <w:rsid w:val="007A2B46"/>
    <w:rsid w:val="007A2F22"/>
    <w:rsid w:val="007A49B4"/>
    <w:rsid w:val="007A597F"/>
    <w:rsid w:val="007B10FA"/>
    <w:rsid w:val="007B1B96"/>
    <w:rsid w:val="007B299C"/>
    <w:rsid w:val="007B306B"/>
    <w:rsid w:val="007B368C"/>
    <w:rsid w:val="007B5D92"/>
    <w:rsid w:val="007C3AE9"/>
    <w:rsid w:val="007C7406"/>
    <w:rsid w:val="007D16A0"/>
    <w:rsid w:val="007D2FDB"/>
    <w:rsid w:val="007D3D6D"/>
    <w:rsid w:val="007D46B6"/>
    <w:rsid w:val="007E2A0E"/>
    <w:rsid w:val="007E2F6B"/>
    <w:rsid w:val="007E49C5"/>
    <w:rsid w:val="007E6852"/>
    <w:rsid w:val="007E7415"/>
    <w:rsid w:val="007F1426"/>
    <w:rsid w:val="007F40D9"/>
    <w:rsid w:val="007F7014"/>
    <w:rsid w:val="007F710A"/>
    <w:rsid w:val="00802610"/>
    <w:rsid w:val="008046F6"/>
    <w:rsid w:val="008060C4"/>
    <w:rsid w:val="008109B1"/>
    <w:rsid w:val="00811F04"/>
    <w:rsid w:val="00812F3D"/>
    <w:rsid w:val="0081313A"/>
    <w:rsid w:val="008150CB"/>
    <w:rsid w:val="008164E2"/>
    <w:rsid w:val="00816F68"/>
    <w:rsid w:val="00817363"/>
    <w:rsid w:val="0082157C"/>
    <w:rsid w:val="008233D8"/>
    <w:rsid w:val="00823DDF"/>
    <w:rsid w:val="008254F5"/>
    <w:rsid w:val="00825981"/>
    <w:rsid w:val="00825F8D"/>
    <w:rsid w:val="008262CB"/>
    <w:rsid w:val="0082758C"/>
    <w:rsid w:val="008317FD"/>
    <w:rsid w:val="00831955"/>
    <w:rsid w:val="00831A2A"/>
    <w:rsid w:val="0083226C"/>
    <w:rsid w:val="00832528"/>
    <w:rsid w:val="0083386E"/>
    <w:rsid w:val="0083566E"/>
    <w:rsid w:val="008415C3"/>
    <w:rsid w:val="0084298F"/>
    <w:rsid w:val="00843DB4"/>
    <w:rsid w:val="00844F7A"/>
    <w:rsid w:val="00846C44"/>
    <w:rsid w:val="008544A3"/>
    <w:rsid w:val="00855317"/>
    <w:rsid w:val="00856B3E"/>
    <w:rsid w:val="00857916"/>
    <w:rsid w:val="00857DCE"/>
    <w:rsid w:val="00860213"/>
    <w:rsid w:val="00861241"/>
    <w:rsid w:val="00863B35"/>
    <w:rsid w:val="008646A2"/>
    <w:rsid w:val="00864E96"/>
    <w:rsid w:val="00865447"/>
    <w:rsid w:val="00871EB5"/>
    <w:rsid w:val="00871FDA"/>
    <w:rsid w:val="00872063"/>
    <w:rsid w:val="00872EA8"/>
    <w:rsid w:val="00877257"/>
    <w:rsid w:val="008807BA"/>
    <w:rsid w:val="00880C02"/>
    <w:rsid w:val="00882B37"/>
    <w:rsid w:val="0088322A"/>
    <w:rsid w:val="00883DC5"/>
    <w:rsid w:val="00884402"/>
    <w:rsid w:val="008857CD"/>
    <w:rsid w:val="00890CA5"/>
    <w:rsid w:val="00897008"/>
    <w:rsid w:val="00897026"/>
    <w:rsid w:val="008A2004"/>
    <w:rsid w:val="008A3FA6"/>
    <w:rsid w:val="008A4730"/>
    <w:rsid w:val="008A4917"/>
    <w:rsid w:val="008B0EFB"/>
    <w:rsid w:val="008B307F"/>
    <w:rsid w:val="008B5DC2"/>
    <w:rsid w:val="008B5E7A"/>
    <w:rsid w:val="008B7FFA"/>
    <w:rsid w:val="008C04C6"/>
    <w:rsid w:val="008C068F"/>
    <w:rsid w:val="008C0974"/>
    <w:rsid w:val="008C17C9"/>
    <w:rsid w:val="008C368A"/>
    <w:rsid w:val="008C5E0B"/>
    <w:rsid w:val="008D024B"/>
    <w:rsid w:val="008D02BF"/>
    <w:rsid w:val="008D1B39"/>
    <w:rsid w:val="008D2415"/>
    <w:rsid w:val="008D65BB"/>
    <w:rsid w:val="008D76E6"/>
    <w:rsid w:val="008D7765"/>
    <w:rsid w:val="008D7A99"/>
    <w:rsid w:val="008E087E"/>
    <w:rsid w:val="008E1070"/>
    <w:rsid w:val="008E362C"/>
    <w:rsid w:val="008E43B8"/>
    <w:rsid w:val="008E4A22"/>
    <w:rsid w:val="008E6A23"/>
    <w:rsid w:val="008F0253"/>
    <w:rsid w:val="008F3884"/>
    <w:rsid w:val="008F5088"/>
    <w:rsid w:val="008F6A86"/>
    <w:rsid w:val="008F6EFD"/>
    <w:rsid w:val="008F75C1"/>
    <w:rsid w:val="008F79A6"/>
    <w:rsid w:val="009006DD"/>
    <w:rsid w:val="00910E2D"/>
    <w:rsid w:val="009114E0"/>
    <w:rsid w:val="00912FA7"/>
    <w:rsid w:val="00913102"/>
    <w:rsid w:val="009136CA"/>
    <w:rsid w:val="00915B7D"/>
    <w:rsid w:val="00922502"/>
    <w:rsid w:val="0092599E"/>
    <w:rsid w:val="00926D64"/>
    <w:rsid w:val="0092729E"/>
    <w:rsid w:val="009323EB"/>
    <w:rsid w:val="00933C4A"/>
    <w:rsid w:val="00934138"/>
    <w:rsid w:val="00943A3E"/>
    <w:rsid w:val="00951B43"/>
    <w:rsid w:val="009528B0"/>
    <w:rsid w:val="00954315"/>
    <w:rsid w:val="00956BE4"/>
    <w:rsid w:val="009571AA"/>
    <w:rsid w:val="00957A5D"/>
    <w:rsid w:val="0096036A"/>
    <w:rsid w:val="00960E5A"/>
    <w:rsid w:val="00962950"/>
    <w:rsid w:val="00963BA8"/>
    <w:rsid w:val="009648B5"/>
    <w:rsid w:val="00965563"/>
    <w:rsid w:val="00965715"/>
    <w:rsid w:val="00967914"/>
    <w:rsid w:val="009720C7"/>
    <w:rsid w:val="009735E8"/>
    <w:rsid w:val="0097363B"/>
    <w:rsid w:val="009759C1"/>
    <w:rsid w:val="009764A2"/>
    <w:rsid w:val="009803FD"/>
    <w:rsid w:val="00982EB5"/>
    <w:rsid w:val="00983029"/>
    <w:rsid w:val="00983E4F"/>
    <w:rsid w:val="009854A7"/>
    <w:rsid w:val="0099120C"/>
    <w:rsid w:val="00991F5D"/>
    <w:rsid w:val="009A1D9D"/>
    <w:rsid w:val="009A3AF6"/>
    <w:rsid w:val="009A3FFC"/>
    <w:rsid w:val="009A4F16"/>
    <w:rsid w:val="009A5C6C"/>
    <w:rsid w:val="009A6E66"/>
    <w:rsid w:val="009A787F"/>
    <w:rsid w:val="009A788F"/>
    <w:rsid w:val="009B1A9B"/>
    <w:rsid w:val="009B359D"/>
    <w:rsid w:val="009B37E6"/>
    <w:rsid w:val="009B5626"/>
    <w:rsid w:val="009B7AEA"/>
    <w:rsid w:val="009C111A"/>
    <w:rsid w:val="009C1ED5"/>
    <w:rsid w:val="009C5F04"/>
    <w:rsid w:val="009C6C41"/>
    <w:rsid w:val="009C7C92"/>
    <w:rsid w:val="009C7CFB"/>
    <w:rsid w:val="009D11EC"/>
    <w:rsid w:val="009D61A6"/>
    <w:rsid w:val="009D6469"/>
    <w:rsid w:val="009D685F"/>
    <w:rsid w:val="009D7260"/>
    <w:rsid w:val="009D73E5"/>
    <w:rsid w:val="009D7613"/>
    <w:rsid w:val="009D768C"/>
    <w:rsid w:val="009E1084"/>
    <w:rsid w:val="009E1FC6"/>
    <w:rsid w:val="009E43E3"/>
    <w:rsid w:val="009E646F"/>
    <w:rsid w:val="009E6E0D"/>
    <w:rsid w:val="009E779D"/>
    <w:rsid w:val="009F0AE4"/>
    <w:rsid w:val="009F10D5"/>
    <w:rsid w:val="009F10E5"/>
    <w:rsid w:val="009F2043"/>
    <w:rsid w:val="009F5B0C"/>
    <w:rsid w:val="009F7EAF"/>
    <w:rsid w:val="00A020BB"/>
    <w:rsid w:val="00A02EAE"/>
    <w:rsid w:val="00A033F9"/>
    <w:rsid w:val="00A04997"/>
    <w:rsid w:val="00A057B4"/>
    <w:rsid w:val="00A10069"/>
    <w:rsid w:val="00A1049E"/>
    <w:rsid w:val="00A11C35"/>
    <w:rsid w:val="00A120B9"/>
    <w:rsid w:val="00A2092D"/>
    <w:rsid w:val="00A20D16"/>
    <w:rsid w:val="00A212DC"/>
    <w:rsid w:val="00A2144B"/>
    <w:rsid w:val="00A255C2"/>
    <w:rsid w:val="00A27F8C"/>
    <w:rsid w:val="00A30AD0"/>
    <w:rsid w:val="00A31EB5"/>
    <w:rsid w:val="00A3471B"/>
    <w:rsid w:val="00A372A2"/>
    <w:rsid w:val="00A40040"/>
    <w:rsid w:val="00A4174C"/>
    <w:rsid w:val="00A424DA"/>
    <w:rsid w:val="00A427E0"/>
    <w:rsid w:val="00A45943"/>
    <w:rsid w:val="00A5248C"/>
    <w:rsid w:val="00A55C14"/>
    <w:rsid w:val="00A562BA"/>
    <w:rsid w:val="00A56624"/>
    <w:rsid w:val="00A57ED4"/>
    <w:rsid w:val="00A607BC"/>
    <w:rsid w:val="00A64A77"/>
    <w:rsid w:val="00A64D50"/>
    <w:rsid w:val="00A66542"/>
    <w:rsid w:val="00A74163"/>
    <w:rsid w:val="00A747F7"/>
    <w:rsid w:val="00A75B41"/>
    <w:rsid w:val="00A775A9"/>
    <w:rsid w:val="00A80892"/>
    <w:rsid w:val="00A81464"/>
    <w:rsid w:val="00A8198C"/>
    <w:rsid w:val="00A82086"/>
    <w:rsid w:val="00A82DF6"/>
    <w:rsid w:val="00A83423"/>
    <w:rsid w:val="00A84402"/>
    <w:rsid w:val="00A8652B"/>
    <w:rsid w:val="00A874BC"/>
    <w:rsid w:val="00A875B1"/>
    <w:rsid w:val="00A87A6E"/>
    <w:rsid w:val="00A9059D"/>
    <w:rsid w:val="00A92B65"/>
    <w:rsid w:val="00A94233"/>
    <w:rsid w:val="00A95F48"/>
    <w:rsid w:val="00A96328"/>
    <w:rsid w:val="00AA060E"/>
    <w:rsid w:val="00AA22BC"/>
    <w:rsid w:val="00AA5083"/>
    <w:rsid w:val="00AA6562"/>
    <w:rsid w:val="00AB0EA9"/>
    <w:rsid w:val="00AB115A"/>
    <w:rsid w:val="00AB4CF6"/>
    <w:rsid w:val="00AB5406"/>
    <w:rsid w:val="00AB66F4"/>
    <w:rsid w:val="00AB6F6C"/>
    <w:rsid w:val="00AB75BB"/>
    <w:rsid w:val="00AB7A75"/>
    <w:rsid w:val="00AC09FC"/>
    <w:rsid w:val="00AC2D96"/>
    <w:rsid w:val="00AC3498"/>
    <w:rsid w:val="00AC4254"/>
    <w:rsid w:val="00AC4287"/>
    <w:rsid w:val="00AC5B02"/>
    <w:rsid w:val="00AD06E4"/>
    <w:rsid w:val="00AD0E54"/>
    <w:rsid w:val="00AD1864"/>
    <w:rsid w:val="00AD1DC1"/>
    <w:rsid w:val="00AD3FEF"/>
    <w:rsid w:val="00AD6E65"/>
    <w:rsid w:val="00AD767B"/>
    <w:rsid w:val="00AE1027"/>
    <w:rsid w:val="00AE1250"/>
    <w:rsid w:val="00AE3061"/>
    <w:rsid w:val="00AE466F"/>
    <w:rsid w:val="00AE5F4E"/>
    <w:rsid w:val="00AE62A8"/>
    <w:rsid w:val="00AE6412"/>
    <w:rsid w:val="00AE7084"/>
    <w:rsid w:val="00AE71CF"/>
    <w:rsid w:val="00B0474B"/>
    <w:rsid w:val="00B047A9"/>
    <w:rsid w:val="00B07DAA"/>
    <w:rsid w:val="00B15FE4"/>
    <w:rsid w:val="00B20B21"/>
    <w:rsid w:val="00B21658"/>
    <w:rsid w:val="00B21794"/>
    <w:rsid w:val="00B21E49"/>
    <w:rsid w:val="00B227AD"/>
    <w:rsid w:val="00B22ADD"/>
    <w:rsid w:val="00B26E5C"/>
    <w:rsid w:val="00B301D8"/>
    <w:rsid w:val="00B30C3F"/>
    <w:rsid w:val="00B30EEB"/>
    <w:rsid w:val="00B30F32"/>
    <w:rsid w:val="00B348E6"/>
    <w:rsid w:val="00B37CD9"/>
    <w:rsid w:val="00B40EC5"/>
    <w:rsid w:val="00B4455B"/>
    <w:rsid w:val="00B50134"/>
    <w:rsid w:val="00B50FD2"/>
    <w:rsid w:val="00B51840"/>
    <w:rsid w:val="00B523FE"/>
    <w:rsid w:val="00B55350"/>
    <w:rsid w:val="00B577B5"/>
    <w:rsid w:val="00B61B80"/>
    <w:rsid w:val="00B635DA"/>
    <w:rsid w:val="00B63E0C"/>
    <w:rsid w:val="00B67D11"/>
    <w:rsid w:val="00B72367"/>
    <w:rsid w:val="00B729A2"/>
    <w:rsid w:val="00B74462"/>
    <w:rsid w:val="00B85DD8"/>
    <w:rsid w:val="00B87F70"/>
    <w:rsid w:val="00B96551"/>
    <w:rsid w:val="00B97A7F"/>
    <w:rsid w:val="00B97BCF"/>
    <w:rsid w:val="00BA3792"/>
    <w:rsid w:val="00BA5293"/>
    <w:rsid w:val="00BA7393"/>
    <w:rsid w:val="00BA7CFF"/>
    <w:rsid w:val="00BB1652"/>
    <w:rsid w:val="00BB1F02"/>
    <w:rsid w:val="00BB300F"/>
    <w:rsid w:val="00BB5429"/>
    <w:rsid w:val="00BC3053"/>
    <w:rsid w:val="00BC402D"/>
    <w:rsid w:val="00BC57FD"/>
    <w:rsid w:val="00BC694D"/>
    <w:rsid w:val="00BC7507"/>
    <w:rsid w:val="00BD0C63"/>
    <w:rsid w:val="00BD0F02"/>
    <w:rsid w:val="00BD1A0F"/>
    <w:rsid w:val="00BD4622"/>
    <w:rsid w:val="00BD46C1"/>
    <w:rsid w:val="00BD6067"/>
    <w:rsid w:val="00BD7374"/>
    <w:rsid w:val="00BE11B5"/>
    <w:rsid w:val="00BE570B"/>
    <w:rsid w:val="00BE6E5B"/>
    <w:rsid w:val="00BE7720"/>
    <w:rsid w:val="00BF0830"/>
    <w:rsid w:val="00BF1B58"/>
    <w:rsid w:val="00BF2547"/>
    <w:rsid w:val="00BF5F36"/>
    <w:rsid w:val="00BF66DE"/>
    <w:rsid w:val="00BF7CBD"/>
    <w:rsid w:val="00C022B8"/>
    <w:rsid w:val="00C04ED7"/>
    <w:rsid w:val="00C057F4"/>
    <w:rsid w:val="00C11723"/>
    <w:rsid w:val="00C138F5"/>
    <w:rsid w:val="00C14602"/>
    <w:rsid w:val="00C14E8A"/>
    <w:rsid w:val="00C15444"/>
    <w:rsid w:val="00C1715D"/>
    <w:rsid w:val="00C178CA"/>
    <w:rsid w:val="00C20CBB"/>
    <w:rsid w:val="00C22364"/>
    <w:rsid w:val="00C236EA"/>
    <w:rsid w:val="00C30B81"/>
    <w:rsid w:val="00C30DF9"/>
    <w:rsid w:val="00C33778"/>
    <w:rsid w:val="00C34348"/>
    <w:rsid w:val="00C347F9"/>
    <w:rsid w:val="00C372B0"/>
    <w:rsid w:val="00C372D3"/>
    <w:rsid w:val="00C411E4"/>
    <w:rsid w:val="00C4129E"/>
    <w:rsid w:val="00C42E11"/>
    <w:rsid w:val="00C438C6"/>
    <w:rsid w:val="00C4504A"/>
    <w:rsid w:val="00C4754A"/>
    <w:rsid w:val="00C5038F"/>
    <w:rsid w:val="00C52AEC"/>
    <w:rsid w:val="00C53715"/>
    <w:rsid w:val="00C5465E"/>
    <w:rsid w:val="00C55DD1"/>
    <w:rsid w:val="00C61D63"/>
    <w:rsid w:val="00C6211B"/>
    <w:rsid w:val="00C63349"/>
    <w:rsid w:val="00C63957"/>
    <w:rsid w:val="00C64F02"/>
    <w:rsid w:val="00C654D9"/>
    <w:rsid w:val="00C6678C"/>
    <w:rsid w:val="00C70AB5"/>
    <w:rsid w:val="00C74B85"/>
    <w:rsid w:val="00C75F31"/>
    <w:rsid w:val="00C75FCA"/>
    <w:rsid w:val="00C76B0F"/>
    <w:rsid w:val="00C80467"/>
    <w:rsid w:val="00C84362"/>
    <w:rsid w:val="00C846CA"/>
    <w:rsid w:val="00C849D2"/>
    <w:rsid w:val="00C8502A"/>
    <w:rsid w:val="00C859CA"/>
    <w:rsid w:val="00C867DB"/>
    <w:rsid w:val="00C8724C"/>
    <w:rsid w:val="00C87EA7"/>
    <w:rsid w:val="00C91AE1"/>
    <w:rsid w:val="00C9294E"/>
    <w:rsid w:val="00C942A3"/>
    <w:rsid w:val="00C94996"/>
    <w:rsid w:val="00C94A90"/>
    <w:rsid w:val="00C95EC7"/>
    <w:rsid w:val="00C97B6C"/>
    <w:rsid w:val="00C97E21"/>
    <w:rsid w:val="00CA09D4"/>
    <w:rsid w:val="00CA19CD"/>
    <w:rsid w:val="00CA1A49"/>
    <w:rsid w:val="00CA2FE7"/>
    <w:rsid w:val="00CA50EA"/>
    <w:rsid w:val="00CA7208"/>
    <w:rsid w:val="00CA799F"/>
    <w:rsid w:val="00CA7E52"/>
    <w:rsid w:val="00CB0FA7"/>
    <w:rsid w:val="00CB1FA6"/>
    <w:rsid w:val="00CB2452"/>
    <w:rsid w:val="00CB4EB7"/>
    <w:rsid w:val="00CB57F2"/>
    <w:rsid w:val="00CB64C5"/>
    <w:rsid w:val="00CC01A9"/>
    <w:rsid w:val="00CC02E2"/>
    <w:rsid w:val="00CC3ADC"/>
    <w:rsid w:val="00CC3F23"/>
    <w:rsid w:val="00CD0D42"/>
    <w:rsid w:val="00CD1937"/>
    <w:rsid w:val="00CD38D8"/>
    <w:rsid w:val="00CD4098"/>
    <w:rsid w:val="00CD5C77"/>
    <w:rsid w:val="00CD644A"/>
    <w:rsid w:val="00CD6D20"/>
    <w:rsid w:val="00CD6E12"/>
    <w:rsid w:val="00CE186B"/>
    <w:rsid w:val="00CE1B6F"/>
    <w:rsid w:val="00CE3456"/>
    <w:rsid w:val="00CE51DB"/>
    <w:rsid w:val="00CE74E8"/>
    <w:rsid w:val="00CF18D0"/>
    <w:rsid w:val="00CF4AA3"/>
    <w:rsid w:val="00CF53DA"/>
    <w:rsid w:val="00CF5993"/>
    <w:rsid w:val="00CF7C03"/>
    <w:rsid w:val="00CF7E09"/>
    <w:rsid w:val="00D00D23"/>
    <w:rsid w:val="00D058C5"/>
    <w:rsid w:val="00D06594"/>
    <w:rsid w:val="00D065D5"/>
    <w:rsid w:val="00D06640"/>
    <w:rsid w:val="00D06AE9"/>
    <w:rsid w:val="00D13B9A"/>
    <w:rsid w:val="00D22869"/>
    <w:rsid w:val="00D2541D"/>
    <w:rsid w:val="00D2777F"/>
    <w:rsid w:val="00D32376"/>
    <w:rsid w:val="00D32650"/>
    <w:rsid w:val="00D33A60"/>
    <w:rsid w:val="00D34030"/>
    <w:rsid w:val="00D34C26"/>
    <w:rsid w:val="00D354AE"/>
    <w:rsid w:val="00D356EB"/>
    <w:rsid w:val="00D35F36"/>
    <w:rsid w:val="00D36999"/>
    <w:rsid w:val="00D40991"/>
    <w:rsid w:val="00D43C7F"/>
    <w:rsid w:val="00D444DA"/>
    <w:rsid w:val="00D50A7D"/>
    <w:rsid w:val="00D5218C"/>
    <w:rsid w:val="00D52814"/>
    <w:rsid w:val="00D54E09"/>
    <w:rsid w:val="00D61BC6"/>
    <w:rsid w:val="00D61D77"/>
    <w:rsid w:val="00D6295F"/>
    <w:rsid w:val="00D6308D"/>
    <w:rsid w:val="00D6618C"/>
    <w:rsid w:val="00D70185"/>
    <w:rsid w:val="00D70514"/>
    <w:rsid w:val="00D72E8C"/>
    <w:rsid w:val="00D7415F"/>
    <w:rsid w:val="00D76D20"/>
    <w:rsid w:val="00D77C05"/>
    <w:rsid w:val="00D8073B"/>
    <w:rsid w:val="00D87846"/>
    <w:rsid w:val="00D87EFF"/>
    <w:rsid w:val="00D90461"/>
    <w:rsid w:val="00D90F79"/>
    <w:rsid w:val="00D91480"/>
    <w:rsid w:val="00D91A5B"/>
    <w:rsid w:val="00D92233"/>
    <w:rsid w:val="00D94470"/>
    <w:rsid w:val="00D94B20"/>
    <w:rsid w:val="00D95F82"/>
    <w:rsid w:val="00D96428"/>
    <w:rsid w:val="00D97CD2"/>
    <w:rsid w:val="00DA3264"/>
    <w:rsid w:val="00DA5403"/>
    <w:rsid w:val="00DA5D77"/>
    <w:rsid w:val="00DA77FF"/>
    <w:rsid w:val="00DB1A88"/>
    <w:rsid w:val="00DB47CD"/>
    <w:rsid w:val="00DB50DF"/>
    <w:rsid w:val="00DB531F"/>
    <w:rsid w:val="00DC1868"/>
    <w:rsid w:val="00DC38FA"/>
    <w:rsid w:val="00DD224E"/>
    <w:rsid w:val="00DD47DC"/>
    <w:rsid w:val="00DD4D03"/>
    <w:rsid w:val="00DD5811"/>
    <w:rsid w:val="00DE05AA"/>
    <w:rsid w:val="00DE3FF4"/>
    <w:rsid w:val="00DE7250"/>
    <w:rsid w:val="00DE7733"/>
    <w:rsid w:val="00DF0475"/>
    <w:rsid w:val="00DF19C0"/>
    <w:rsid w:val="00DF1C3A"/>
    <w:rsid w:val="00DF32BE"/>
    <w:rsid w:val="00DF5055"/>
    <w:rsid w:val="00DF7095"/>
    <w:rsid w:val="00DF72E7"/>
    <w:rsid w:val="00DF78D9"/>
    <w:rsid w:val="00E00226"/>
    <w:rsid w:val="00E07B3F"/>
    <w:rsid w:val="00E114AB"/>
    <w:rsid w:val="00E14392"/>
    <w:rsid w:val="00E15040"/>
    <w:rsid w:val="00E157BB"/>
    <w:rsid w:val="00E15883"/>
    <w:rsid w:val="00E167A7"/>
    <w:rsid w:val="00E16F37"/>
    <w:rsid w:val="00E17ADB"/>
    <w:rsid w:val="00E207D6"/>
    <w:rsid w:val="00E20DDC"/>
    <w:rsid w:val="00E21333"/>
    <w:rsid w:val="00E2186E"/>
    <w:rsid w:val="00E21FE8"/>
    <w:rsid w:val="00E227D9"/>
    <w:rsid w:val="00E232A9"/>
    <w:rsid w:val="00E23A2D"/>
    <w:rsid w:val="00E261FA"/>
    <w:rsid w:val="00E263B6"/>
    <w:rsid w:val="00E266A3"/>
    <w:rsid w:val="00E321BD"/>
    <w:rsid w:val="00E32806"/>
    <w:rsid w:val="00E33AF2"/>
    <w:rsid w:val="00E370B9"/>
    <w:rsid w:val="00E407EA"/>
    <w:rsid w:val="00E41008"/>
    <w:rsid w:val="00E45380"/>
    <w:rsid w:val="00E50130"/>
    <w:rsid w:val="00E515CD"/>
    <w:rsid w:val="00E527F1"/>
    <w:rsid w:val="00E53CDC"/>
    <w:rsid w:val="00E544B7"/>
    <w:rsid w:val="00E55B41"/>
    <w:rsid w:val="00E561C2"/>
    <w:rsid w:val="00E609C1"/>
    <w:rsid w:val="00E60C9B"/>
    <w:rsid w:val="00E617A4"/>
    <w:rsid w:val="00E63707"/>
    <w:rsid w:val="00E65D8B"/>
    <w:rsid w:val="00E65EB8"/>
    <w:rsid w:val="00E66A11"/>
    <w:rsid w:val="00E7051C"/>
    <w:rsid w:val="00E713D6"/>
    <w:rsid w:val="00E72852"/>
    <w:rsid w:val="00E72E80"/>
    <w:rsid w:val="00E72F1C"/>
    <w:rsid w:val="00E76A74"/>
    <w:rsid w:val="00E81286"/>
    <w:rsid w:val="00E82BCA"/>
    <w:rsid w:val="00E83E70"/>
    <w:rsid w:val="00E842E5"/>
    <w:rsid w:val="00E85281"/>
    <w:rsid w:val="00E87032"/>
    <w:rsid w:val="00E94550"/>
    <w:rsid w:val="00E95C48"/>
    <w:rsid w:val="00EA05AF"/>
    <w:rsid w:val="00EA25BB"/>
    <w:rsid w:val="00EA303A"/>
    <w:rsid w:val="00EA3C7E"/>
    <w:rsid w:val="00EA3DA0"/>
    <w:rsid w:val="00EA4202"/>
    <w:rsid w:val="00EA49A3"/>
    <w:rsid w:val="00EA5545"/>
    <w:rsid w:val="00EA6C9E"/>
    <w:rsid w:val="00EA73C0"/>
    <w:rsid w:val="00EA7D5C"/>
    <w:rsid w:val="00EA7E34"/>
    <w:rsid w:val="00EB0216"/>
    <w:rsid w:val="00EB13DC"/>
    <w:rsid w:val="00EB1D9F"/>
    <w:rsid w:val="00EB35A2"/>
    <w:rsid w:val="00EB4757"/>
    <w:rsid w:val="00EB4B5B"/>
    <w:rsid w:val="00EB5DF7"/>
    <w:rsid w:val="00EB6780"/>
    <w:rsid w:val="00EB6CB4"/>
    <w:rsid w:val="00EC44E7"/>
    <w:rsid w:val="00EC67A5"/>
    <w:rsid w:val="00ED4B92"/>
    <w:rsid w:val="00ED750A"/>
    <w:rsid w:val="00ED7CBF"/>
    <w:rsid w:val="00EE0DEC"/>
    <w:rsid w:val="00EE2550"/>
    <w:rsid w:val="00EE29F7"/>
    <w:rsid w:val="00EE33D0"/>
    <w:rsid w:val="00EE4767"/>
    <w:rsid w:val="00EE480E"/>
    <w:rsid w:val="00EE4C55"/>
    <w:rsid w:val="00EE529F"/>
    <w:rsid w:val="00EE6202"/>
    <w:rsid w:val="00EE6793"/>
    <w:rsid w:val="00EE6C56"/>
    <w:rsid w:val="00EE7BCE"/>
    <w:rsid w:val="00EF140E"/>
    <w:rsid w:val="00EF2037"/>
    <w:rsid w:val="00EF2042"/>
    <w:rsid w:val="00EF2181"/>
    <w:rsid w:val="00EF2844"/>
    <w:rsid w:val="00EF3062"/>
    <w:rsid w:val="00EF506B"/>
    <w:rsid w:val="00EF587B"/>
    <w:rsid w:val="00EF6D55"/>
    <w:rsid w:val="00EF7C42"/>
    <w:rsid w:val="00EF7CAE"/>
    <w:rsid w:val="00F01F65"/>
    <w:rsid w:val="00F02541"/>
    <w:rsid w:val="00F02AC2"/>
    <w:rsid w:val="00F036D9"/>
    <w:rsid w:val="00F05B68"/>
    <w:rsid w:val="00F07E8F"/>
    <w:rsid w:val="00F12793"/>
    <w:rsid w:val="00F131F8"/>
    <w:rsid w:val="00F13632"/>
    <w:rsid w:val="00F13C92"/>
    <w:rsid w:val="00F1559D"/>
    <w:rsid w:val="00F16656"/>
    <w:rsid w:val="00F178A9"/>
    <w:rsid w:val="00F20C36"/>
    <w:rsid w:val="00F211AE"/>
    <w:rsid w:val="00F21B99"/>
    <w:rsid w:val="00F221E9"/>
    <w:rsid w:val="00F241C2"/>
    <w:rsid w:val="00F26DD6"/>
    <w:rsid w:val="00F27102"/>
    <w:rsid w:val="00F30CC9"/>
    <w:rsid w:val="00F31D83"/>
    <w:rsid w:val="00F35717"/>
    <w:rsid w:val="00F35D81"/>
    <w:rsid w:val="00F35E76"/>
    <w:rsid w:val="00F36767"/>
    <w:rsid w:val="00F373AB"/>
    <w:rsid w:val="00F41230"/>
    <w:rsid w:val="00F427F7"/>
    <w:rsid w:val="00F43756"/>
    <w:rsid w:val="00F457B7"/>
    <w:rsid w:val="00F45878"/>
    <w:rsid w:val="00F47D66"/>
    <w:rsid w:val="00F51C8A"/>
    <w:rsid w:val="00F53FA8"/>
    <w:rsid w:val="00F562A3"/>
    <w:rsid w:val="00F56369"/>
    <w:rsid w:val="00F60113"/>
    <w:rsid w:val="00F631C5"/>
    <w:rsid w:val="00F63CAD"/>
    <w:rsid w:val="00F66D5F"/>
    <w:rsid w:val="00F76C07"/>
    <w:rsid w:val="00F77319"/>
    <w:rsid w:val="00F8175D"/>
    <w:rsid w:val="00F82C10"/>
    <w:rsid w:val="00F83F64"/>
    <w:rsid w:val="00F84BFC"/>
    <w:rsid w:val="00F86C67"/>
    <w:rsid w:val="00F86F00"/>
    <w:rsid w:val="00F875DF"/>
    <w:rsid w:val="00F9133E"/>
    <w:rsid w:val="00F916BB"/>
    <w:rsid w:val="00F975DD"/>
    <w:rsid w:val="00F97720"/>
    <w:rsid w:val="00FA0255"/>
    <w:rsid w:val="00FA1276"/>
    <w:rsid w:val="00FA26F2"/>
    <w:rsid w:val="00FA2CCC"/>
    <w:rsid w:val="00FA42A3"/>
    <w:rsid w:val="00FA6C4E"/>
    <w:rsid w:val="00FB282D"/>
    <w:rsid w:val="00FB32F3"/>
    <w:rsid w:val="00FB6C7F"/>
    <w:rsid w:val="00FB6D3C"/>
    <w:rsid w:val="00FB739A"/>
    <w:rsid w:val="00FC06B5"/>
    <w:rsid w:val="00FC1BC8"/>
    <w:rsid w:val="00FC4CF4"/>
    <w:rsid w:val="00FC57C5"/>
    <w:rsid w:val="00FC580B"/>
    <w:rsid w:val="00FC6451"/>
    <w:rsid w:val="00FD1424"/>
    <w:rsid w:val="00FD2B78"/>
    <w:rsid w:val="00FD30CD"/>
    <w:rsid w:val="00FD3A7F"/>
    <w:rsid w:val="00FD3BDC"/>
    <w:rsid w:val="00FD4351"/>
    <w:rsid w:val="00FD6328"/>
    <w:rsid w:val="00FE36A5"/>
    <w:rsid w:val="00FE4B12"/>
    <w:rsid w:val="00FE5644"/>
    <w:rsid w:val="00FF1156"/>
    <w:rsid w:val="00FF147D"/>
    <w:rsid w:val="00FF266B"/>
    <w:rsid w:val="00FF3BBA"/>
    <w:rsid w:val="00FF7879"/>
    <w:rsid w:val="01063672"/>
    <w:rsid w:val="01126D39"/>
    <w:rsid w:val="01225F06"/>
    <w:rsid w:val="01864993"/>
    <w:rsid w:val="01D43971"/>
    <w:rsid w:val="01DC2AF1"/>
    <w:rsid w:val="01F40F97"/>
    <w:rsid w:val="02042D76"/>
    <w:rsid w:val="02674048"/>
    <w:rsid w:val="02AD429A"/>
    <w:rsid w:val="02B90F8C"/>
    <w:rsid w:val="034D7978"/>
    <w:rsid w:val="0371289F"/>
    <w:rsid w:val="0388752F"/>
    <w:rsid w:val="039E565E"/>
    <w:rsid w:val="03A55B68"/>
    <w:rsid w:val="03AD12BA"/>
    <w:rsid w:val="040D71B0"/>
    <w:rsid w:val="04157A8B"/>
    <w:rsid w:val="046C21D0"/>
    <w:rsid w:val="04E00017"/>
    <w:rsid w:val="052B298D"/>
    <w:rsid w:val="05E9417A"/>
    <w:rsid w:val="063B3CAD"/>
    <w:rsid w:val="063D115E"/>
    <w:rsid w:val="06585F98"/>
    <w:rsid w:val="06893ABE"/>
    <w:rsid w:val="06B47A2D"/>
    <w:rsid w:val="06CB30AA"/>
    <w:rsid w:val="072B10C4"/>
    <w:rsid w:val="074421AA"/>
    <w:rsid w:val="0759385C"/>
    <w:rsid w:val="07731526"/>
    <w:rsid w:val="07DA2F44"/>
    <w:rsid w:val="07DC0503"/>
    <w:rsid w:val="07EA47BC"/>
    <w:rsid w:val="081C0371"/>
    <w:rsid w:val="087B41C0"/>
    <w:rsid w:val="088019D2"/>
    <w:rsid w:val="08D269CE"/>
    <w:rsid w:val="08F26244"/>
    <w:rsid w:val="09061EE1"/>
    <w:rsid w:val="09102D31"/>
    <w:rsid w:val="093F0C13"/>
    <w:rsid w:val="094473B6"/>
    <w:rsid w:val="09D5345C"/>
    <w:rsid w:val="09DE3764"/>
    <w:rsid w:val="09E7769B"/>
    <w:rsid w:val="09F03593"/>
    <w:rsid w:val="09F85321"/>
    <w:rsid w:val="0A5D07B9"/>
    <w:rsid w:val="0A682522"/>
    <w:rsid w:val="0ABC3C2C"/>
    <w:rsid w:val="0AD823DB"/>
    <w:rsid w:val="0B3B629E"/>
    <w:rsid w:val="0B7249C8"/>
    <w:rsid w:val="0B73117E"/>
    <w:rsid w:val="0B842761"/>
    <w:rsid w:val="0B9652C9"/>
    <w:rsid w:val="0BD726FC"/>
    <w:rsid w:val="0BEE6E5F"/>
    <w:rsid w:val="0C1551BB"/>
    <w:rsid w:val="0C390FDD"/>
    <w:rsid w:val="0C3C3AD8"/>
    <w:rsid w:val="0C4A3986"/>
    <w:rsid w:val="0C9F31C5"/>
    <w:rsid w:val="0CF77B5A"/>
    <w:rsid w:val="0CF837FA"/>
    <w:rsid w:val="0D0E3D89"/>
    <w:rsid w:val="0D4B4B14"/>
    <w:rsid w:val="0D5029FC"/>
    <w:rsid w:val="0D921D8F"/>
    <w:rsid w:val="0D9576FA"/>
    <w:rsid w:val="0D9C48B5"/>
    <w:rsid w:val="0DDA54E4"/>
    <w:rsid w:val="0DDB6B6C"/>
    <w:rsid w:val="0DE201D3"/>
    <w:rsid w:val="0E736546"/>
    <w:rsid w:val="0EA0027D"/>
    <w:rsid w:val="0EA46894"/>
    <w:rsid w:val="0EC42A2E"/>
    <w:rsid w:val="0ED63EFE"/>
    <w:rsid w:val="0F1336DC"/>
    <w:rsid w:val="0F4014D7"/>
    <w:rsid w:val="0F4A524C"/>
    <w:rsid w:val="0F74787C"/>
    <w:rsid w:val="0F753717"/>
    <w:rsid w:val="0F8D546C"/>
    <w:rsid w:val="10085FCB"/>
    <w:rsid w:val="102773DA"/>
    <w:rsid w:val="10613C9B"/>
    <w:rsid w:val="106A14C0"/>
    <w:rsid w:val="109854EF"/>
    <w:rsid w:val="10B71852"/>
    <w:rsid w:val="10BE1F11"/>
    <w:rsid w:val="10CD41BD"/>
    <w:rsid w:val="10E977B2"/>
    <w:rsid w:val="11201534"/>
    <w:rsid w:val="11235A05"/>
    <w:rsid w:val="11592BC4"/>
    <w:rsid w:val="116D3B4D"/>
    <w:rsid w:val="11937B7A"/>
    <w:rsid w:val="11AC742E"/>
    <w:rsid w:val="11C22F3E"/>
    <w:rsid w:val="11D06642"/>
    <w:rsid w:val="123C2272"/>
    <w:rsid w:val="124002B5"/>
    <w:rsid w:val="12A87DE3"/>
    <w:rsid w:val="12BA428D"/>
    <w:rsid w:val="12F901BB"/>
    <w:rsid w:val="12FE5B11"/>
    <w:rsid w:val="13431047"/>
    <w:rsid w:val="13526DC0"/>
    <w:rsid w:val="1435222F"/>
    <w:rsid w:val="14702C4A"/>
    <w:rsid w:val="148555C8"/>
    <w:rsid w:val="14931797"/>
    <w:rsid w:val="14E81509"/>
    <w:rsid w:val="151E03AD"/>
    <w:rsid w:val="15256C5D"/>
    <w:rsid w:val="154F27E2"/>
    <w:rsid w:val="15EF3448"/>
    <w:rsid w:val="15F56CA3"/>
    <w:rsid w:val="1624257A"/>
    <w:rsid w:val="164C75C1"/>
    <w:rsid w:val="165D2FC0"/>
    <w:rsid w:val="16674398"/>
    <w:rsid w:val="169C252D"/>
    <w:rsid w:val="16AA328D"/>
    <w:rsid w:val="16B36AB5"/>
    <w:rsid w:val="16C22501"/>
    <w:rsid w:val="16E311D1"/>
    <w:rsid w:val="16E9710E"/>
    <w:rsid w:val="16F76528"/>
    <w:rsid w:val="170F61FF"/>
    <w:rsid w:val="172D3193"/>
    <w:rsid w:val="173A16CC"/>
    <w:rsid w:val="1753745C"/>
    <w:rsid w:val="17606A5A"/>
    <w:rsid w:val="17646985"/>
    <w:rsid w:val="1766069F"/>
    <w:rsid w:val="17921AD7"/>
    <w:rsid w:val="17DA271A"/>
    <w:rsid w:val="17ED11F3"/>
    <w:rsid w:val="185D7CEB"/>
    <w:rsid w:val="18686E8D"/>
    <w:rsid w:val="18725777"/>
    <w:rsid w:val="187F15F6"/>
    <w:rsid w:val="18F37F0E"/>
    <w:rsid w:val="191E382E"/>
    <w:rsid w:val="193C70D7"/>
    <w:rsid w:val="193E68A1"/>
    <w:rsid w:val="195F195B"/>
    <w:rsid w:val="19AB445F"/>
    <w:rsid w:val="19AD01EC"/>
    <w:rsid w:val="19B664F9"/>
    <w:rsid w:val="19F33BB6"/>
    <w:rsid w:val="19F719DB"/>
    <w:rsid w:val="1A5B4A37"/>
    <w:rsid w:val="1AAB623F"/>
    <w:rsid w:val="1AED2D78"/>
    <w:rsid w:val="1B567074"/>
    <w:rsid w:val="1B672E46"/>
    <w:rsid w:val="1B7F7348"/>
    <w:rsid w:val="1B945191"/>
    <w:rsid w:val="1BA3462C"/>
    <w:rsid w:val="1BED3F0D"/>
    <w:rsid w:val="1BFE2CE6"/>
    <w:rsid w:val="1C334DBE"/>
    <w:rsid w:val="1D1C3DC2"/>
    <w:rsid w:val="1D3160B7"/>
    <w:rsid w:val="1D5B0B5B"/>
    <w:rsid w:val="1D8432EB"/>
    <w:rsid w:val="1D90061C"/>
    <w:rsid w:val="1E05035C"/>
    <w:rsid w:val="1E445A15"/>
    <w:rsid w:val="1E5D378E"/>
    <w:rsid w:val="1E8309C3"/>
    <w:rsid w:val="1E8F68B6"/>
    <w:rsid w:val="1F1C51EB"/>
    <w:rsid w:val="1F773EED"/>
    <w:rsid w:val="1FA77B01"/>
    <w:rsid w:val="1FAC441A"/>
    <w:rsid w:val="1FD50B41"/>
    <w:rsid w:val="20373D42"/>
    <w:rsid w:val="21195824"/>
    <w:rsid w:val="21363FA5"/>
    <w:rsid w:val="21644FAA"/>
    <w:rsid w:val="21BA6CDC"/>
    <w:rsid w:val="225749FD"/>
    <w:rsid w:val="22716439"/>
    <w:rsid w:val="229A11FC"/>
    <w:rsid w:val="22FB26C6"/>
    <w:rsid w:val="22FB33DF"/>
    <w:rsid w:val="23291CA4"/>
    <w:rsid w:val="23462AA8"/>
    <w:rsid w:val="2387740B"/>
    <w:rsid w:val="23BD5EB0"/>
    <w:rsid w:val="24061828"/>
    <w:rsid w:val="24217571"/>
    <w:rsid w:val="24322CC3"/>
    <w:rsid w:val="24604496"/>
    <w:rsid w:val="2474410C"/>
    <w:rsid w:val="2478538A"/>
    <w:rsid w:val="2482596C"/>
    <w:rsid w:val="24E47371"/>
    <w:rsid w:val="24E66626"/>
    <w:rsid w:val="2522273B"/>
    <w:rsid w:val="25781188"/>
    <w:rsid w:val="257C7ADE"/>
    <w:rsid w:val="25A22C66"/>
    <w:rsid w:val="26015B65"/>
    <w:rsid w:val="262A3AAC"/>
    <w:rsid w:val="262F0B8E"/>
    <w:rsid w:val="263F6E78"/>
    <w:rsid w:val="265584D6"/>
    <w:rsid w:val="266320C3"/>
    <w:rsid w:val="27335BDD"/>
    <w:rsid w:val="27524AC8"/>
    <w:rsid w:val="278F5F44"/>
    <w:rsid w:val="27C3155C"/>
    <w:rsid w:val="27D50D9F"/>
    <w:rsid w:val="28092891"/>
    <w:rsid w:val="281A44A2"/>
    <w:rsid w:val="28444145"/>
    <w:rsid w:val="28CF2A25"/>
    <w:rsid w:val="29096701"/>
    <w:rsid w:val="2915366A"/>
    <w:rsid w:val="29212A60"/>
    <w:rsid w:val="29253660"/>
    <w:rsid w:val="292D0B51"/>
    <w:rsid w:val="295A47EA"/>
    <w:rsid w:val="297440CA"/>
    <w:rsid w:val="29783921"/>
    <w:rsid w:val="29D31705"/>
    <w:rsid w:val="29E73EA7"/>
    <w:rsid w:val="29F614E1"/>
    <w:rsid w:val="2A300D2E"/>
    <w:rsid w:val="2A5022C1"/>
    <w:rsid w:val="2AC865C7"/>
    <w:rsid w:val="2B100FD9"/>
    <w:rsid w:val="2B203D9C"/>
    <w:rsid w:val="2B582B38"/>
    <w:rsid w:val="2B6B6269"/>
    <w:rsid w:val="2B8717A1"/>
    <w:rsid w:val="2BCE0336"/>
    <w:rsid w:val="2C0135E6"/>
    <w:rsid w:val="2C234942"/>
    <w:rsid w:val="2D064268"/>
    <w:rsid w:val="2D3F0C9D"/>
    <w:rsid w:val="2D462F33"/>
    <w:rsid w:val="2D6A4A5C"/>
    <w:rsid w:val="2D73473A"/>
    <w:rsid w:val="2D926BEB"/>
    <w:rsid w:val="2DBE4083"/>
    <w:rsid w:val="2DFE52DE"/>
    <w:rsid w:val="2E22722B"/>
    <w:rsid w:val="2E4E62AF"/>
    <w:rsid w:val="2E515108"/>
    <w:rsid w:val="2E9E396B"/>
    <w:rsid w:val="2EAF587D"/>
    <w:rsid w:val="2EE13768"/>
    <w:rsid w:val="2EE542C4"/>
    <w:rsid w:val="2F7837E4"/>
    <w:rsid w:val="2FAA6FCD"/>
    <w:rsid w:val="2FF57743"/>
    <w:rsid w:val="300E3230"/>
    <w:rsid w:val="301F426E"/>
    <w:rsid w:val="305B2F80"/>
    <w:rsid w:val="30760C45"/>
    <w:rsid w:val="30B10BDD"/>
    <w:rsid w:val="30BF2C03"/>
    <w:rsid w:val="30E70A0A"/>
    <w:rsid w:val="312A0C5F"/>
    <w:rsid w:val="315658FD"/>
    <w:rsid w:val="315C40FA"/>
    <w:rsid w:val="31AC0ACE"/>
    <w:rsid w:val="3212499D"/>
    <w:rsid w:val="32561D73"/>
    <w:rsid w:val="327B1D39"/>
    <w:rsid w:val="329830F5"/>
    <w:rsid w:val="32F923A1"/>
    <w:rsid w:val="3324401A"/>
    <w:rsid w:val="33732142"/>
    <w:rsid w:val="33C521FE"/>
    <w:rsid w:val="33C65A3F"/>
    <w:rsid w:val="34211315"/>
    <w:rsid w:val="34525525"/>
    <w:rsid w:val="34536172"/>
    <w:rsid w:val="34A348FB"/>
    <w:rsid w:val="34C57799"/>
    <w:rsid w:val="34E50403"/>
    <w:rsid w:val="34FA4B6F"/>
    <w:rsid w:val="34FB1E17"/>
    <w:rsid w:val="34FB5BBD"/>
    <w:rsid w:val="350F398F"/>
    <w:rsid w:val="35186803"/>
    <w:rsid w:val="353C6B9D"/>
    <w:rsid w:val="354F05BB"/>
    <w:rsid w:val="35530709"/>
    <w:rsid w:val="356647A6"/>
    <w:rsid w:val="35A0335A"/>
    <w:rsid w:val="35A3156A"/>
    <w:rsid w:val="36616217"/>
    <w:rsid w:val="36892908"/>
    <w:rsid w:val="36C83628"/>
    <w:rsid w:val="36D003C4"/>
    <w:rsid w:val="36DFAC9C"/>
    <w:rsid w:val="37024226"/>
    <w:rsid w:val="372BBB9F"/>
    <w:rsid w:val="37587D08"/>
    <w:rsid w:val="375A4E1C"/>
    <w:rsid w:val="37650D4D"/>
    <w:rsid w:val="37915737"/>
    <w:rsid w:val="37935868"/>
    <w:rsid w:val="379514F1"/>
    <w:rsid w:val="379807D4"/>
    <w:rsid w:val="37E61B6B"/>
    <w:rsid w:val="380A2B11"/>
    <w:rsid w:val="38145E04"/>
    <w:rsid w:val="38E9060A"/>
    <w:rsid w:val="38ED2CA2"/>
    <w:rsid w:val="39075115"/>
    <w:rsid w:val="390B1812"/>
    <w:rsid w:val="39D85259"/>
    <w:rsid w:val="39EC2B92"/>
    <w:rsid w:val="3A04262A"/>
    <w:rsid w:val="3A2A20BC"/>
    <w:rsid w:val="3A2E3E02"/>
    <w:rsid w:val="3A3B1C71"/>
    <w:rsid w:val="3A48749B"/>
    <w:rsid w:val="3A9C015F"/>
    <w:rsid w:val="3AEB0616"/>
    <w:rsid w:val="3AF23278"/>
    <w:rsid w:val="3B7207F5"/>
    <w:rsid w:val="3B7A6672"/>
    <w:rsid w:val="3B9E4FDD"/>
    <w:rsid w:val="3BC218C4"/>
    <w:rsid w:val="3BE55C8E"/>
    <w:rsid w:val="3C0F6FBF"/>
    <w:rsid w:val="3C7F55A9"/>
    <w:rsid w:val="3C8C17E9"/>
    <w:rsid w:val="3CB44FCF"/>
    <w:rsid w:val="3CC2394B"/>
    <w:rsid w:val="3D037D04"/>
    <w:rsid w:val="3D200468"/>
    <w:rsid w:val="3D402D06"/>
    <w:rsid w:val="3DA546DA"/>
    <w:rsid w:val="3DBF54E9"/>
    <w:rsid w:val="3DC7099B"/>
    <w:rsid w:val="3DCC5572"/>
    <w:rsid w:val="3DF51011"/>
    <w:rsid w:val="3E0E5FDB"/>
    <w:rsid w:val="3F171E35"/>
    <w:rsid w:val="3F4B0C57"/>
    <w:rsid w:val="3F810874"/>
    <w:rsid w:val="3F8B2395"/>
    <w:rsid w:val="3FA11B60"/>
    <w:rsid w:val="3FED1981"/>
    <w:rsid w:val="3FF54DFE"/>
    <w:rsid w:val="400510E7"/>
    <w:rsid w:val="400F29DD"/>
    <w:rsid w:val="4077038B"/>
    <w:rsid w:val="40872648"/>
    <w:rsid w:val="40942502"/>
    <w:rsid w:val="4095026F"/>
    <w:rsid w:val="41024C2B"/>
    <w:rsid w:val="41622895"/>
    <w:rsid w:val="41694886"/>
    <w:rsid w:val="417363E9"/>
    <w:rsid w:val="4192581B"/>
    <w:rsid w:val="41CF3F16"/>
    <w:rsid w:val="41CF676B"/>
    <w:rsid w:val="41DE2B42"/>
    <w:rsid w:val="41FD3DC8"/>
    <w:rsid w:val="4283791D"/>
    <w:rsid w:val="43217136"/>
    <w:rsid w:val="43316829"/>
    <w:rsid w:val="434771F7"/>
    <w:rsid w:val="43AD5427"/>
    <w:rsid w:val="43EA6AD3"/>
    <w:rsid w:val="440612B5"/>
    <w:rsid w:val="44191BBB"/>
    <w:rsid w:val="442E1B0B"/>
    <w:rsid w:val="44575C63"/>
    <w:rsid w:val="447014A7"/>
    <w:rsid w:val="44A1531A"/>
    <w:rsid w:val="44B466DE"/>
    <w:rsid w:val="44D30B95"/>
    <w:rsid w:val="44D436C0"/>
    <w:rsid w:val="455E25A6"/>
    <w:rsid w:val="4574645B"/>
    <w:rsid w:val="45861C34"/>
    <w:rsid w:val="45DE183B"/>
    <w:rsid w:val="4616199B"/>
    <w:rsid w:val="4641218D"/>
    <w:rsid w:val="465810C1"/>
    <w:rsid w:val="46652A2D"/>
    <w:rsid w:val="46A56B30"/>
    <w:rsid w:val="46AD1C7A"/>
    <w:rsid w:val="46DB3782"/>
    <w:rsid w:val="46DC6F31"/>
    <w:rsid w:val="46E77961"/>
    <w:rsid w:val="476044E3"/>
    <w:rsid w:val="476C1B3A"/>
    <w:rsid w:val="47846F53"/>
    <w:rsid w:val="479B7273"/>
    <w:rsid w:val="47F24BFD"/>
    <w:rsid w:val="47FE5B44"/>
    <w:rsid w:val="480A6D69"/>
    <w:rsid w:val="483825B7"/>
    <w:rsid w:val="4860600B"/>
    <w:rsid w:val="48625147"/>
    <w:rsid w:val="48676B3D"/>
    <w:rsid w:val="48926EB6"/>
    <w:rsid w:val="48E951C0"/>
    <w:rsid w:val="48F01010"/>
    <w:rsid w:val="49267F80"/>
    <w:rsid w:val="49284D7B"/>
    <w:rsid w:val="49F96C92"/>
    <w:rsid w:val="4A203CA4"/>
    <w:rsid w:val="4A37227B"/>
    <w:rsid w:val="4A433A00"/>
    <w:rsid w:val="4A444909"/>
    <w:rsid w:val="4A4555DB"/>
    <w:rsid w:val="4A733014"/>
    <w:rsid w:val="4B13770E"/>
    <w:rsid w:val="4B844054"/>
    <w:rsid w:val="4B9A150D"/>
    <w:rsid w:val="4BA72E79"/>
    <w:rsid w:val="4BB520C0"/>
    <w:rsid w:val="4C2F4498"/>
    <w:rsid w:val="4C302C08"/>
    <w:rsid w:val="4C5C2F91"/>
    <w:rsid w:val="4C691AFC"/>
    <w:rsid w:val="4CA06F2B"/>
    <w:rsid w:val="4CCC3C6F"/>
    <w:rsid w:val="4D2659D0"/>
    <w:rsid w:val="4D6A6A09"/>
    <w:rsid w:val="4DDB79D1"/>
    <w:rsid w:val="4DDF2E1C"/>
    <w:rsid w:val="4DE578DC"/>
    <w:rsid w:val="4E7D4BFC"/>
    <w:rsid w:val="4E810F1D"/>
    <w:rsid w:val="4EB5205E"/>
    <w:rsid w:val="4EC15062"/>
    <w:rsid w:val="4EC63985"/>
    <w:rsid w:val="4EE3186E"/>
    <w:rsid w:val="4EFB3883"/>
    <w:rsid w:val="4F3A1BC5"/>
    <w:rsid w:val="4F3E38F1"/>
    <w:rsid w:val="4FBE5E07"/>
    <w:rsid w:val="4FC61DEC"/>
    <w:rsid w:val="4FDE5CE7"/>
    <w:rsid w:val="4FF25F95"/>
    <w:rsid w:val="4FFB5F99"/>
    <w:rsid w:val="50132673"/>
    <w:rsid w:val="50615016"/>
    <w:rsid w:val="507C2236"/>
    <w:rsid w:val="508855DB"/>
    <w:rsid w:val="50EA6DB9"/>
    <w:rsid w:val="50FE4300"/>
    <w:rsid w:val="510776CE"/>
    <w:rsid w:val="515116D7"/>
    <w:rsid w:val="51BF516E"/>
    <w:rsid w:val="51CD5CA3"/>
    <w:rsid w:val="51F66347"/>
    <w:rsid w:val="5204701C"/>
    <w:rsid w:val="5231373C"/>
    <w:rsid w:val="52A77F28"/>
    <w:rsid w:val="52DD4B4F"/>
    <w:rsid w:val="533810C0"/>
    <w:rsid w:val="53647FD8"/>
    <w:rsid w:val="53937294"/>
    <w:rsid w:val="53D37161"/>
    <w:rsid w:val="53DF0B88"/>
    <w:rsid w:val="5407127D"/>
    <w:rsid w:val="541A6C0C"/>
    <w:rsid w:val="54356F95"/>
    <w:rsid w:val="54402FFC"/>
    <w:rsid w:val="544B4013"/>
    <w:rsid w:val="548B5BF3"/>
    <w:rsid w:val="54FD372B"/>
    <w:rsid w:val="553F66BB"/>
    <w:rsid w:val="55684751"/>
    <w:rsid w:val="55860AB1"/>
    <w:rsid w:val="558E503B"/>
    <w:rsid w:val="55A25F6F"/>
    <w:rsid w:val="55B96F3C"/>
    <w:rsid w:val="55D3235F"/>
    <w:rsid w:val="5603519D"/>
    <w:rsid w:val="56323C75"/>
    <w:rsid w:val="5632450A"/>
    <w:rsid w:val="563F1891"/>
    <w:rsid w:val="569F787E"/>
    <w:rsid w:val="56CA1F00"/>
    <w:rsid w:val="56EE66E2"/>
    <w:rsid w:val="57A65DC8"/>
    <w:rsid w:val="57D4431F"/>
    <w:rsid w:val="57E72FB1"/>
    <w:rsid w:val="57F1794F"/>
    <w:rsid w:val="585272A6"/>
    <w:rsid w:val="586D256C"/>
    <w:rsid w:val="58CC1243"/>
    <w:rsid w:val="58D5034F"/>
    <w:rsid w:val="59121CC6"/>
    <w:rsid w:val="59495A15"/>
    <w:rsid w:val="597467F2"/>
    <w:rsid w:val="59AA7EFF"/>
    <w:rsid w:val="59DB1995"/>
    <w:rsid w:val="5A006CA7"/>
    <w:rsid w:val="5A5A6D5E"/>
    <w:rsid w:val="5A9A3590"/>
    <w:rsid w:val="5A9C6CEC"/>
    <w:rsid w:val="5AA24CA0"/>
    <w:rsid w:val="5AFE7B0B"/>
    <w:rsid w:val="5B0884F8"/>
    <w:rsid w:val="5B7A0F9F"/>
    <w:rsid w:val="5B9A70CF"/>
    <w:rsid w:val="5B9D531D"/>
    <w:rsid w:val="5BA8633B"/>
    <w:rsid w:val="5BAF08FE"/>
    <w:rsid w:val="5BB3691E"/>
    <w:rsid w:val="5C425CCA"/>
    <w:rsid w:val="5C6A6577"/>
    <w:rsid w:val="5C9B365E"/>
    <w:rsid w:val="5CE51DA5"/>
    <w:rsid w:val="5D041515"/>
    <w:rsid w:val="5D074FF4"/>
    <w:rsid w:val="5D10153F"/>
    <w:rsid w:val="5D262F94"/>
    <w:rsid w:val="5D6D4A41"/>
    <w:rsid w:val="5DD75A09"/>
    <w:rsid w:val="5DFD5E42"/>
    <w:rsid w:val="5E136045"/>
    <w:rsid w:val="5E6332F5"/>
    <w:rsid w:val="5E8B53B0"/>
    <w:rsid w:val="5EA50B61"/>
    <w:rsid w:val="5EA77833"/>
    <w:rsid w:val="5EAC1B52"/>
    <w:rsid w:val="5ED02427"/>
    <w:rsid w:val="5EDE0678"/>
    <w:rsid w:val="5EF11067"/>
    <w:rsid w:val="5F8A4ABB"/>
    <w:rsid w:val="5FDC1AA0"/>
    <w:rsid w:val="5FDE0AD6"/>
    <w:rsid w:val="60285208"/>
    <w:rsid w:val="60505443"/>
    <w:rsid w:val="60B47BF0"/>
    <w:rsid w:val="60C80E24"/>
    <w:rsid w:val="60DA25ED"/>
    <w:rsid w:val="61496562"/>
    <w:rsid w:val="614E381C"/>
    <w:rsid w:val="614F42EA"/>
    <w:rsid w:val="618E3103"/>
    <w:rsid w:val="619F205E"/>
    <w:rsid w:val="61C247B9"/>
    <w:rsid w:val="61DB5C13"/>
    <w:rsid w:val="62694F2C"/>
    <w:rsid w:val="62753969"/>
    <w:rsid w:val="629976C3"/>
    <w:rsid w:val="62B52D95"/>
    <w:rsid w:val="63602239"/>
    <w:rsid w:val="63800905"/>
    <w:rsid w:val="638854A8"/>
    <w:rsid w:val="639D0E31"/>
    <w:rsid w:val="63BE6C4D"/>
    <w:rsid w:val="64000EE6"/>
    <w:rsid w:val="640C6CD1"/>
    <w:rsid w:val="64B52712"/>
    <w:rsid w:val="64D34D76"/>
    <w:rsid w:val="64F374C1"/>
    <w:rsid w:val="651C613B"/>
    <w:rsid w:val="652439AF"/>
    <w:rsid w:val="65744A4C"/>
    <w:rsid w:val="65A84B8B"/>
    <w:rsid w:val="65C67F00"/>
    <w:rsid w:val="65D8752D"/>
    <w:rsid w:val="65F869B2"/>
    <w:rsid w:val="662E0886"/>
    <w:rsid w:val="66413F30"/>
    <w:rsid w:val="664C1F52"/>
    <w:rsid w:val="667421ED"/>
    <w:rsid w:val="66E27093"/>
    <w:rsid w:val="66E3632D"/>
    <w:rsid w:val="67076FD7"/>
    <w:rsid w:val="67321AE2"/>
    <w:rsid w:val="67416661"/>
    <w:rsid w:val="67454A13"/>
    <w:rsid w:val="67487CFE"/>
    <w:rsid w:val="676A50E5"/>
    <w:rsid w:val="677971BA"/>
    <w:rsid w:val="678E6299"/>
    <w:rsid w:val="67A275DF"/>
    <w:rsid w:val="67BA554D"/>
    <w:rsid w:val="67C85439"/>
    <w:rsid w:val="680E1188"/>
    <w:rsid w:val="686D58E2"/>
    <w:rsid w:val="687744E5"/>
    <w:rsid w:val="688F1940"/>
    <w:rsid w:val="68A14BB1"/>
    <w:rsid w:val="68B21270"/>
    <w:rsid w:val="69155714"/>
    <w:rsid w:val="691576CE"/>
    <w:rsid w:val="69DD5E7A"/>
    <w:rsid w:val="69E06B54"/>
    <w:rsid w:val="69FC3DE0"/>
    <w:rsid w:val="6A0C652B"/>
    <w:rsid w:val="6A336D97"/>
    <w:rsid w:val="6A3B510C"/>
    <w:rsid w:val="6A4175F2"/>
    <w:rsid w:val="6A8B6C1F"/>
    <w:rsid w:val="6AAD1694"/>
    <w:rsid w:val="6B4F21E3"/>
    <w:rsid w:val="6B5B3578"/>
    <w:rsid w:val="6BCB406A"/>
    <w:rsid w:val="6C350E89"/>
    <w:rsid w:val="6C52671D"/>
    <w:rsid w:val="6C59340F"/>
    <w:rsid w:val="6C7924C1"/>
    <w:rsid w:val="6C891725"/>
    <w:rsid w:val="6C9F43D9"/>
    <w:rsid w:val="6CB37B56"/>
    <w:rsid w:val="6D6848F6"/>
    <w:rsid w:val="6D7D6314"/>
    <w:rsid w:val="6D851EEC"/>
    <w:rsid w:val="6D8A650D"/>
    <w:rsid w:val="6D8F2DC3"/>
    <w:rsid w:val="6DD440B1"/>
    <w:rsid w:val="6E3875D3"/>
    <w:rsid w:val="6E4E22DE"/>
    <w:rsid w:val="6E992CD2"/>
    <w:rsid w:val="6EBE33F2"/>
    <w:rsid w:val="6EEC6315"/>
    <w:rsid w:val="6F165D07"/>
    <w:rsid w:val="6FBD1473"/>
    <w:rsid w:val="7025679B"/>
    <w:rsid w:val="705F547D"/>
    <w:rsid w:val="70D04D21"/>
    <w:rsid w:val="70D20B70"/>
    <w:rsid w:val="71193077"/>
    <w:rsid w:val="71A75C85"/>
    <w:rsid w:val="71B72890"/>
    <w:rsid w:val="71DF0F90"/>
    <w:rsid w:val="71E759E4"/>
    <w:rsid w:val="71ED200E"/>
    <w:rsid w:val="71FD48DA"/>
    <w:rsid w:val="72030D2C"/>
    <w:rsid w:val="72070898"/>
    <w:rsid w:val="72280C52"/>
    <w:rsid w:val="724807B6"/>
    <w:rsid w:val="726C7354"/>
    <w:rsid w:val="729B7572"/>
    <w:rsid w:val="72B15531"/>
    <w:rsid w:val="72CE66FE"/>
    <w:rsid w:val="72EE1FAE"/>
    <w:rsid w:val="73BA4394"/>
    <w:rsid w:val="73EE487D"/>
    <w:rsid w:val="74031DBD"/>
    <w:rsid w:val="742161FC"/>
    <w:rsid w:val="745200D1"/>
    <w:rsid w:val="74B10200"/>
    <w:rsid w:val="74B37D35"/>
    <w:rsid w:val="74E70381"/>
    <w:rsid w:val="74EF2723"/>
    <w:rsid w:val="750811A7"/>
    <w:rsid w:val="752B3893"/>
    <w:rsid w:val="76386FDA"/>
    <w:rsid w:val="763B4AEA"/>
    <w:rsid w:val="76570150"/>
    <w:rsid w:val="766F4DFB"/>
    <w:rsid w:val="768371E5"/>
    <w:rsid w:val="76C0410A"/>
    <w:rsid w:val="76FA2D71"/>
    <w:rsid w:val="7728728C"/>
    <w:rsid w:val="77BF7E83"/>
    <w:rsid w:val="77D14C42"/>
    <w:rsid w:val="77FC68A8"/>
    <w:rsid w:val="780A7946"/>
    <w:rsid w:val="781A5F7F"/>
    <w:rsid w:val="78562DFF"/>
    <w:rsid w:val="787D282A"/>
    <w:rsid w:val="78890440"/>
    <w:rsid w:val="788E3053"/>
    <w:rsid w:val="78977E8B"/>
    <w:rsid w:val="78E50FB3"/>
    <w:rsid w:val="78E51A91"/>
    <w:rsid w:val="78F159BB"/>
    <w:rsid w:val="79053481"/>
    <w:rsid w:val="792702FB"/>
    <w:rsid w:val="798C3718"/>
    <w:rsid w:val="79E60845"/>
    <w:rsid w:val="79FC2197"/>
    <w:rsid w:val="7A3B22B0"/>
    <w:rsid w:val="7A4822D7"/>
    <w:rsid w:val="7A824DD2"/>
    <w:rsid w:val="7AC3426A"/>
    <w:rsid w:val="7AD317E9"/>
    <w:rsid w:val="7AE37DAB"/>
    <w:rsid w:val="7AF56522"/>
    <w:rsid w:val="7AF95FD0"/>
    <w:rsid w:val="7B04161E"/>
    <w:rsid w:val="7B09415C"/>
    <w:rsid w:val="7B556581"/>
    <w:rsid w:val="7B971720"/>
    <w:rsid w:val="7B975DAC"/>
    <w:rsid w:val="7BF4617E"/>
    <w:rsid w:val="7C10486E"/>
    <w:rsid w:val="7C4D1939"/>
    <w:rsid w:val="7C7B100A"/>
    <w:rsid w:val="7C8930EA"/>
    <w:rsid w:val="7C8B1A82"/>
    <w:rsid w:val="7CC60F92"/>
    <w:rsid w:val="7CD16599"/>
    <w:rsid w:val="7D3F20B7"/>
    <w:rsid w:val="7D4C57F6"/>
    <w:rsid w:val="7D502EF2"/>
    <w:rsid w:val="7D5570EA"/>
    <w:rsid w:val="7D657C70"/>
    <w:rsid w:val="7DAF718C"/>
    <w:rsid w:val="7DCF69DA"/>
    <w:rsid w:val="7DDD51C9"/>
    <w:rsid w:val="7DFFB7AD"/>
    <w:rsid w:val="7E0543F8"/>
    <w:rsid w:val="7E6307DC"/>
    <w:rsid w:val="7E7D469E"/>
    <w:rsid w:val="7E814B27"/>
    <w:rsid w:val="7EAA2091"/>
    <w:rsid w:val="7ED27B44"/>
    <w:rsid w:val="7EDB1DE7"/>
    <w:rsid w:val="7EF90479"/>
    <w:rsid w:val="7F23221B"/>
    <w:rsid w:val="7F3E3B34"/>
    <w:rsid w:val="7F7F0318"/>
    <w:rsid w:val="7FDF12F6"/>
    <w:rsid w:val="7FE702D9"/>
    <w:rsid w:val="7FE77861"/>
    <w:rsid w:val="7FFB29B4"/>
    <w:rsid w:val="AEF2CABF"/>
    <w:rsid w:val="BF5F950B"/>
    <w:rsid w:val="BFF984F8"/>
    <w:rsid w:val="DD5E696A"/>
    <w:rsid w:val="EEFFDF0C"/>
    <w:rsid w:val="EFB2608D"/>
    <w:rsid w:val="F9F7B817"/>
    <w:rsid w:val="FFCEC916"/>
    <w:rsid w:val="FFEEEBC6"/>
    <w:rsid w:val="FFF4FB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qFormat="1" w:unhideWhenUsed="0"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qFormat/>
    <w:uiPriority w:val="0"/>
    <w:pPr>
      <w:keepNext/>
      <w:keepLines/>
      <w:widowControl/>
      <w:numPr>
        <w:ilvl w:val="0"/>
        <w:numId w:val="1"/>
      </w:numPr>
      <w:spacing w:before="240" w:after="240" w:line="360" w:lineRule="auto"/>
      <w:outlineLvl w:val="0"/>
    </w:pPr>
    <w:rPr>
      <w:rFonts w:ascii="仿宋_GB2312" w:hAnsi="仿宋_GB2312" w:eastAsia="黑体"/>
      <w:b/>
      <w:bCs/>
      <w:kern w:val="44"/>
      <w:sz w:val="32"/>
      <w:szCs w:val="28"/>
    </w:rPr>
  </w:style>
  <w:style w:type="paragraph" w:styleId="5">
    <w:name w:val="heading 2"/>
    <w:basedOn w:val="1"/>
    <w:next w:val="1"/>
    <w:link w:val="39"/>
    <w:qFormat/>
    <w:uiPriority w:val="9"/>
    <w:pPr>
      <w:keepNext/>
      <w:keepLines/>
      <w:numPr>
        <w:ilvl w:val="1"/>
        <w:numId w:val="1"/>
      </w:numPr>
      <w:spacing w:line="360" w:lineRule="auto"/>
      <w:jc w:val="left"/>
      <w:outlineLvl w:val="1"/>
    </w:pPr>
    <w:rPr>
      <w:rFonts w:ascii="仿宋_GB2312" w:hAnsi="仿宋_GB2312" w:eastAsia="仿宋_GB2312"/>
      <w:b/>
      <w:bCs/>
      <w:sz w:val="32"/>
      <w:szCs w:val="28"/>
    </w:rPr>
  </w:style>
  <w:style w:type="paragraph" w:styleId="6">
    <w:name w:val="heading 3"/>
    <w:basedOn w:val="1"/>
    <w:next w:val="1"/>
    <w:link w:val="40"/>
    <w:qFormat/>
    <w:uiPriority w:val="0"/>
    <w:pPr>
      <w:keepNext/>
      <w:keepLines/>
      <w:numPr>
        <w:ilvl w:val="2"/>
        <w:numId w:val="1"/>
      </w:numPr>
      <w:tabs>
        <w:tab w:val="left" w:pos="709"/>
      </w:tabs>
      <w:spacing w:line="415" w:lineRule="auto"/>
      <w:outlineLvl w:val="2"/>
    </w:pPr>
    <w:rPr>
      <w:rFonts w:ascii="仿宋" w:hAnsi="仿宋" w:eastAsia="仿宋_GB2312"/>
      <w:b/>
      <w:bCs/>
      <w:sz w:val="32"/>
      <w:szCs w:val="32"/>
    </w:rPr>
  </w:style>
  <w:style w:type="paragraph" w:styleId="7">
    <w:name w:val="heading 4"/>
    <w:basedOn w:val="1"/>
    <w:next w:val="1"/>
    <w:qFormat/>
    <w:uiPriority w:val="0"/>
    <w:pPr>
      <w:keepNext/>
      <w:keepLines/>
      <w:numPr>
        <w:ilvl w:val="3"/>
        <w:numId w:val="1"/>
      </w:numPr>
      <w:spacing w:before="280" w:after="290" w:line="376" w:lineRule="auto"/>
      <w:outlineLvl w:val="3"/>
    </w:pPr>
    <w:rPr>
      <w:rFonts w:ascii="Arial" w:hAnsi="Arial" w:eastAsia="仿宋"/>
      <w:b/>
      <w:bCs/>
      <w:sz w:val="28"/>
      <w:szCs w:val="28"/>
    </w:rPr>
  </w:style>
  <w:style w:type="paragraph" w:styleId="8">
    <w:name w:val="heading 5"/>
    <w:basedOn w:val="1"/>
    <w:next w:val="1"/>
    <w:qFormat/>
    <w:uiPriority w:val="0"/>
    <w:pPr>
      <w:keepNext/>
      <w:keepLines/>
      <w:numPr>
        <w:ilvl w:val="4"/>
        <w:numId w:val="1"/>
      </w:numPr>
      <w:spacing w:before="280" w:after="290" w:line="376" w:lineRule="auto"/>
      <w:outlineLvl w:val="4"/>
    </w:pPr>
    <w:rPr>
      <w:b/>
      <w:bCs/>
      <w:sz w:val="28"/>
      <w:szCs w:val="28"/>
    </w:rPr>
  </w:style>
  <w:style w:type="paragraph" w:styleId="9">
    <w:name w:val="heading 6"/>
    <w:basedOn w:val="1"/>
    <w:next w:val="1"/>
    <w:link w:val="41"/>
    <w:qFormat/>
    <w:uiPriority w:val="0"/>
    <w:pPr>
      <w:keepNext/>
      <w:keepLines/>
      <w:tabs>
        <w:tab w:val="left" w:pos="1152"/>
      </w:tabs>
      <w:adjustRightInd w:val="0"/>
      <w:snapToGrid w:val="0"/>
      <w:spacing w:before="240" w:after="64" w:line="320" w:lineRule="auto"/>
      <w:ind w:left="1152" w:hanging="1152"/>
      <w:outlineLvl w:val="5"/>
    </w:pPr>
    <w:rPr>
      <w:rFonts w:ascii="Arial" w:hAnsi="Arial" w:eastAsia="黑体"/>
      <w:b/>
      <w:bCs/>
      <w:sz w:val="24"/>
      <w:szCs w:val="20"/>
    </w:rPr>
  </w:style>
  <w:style w:type="paragraph" w:styleId="10">
    <w:name w:val="heading 7"/>
    <w:basedOn w:val="1"/>
    <w:next w:val="1"/>
    <w:link w:val="42"/>
    <w:qFormat/>
    <w:uiPriority w:val="0"/>
    <w:pPr>
      <w:keepNext/>
      <w:keepLines/>
      <w:tabs>
        <w:tab w:val="left" w:pos="1296"/>
      </w:tabs>
      <w:adjustRightInd w:val="0"/>
      <w:snapToGrid w:val="0"/>
      <w:spacing w:before="240" w:after="64" w:line="320" w:lineRule="auto"/>
      <w:ind w:left="1296" w:hanging="1296"/>
      <w:outlineLvl w:val="6"/>
    </w:pPr>
    <w:rPr>
      <w:b/>
      <w:bCs/>
      <w:sz w:val="24"/>
      <w:szCs w:val="20"/>
    </w:rPr>
  </w:style>
  <w:style w:type="paragraph" w:styleId="11">
    <w:name w:val="heading 8"/>
    <w:basedOn w:val="1"/>
    <w:next w:val="1"/>
    <w:link w:val="43"/>
    <w:qFormat/>
    <w:uiPriority w:val="0"/>
    <w:pPr>
      <w:keepNext/>
      <w:keepLines/>
      <w:tabs>
        <w:tab w:val="left" w:pos="1440"/>
      </w:tabs>
      <w:adjustRightInd w:val="0"/>
      <w:snapToGrid w:val="0"/>
      <w:spacing w:before="240" w:after="64" w:line="320" w:lineRule="auto"/>
      <w:ind w:left="1440" w:hanging="1440"/>
      <w:outlineLvl w:val="7"/>
    </w:pPr>
    <w:rPr>
      <w:rFonts w:ascii="Arial" w:hAnsi="Arial" w:eastAsia="黑体"/>
      <w:sz w:val="24"/>
      <w:szCs w:val="20"/>
    </w:rPr>
  </w:style>
  <w:style w:type="paragraph" w:styleId="12">
    <w:name w:val="heading 9"/>
    <w:basedOn w:val="1"/>
    <w:next w:val="1"/>
    <w:link w:val="44"/>
    <w:qFormat/>
    <w:uiPriority w:val="0"/>
    <w:pPr>
      <w:keepNext/>
      <w:keepLines/>
      <w:tabs>
        <w:tab w:val="left" w:pos="1584"/>
      </w:tabs>
      <w:adjustRightInd w:val="0"/>
      <w:snapToGrid w:val="0"/>
      <w:spacing w:before="240" w:after="64" w:line="320" w:lineRule="auto"/>
      <w:ind w:left="1584" w:hanging="1584"/>
      <w:outlineLvl w:val="8"/>
    </w:pPr>
    <w:rPr>
      <w:rFonts w:ascii="Arial" w:hAnsi="Arial" w:eastAsia="黑体"/>
      <w:sz w:val="24"/>
      <w:szCs w:val="21"/>
    </w:rPr>
  </w:style>
  <w:style w:type="character" w:default="1" w:styleId="34">
    <w:name w:val="Default Paragraph Font"/>
    <w:semiHidden/>
    <w:unhideWhenUsed/>
    <w:qFormat/>
    <w:uiPriority w:val="1"/>
  </w:style>
  <w:style w:type="table" w:default="1" w:styleId="31">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link w:val="46"/>
    <w:qFormat/>
    <w:uiPriority w:val="0"/>
    <w:pPr>
      <w:spacing w:after="120"/>
      <w:ind w:firstLine="200" w:firstLineChars="200"/>
    </w:pPr>
    <w:rPr>
      <w:sz w:val="24"/>
    </w:rPr>
  </w:style>
  <w:style w:type="paragraph" w:styleId="3">
    <w:name w:val="Title"/>
    <w:basedOn w:val="1"/>
    <w:next w:val="1"/>
    <w:qFormat/>
    <w:uiPriority w:val="0"/>
    <w:pPr>
      <w:spacing w:before="240" w:after="60"/>
      <w:jc w:val="center"/>
      <w:outlineLvl w:val="0"/>
    </w:pPr>
    <w:rPr>
      <w:rFonts w:ascii="Arial" w:hAnsi="Arial"/>
      <w:b/>
      <w:sz w:val="32"/>
    </w:rPr>
  </w:style>
  <w:style w:type="paragraph" w:styleId="13">
    <w:name w:val="Normal Indent"/>
    <w:basedOn w:val="1"/>
    <w:link w:val="45"/>
    <w:qFormat/>
    <w:uiPriority w:val="0"/>
    <w:pPr>
      <w:spacing w:line="300" w:lineRule="auto"/>
      <w:ind w:firstLine="420"/>
    </w:pPr>
    <w:rPr>
      <w:sz w:val="24"/>
      <w:szCs w:val="20"/>
    </w:rPr>
  </w:style>
  <w:style w:type="paragraph" w:styleId="14">
    <w:name w:val="caption"/>
    <w:basedOn w:val="1"/>
    <w:next w:val="1"/>
    <w:qFormat/>
    <w:uiPriority w:val="0"/>
    <w:pPr>
      <w:adjustRightInd w:val="0"/>
      <w:spacing w:before="152" w:after="160" w:line="360" w:lineRule="atLeast"/>
      <w:jc w:val="left"/>
      <w:textAlignment w:val="baseline"/>
    </w:pPr>
    <w:rPr>
      <w:rFonts w:ascii="Arial" w:hAnsi="Arial" w:eastAsia="黑体" w:cs="Arial"/>
      <w:kern w:val="0"/>
      <w:sz w:val="20"/>
      <w:szCs w:val="20"/>
    </w:rPr>
  </w:style>
  <w:style w:type="paragraph" w:styleId="15">
    <w:name w:val="Document Map"/>
    <w:basedOn w:val="1"/>
    <w:semiHidden/>
    <w:qFormat/>
    <w:uiPriority w:val="0"/>
    <w:pPr>
      <w:shd w:val="clear" w:color="auto" w:fill="000080"/>
    </w:pPr>
  </w:style>
  <w:style w:type="paragraph" w:styleId="16">
    <w:name w:val="annotation text"/>
    <w:basedOn w:val="1"/>
    <w:semiHidden/>
    <w:qFormat/>
    <w:uiPriority w:val="0"/>
    <w:pPr>
      <w:jc w:val="left"/>
    </w:pPr>
  </w:style>
  <w:style w:type="paragraph" w:styleId="17">
    <w:name w:val="Body Text Indent"/>
    <w:basedOn w:val="1"/>
    <w:qFormat/>
    <w:uiPriority w:val="0"/>
    <w:pPr>
      <w:spacing w:line="400" w:lineRule="atLeast"/>
      <w:ind w:left="900"/>
    </w:pPr>
    <w:rPr>
      <w:spacing w:val="10"/>
      <w:sz w:val="24"/>
    </w:rPr>
  </w:style>
  <w:style w:type="paragraph" w:styleId="18">
    <w:name w:val="toc 3"/>
    <w:basedOn w:val="1"/>
    <w:next w:val="1"/>
    <w:qFormat/>
    <w:uiPriority w:val="39"/>
    <w:pPr>
      <w:ind w:left="840" w:leftChars="400"/>
    </w:pPr>
  </w:style>
  <w:style w:type="paragraph" w:styleId="19">
    <w:name w:val="Plain Text"/>
    <w:basedOn w:val="1"/>
    <w:link w:val="47"/>
    <w:qFormat/>
    <w:uiPriority w:val="0"/>
    <w:pPr>
      <w:ind w:firstLine="200" w:firstLineChars="200"/>
    </w:pPr>
    <w:rPr>
      <w:rFonts w:ascii="宋体" w:hAnsi="Courier New"/>
      <w:sz w:val="24"/>
    </w:rPr>
  </w:style>
  <w:style w:type="paragraph" w:styleId="20">
    <w:name w:val="Date"/>
    <w:basedOn w:val="1"/>
    <w:next w:val="1"/>
    <w:qFormat/>
    <w:uiPriority w:val="0"/>
    <w:pPr>
      <w:ind w:firstLine="200" w:firstLineChars="200"/>
    </w:pPr>
    <w:rPr>
      <w:rFonts w:ascii="Arial" w:hAnsi="Arial"/>
      <w:sz w:val="24"/>
      <w:szCs w:val="21"/>
    </w:rPr>
  </w:style>
  <w:style w:type="paragraph" w:styleId="21">
    <w:name w:val="Body Text Indent 2"/>
    <w:basedOn w:val="1"/>
    <w:qFormat/>
    <w:uiPriority w:val="0"/>
    <w:pPr>
      <w:adjustRightInd w:val="0"/>
      <w:snapToGrid w:val="0"/>
      <w:spacing w:line="360" w:lineRule="auto"/>
      <w:ind w:firstLine="528"/>
      <w:jc w:val="left"/>
    </w:pPr>
  </w:style>
  <w:style w:type="paragraph" w:styleId="22">
    <w:name w:val="Balloon Text"/>
    <w:basedOn w:val="1"/>
    <w:semiHidden/>
    <w:qFormat/>
    <w:uiPriority w:val="0"/>
    <w:rPr>
      <w:sz w:val="18"/>
      <w:szCs w:val="18"/>
    </w:rPr>
  </w:style>
  <w:style w:type="paragraph" w:styleId="23">
    <w:name w:val="footer"/>
    <w:basedOn w:val="1"/>
    <w:link w:val="48"/>
    <w:qFormat/>
    <w:uiPriority w:val="99"/>
    <w:pPr>
      <w:tabs>
        <w:tab w:val="center" w:pos="4153"/>
        <w:tab w:val="right" w:pos="8306"/>
      </w:tabs>
      <w:snapToGrid w:val="0"/>
      <w:jc w:val="left"/>
    </w:pPr>
    <w:rPr>
      <w:sz w:val="18"/>
      <w:szCs w:val="18"/>
    </w:rPr>
  </w:style>
  <w:style w:type="paragraph" w:styleId="24">
    <w:name w:val="header"/>
    <w:basedOn w:val="1"/>
    <w:link w:val="49"/>
    <w:qFormat/>
    <w:uiPriority w:val="0"/>
    <w:pPr>
      <w:pBdr>
        <w:bottom w:val="single" w:color="auto" w:sz="6" w:space="1"/>
      </w:pBdr>
      <w:tabs>
        <w:tab w:val="center" w:pos="4153"/>
        <w:tab w:val="right" w:pos="8306"/>
      </w:tabs>
      <w:snapToGrid w:val="0"/>
      <w:jc w:val="center"/>
    </w:pPr>
    <w:rPr>
      <w:sz w:val="18"/>
      <w:szCs w:val="18"/>
    </w:rPr>
  </w:style>
  <w:style w:type="paragraph" w:styleId="25">
    <w:name w:val="toc 1"/>
    <w:basedOn w:val="1"/>
    <w:next w:val="1"/>
    <w:qFormat/>
    <w:uiPriority w:val="39"/>
  </w:style>
  <w:style w:type="paragraph" w:styleId="26">
    <w:name w:val="Body Text Indent 3"/>
    <w:basedOn w:val="1"/>
    <w:qFormat/>
    <w:uiPriority w:val="0"/>
    <w:pPr>
      <w:spacing w:after="120" w:line="480" w:lineRule="exact"/>
      <w:ind w:left="420" w:leftChars="200" w:firstLine="200" w:firstLineChars="200"/>
    </w:pPr>
    <w:rPr>
      <w:sz w:val="16"/>
      <w:szCs w:val="16"/>
    </w:rPr>
  </w:style>
  <w:style w:type="paragraph" w:styleId="27">
    <w:name w:val="toc 2"/>
    <w:basedOn w:val="1"/>
    <w:next w:val="1"/>
    <w:qFormat/>
    <w:uiPriority w:val="39"/>
    <w:pPr>
      <w:ind w:left="420" w:leftChars="200"/>
    </w:pPr>
  </w:style>
  <w:style w:type="paragraph" w:styleId="28">
    <w:name w:val="Body Text 2"/>
    <w:basedOn w:val="1"/>
    <w:qFormat/>
    <w:uiPriority w:val="0"/>
    <w:pPr>
      <w:spacing w:after="120" w:line="480" w:lineRule="auto"/>
    </w:pPr>
    <w:rPr>
      <w:sz w:val="24"/>
    </w:rPr>
  </w:style>
  <w:style w:type="paragraph" w:styleId="29">
    <w:name w:val="Normal (Web)"/>
    <w:basedOn w:val="1"/>
    <w:qFormat/>
    <w:uiPriority w:val="0"/>
    <w:pPr>
      <w:spacing w:before="100" w:beforeAutospacing="1" w:after="100" w:afterAutospacing="1"/>
      <w:jc w:val="left"/>
    </w:pPr>
    <w:rPr>
      <w:kern w:val="0"/>
      <w:sz w:val="24"/>
    </w:rPr>
  </w:style>
  <w:style w:type="paragraph" w:styleId="30">
    <w:name w:val="annotation subject"/>
    <w:basedOn w:val="16"/>
    <w:next w:val="16"/>
    <w:semiHidden/>
    <w:qFormat/>
    <w:uiPriority w:val="0"/>
    <w:rPr>
      <w:b/>
      <w:bCs/>
    </w:rPr>
  </w:style>
  <w:style w:type="table" w:styleId="32">
    <w:name w:val="Table Grid"/>
    <w:basedOn w:val="31"/>
    <w:qFormat/>
    <w:uiPriority w:val="0"/>
    <w:pPr>
      <w:widowControl w:val="0"/>
      <w:adjustRightInd w:val="0"/>
      <w:spacing w:line="312" w:lineRule="atLeast"/>
      <w:jc w:val="both"/>
      <w:textAlignment w:val="baseline"/>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33">
    <w:name w:val="Table List 1"/>
    <w:basedOn w:val="31"/>
    <w:semiHidden/>
    <w:qFormat/>
    <w:uiPriority w:val="0"/>
    <w:pPr>
      <w:widowControl w:val="0"/>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top w:val="nil"/>
          <w:left w:val="single" w:color="000000" w:sz="6" w:space="0"/>
          <w:bottom w:val="nil"/>
          <w:right w:val="nil"/>
          <w:insideH w:val="nil"/>
          <w:insideV w:val="nil"/>
          <w:tl2br w:val="nil"/>
          <w:tr2bl w:val="nil"/>
        </w:tcBorders>
        <w:shd w:val="solid" w:color="C0C0C0" w:fill="FFFFFF"/>
      </w:tcPr>
    </w:tblStylePr>
    <w:tblStylePr w:type="lastRow">
      <w:tblPr/>
      <w:tcPr>
        <w:tcBorders>
          <w:top w:val="single" w:color="000000" w:sz="6" w:space="0"/>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solid" w:color="C0C0C0" w:fill="FFFFFF"/>
      </w:tcPr>
    </w:tblStylePr>
    <w:tblStylePr w:type="band2Horz">
      <w:rPr>
        <w:color w:val="auto"/>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35">
    <w:name w:val="Strong"/>
    <w:qFormat/>
    <w:uiPriority w:val="0"/>
    <w:rPr>
      <w:b/>
    </w:rPr>
  </w:style>
  <w:style w:type="character" w:styleId="36">
    <w:name w:val="page number"/>
    <w:qFormat/>
    <w:uiPriority w:val="0"/>
  </w:style>
  <w:style w:type="character" w:styleId="37">
    <w:name w:val="Hyperlink"/>
    <w:qFormat/>
    <w:uiPriority w:val="99"/>
    <w:rPr>
      <w:color w:val="0000FF"/>
      <w:u w:val="single"/>
    </w:rPr>
  </w:style>
  <w:style w:type="character" w:styleId="38">
    <w:name w:val="annotation reference"/>
    <w:semiHidden/>
    <w:qFormat/>
    <w:uiPriority w:val="0"/>
    <w:rPr>
      <w:sz w:val="21"/>
      <w:szCs w:val="21"/>
    </w:rPr>
  </w:style>
  <w:style w:type="character" w:customStyle="1" w:styleId="39">
    <w:name w:val="标题 2 字符"/>
    <w:link w:val="5"/>
    <w:qFormat/>
    <w:uiPriority w:val="9"/>
    <w:rPr>
      <w:rFonts w:ascii="仿宋_GB2312" w:hAnsi="仿宋_GB2312" w:eastAsia="仿宋_GB2312"/>
      <w:b/>
      <w:bCs/>
      <w:kern w:val="2"/>
      <w:sz w:val="32"/>
      <w:szCs w:val="28"/>
    </w:rPr>
  </w:style>
  <w:style w:type="character" w:customStyle="1" w:styleId="40">
    <w:name w:val="标题 3 字符"/>
    <w:link w:val="6"/>
    <w:qFormat/>
    <w:uiPriority w:val="0"/>
    <w:rPr>
      <w:rFonts w:ascii="仿宋" w:hAnsi="仿宋" w:eastAsia="仿宋_GB2312"/>
      <w:b/>
      <w:bCs/>
      <w:kern w:val="2"/>
      <w:sz w:val="32"/>
      <w:szCs w:val="32"/>
    </w:rPr>
  </w:style>
  <w:style w:type="character" w:customStyle="1" w:styleId="41">
    <w:name w:val="标题 6 字符"/>
    <w:link w:val="9"/>
    <w:qFormat/>
    <w:uiPriority w:val="0"/>
    <w:rPr>
      <w:rFonts w:ascii="Arial" w:hAnsi="Arial" w:eastAsia="黑体"/>
      <w:b/>
      <w:bCs/>
      <w:kern w:val="2"/>
      <w:sz w:val="24"/>
    </w:rPr>
  </w:style>
  <w:style w:type="character" w:customStyle="1" w:styleId="42">
    <w:name w:val="标题 7 字符"/>
    <w:link w:val="10"/>
    <w:qFormat/>
    <w:uiPriority w:val="0"/>
    <w:rPr>
      <w:b/>
      <w:bCs/>
      <w:kern w:val="2"/>
      <w:sz w:val="24"/>
    </w:rPr>
  </w:style>
  <w:style w:type="character" w:customStyle="1" w:styleId="43">
    <w:name w:val="标题 8 字符"/>
    <w:link w:val="11"/>
    <w:qFormat/>
    <w:uiPriority w:val="0"/>
    <w:rPr>
      <w:rFonts w:ascii="Arial" w:hAnsi="Arial" w:eastAsia="黑体"/>
      <w:kern w:val="2"/>
      <w:sz w:val="24"/>
    </w:rPr>
  </w:style>
  <w:style w:type="character" w:customStyle="1" w:styleId="44">
    <w:name w:val="标题 9 字符"/>
    <w:link w:val="12"/>
    <w:qFormat/>
    <w:uiPriority w:val="0"/>
    <w:rPr>
      <w:rFonts w:ascii="Arial" w:hAnsi="Arial" w:eastAsia="黑体"/>
      <w:kern w:val="2"/>
      <w:sz w:val="24"/>
      <w:szCs w:val="21"/>
    </w:rPr>
  </w:style>
  <w:style w:type="character" w:customStyle="1" w:styleId="45">
    <w:name w:val="正文缩进 字符"/>
    <w:link w:val="13"/>
    <w:qFormat/>
    <w:uiPriority w:val="0"/>
    <w:rPr>
      <w:kern w:val="2"/>
      <w:sz w:val="24"/>
    </w:rPr>
  </w:style>
  <w:style w:type="character" w:customStyle="1" w:styleId="46">
    <w:name w:val="正文文本 字符"/>
    <w:link w:val="2"/>
    <w:qFormat/>
    <w:uiPriority w:val="0"/>
    <w:rPr>
      <w:kern w:val="2"/>
      <w:sz w:val="24"/>
      <w:szCs w:val="24"/>
    </w:rPr>
  </w:style>
  <w:style w:type="character" w:customStyle="1" w:styleId="47">
    <w:name w:val="纯文本 字符"/>
    <w:link w:val="19"/>
    <w:qFormat/>
    <w:uiPriority w:val="0"/>
    <w:rPr>
      <w:rFonts w:ascii="宋体" w:hAnsi="Courier New"/>
      <w:kern w:val="2"/>
      <w:sz w:val="24"/>
      <w:szCs w:val="24"/>
    </w:rPr>
  </w:style>
  <w:style w:type="character" w:customStyle="1" w:styleId="48">
    <w:name w:val="页脚 字符"/>
    <w:link w:val="23"/>
    <w:qFormat/>
    <w:uiPriority w:val="99"/>
    <w:rPr>
      <w:kern w:val="2"/>
      <w:sz w:val="18"/>
      <w:szCs w:val="18"/>
    </w:rPr>
  </w:style>
  <w:style w:type="character" w:customStyle="1" w:styleId="49">
    <w:name w:val="页眉 字符"/>
    <w:link w:val="24"/>
    <w:qFormat/>
    <w:uiPriority w:val="0"/>
    <w:rPr>
      <w:kern w:val="2"/>
      <w:sz w:val="18"/>
      <w:szCs w:val="18"/>
    </w:rPr>
  </w:style>
  <w:style w:type="character" w:customStyle="1" w:styleId="50">
    <w:name w:val="GEDI一级项目编号 Char"/>
    <w:link w:val="51"/>
    <w:qFormat/>
    <w:uiPriority w:val="0"/>
    <w:rPr>
      <w:kern w:val="2"/>
      <w:sz w:val="24"/>
      <w:szCs w:val="24"/>
    </w:rPr>
  </w:style>
  <w:style w:type="paragraph" w:customStyle="1" w:styleId="51">
    <w:name w:val="GEDI一级项目编号"/>
    <w:basedOn w:val="1"/>
    <w:link w:val="50"/>
    <w:qFormat/>
    <w:uiPriority w:val="0"/>
    <w:pPr>
      <w:adjustRightInd w:val="0"/>
      <w:snapToGrid w:val="0"/>
      <w:spacing w:line="480" w:lineRule="atLeast"/>
    </w:pPr>
    <w:rPr>
      <w:sz w:val="24"/>
    </w:rPr>
  </w:style>
  <w:style w:type="character" w:customStyle="1" w:styleId="52">
    <w:name w:val="正文文字样式 Char Char"/>
    <w:link w:val="53"/>
    <w:qFormat/>
    <w:uiPriority w:val="0"/>
    <w:rPr>
      <w:rFonts w:eastAsia="宋体"/>
      <w:kern w:val="2"/>
      <w:sz w:val="24"/>
      <w:szCs w:val="24"/>
      <w:lang w:val="en-US" w:eastAsia="zh-CN" w:bidi="ar-SA"/>
    </w:rPr>
  </w:style>
  <w:style w:type="paragraph" w:customStyle="1" w:styleId="53">
    <w:name w:val="正文文字样式"/>
    <w:basedOn w:val="1"/>
    <w:link w:val="52"/>
    <w:qFormat/>
    <w:uiPriority w:val="0"/>
    <w:pPr>
      <w:spacing w:line="480" w:lineRule="exact"/>
      <w:ind w:firstLine="480" w:firstLineChars="200"/>
    </w:pPr>
    <w:rPr>
      <w:sz w:val="24"/>
    </w:rPr>
  </w:style>
  <w:style w:type="character" w:customStyle="1" w:styleId="54">
    <w:name w:val="样式3 Char"/>
    <w:link w:val="55"/>
    <w:qFormat/>
    <w:uiPriority w:val="0"/>
    <w:rPr>
      <w:b/>
      <w:caps/>
      <w:sz w:val="28"/>
      <w:lang w:bidi="ar-SA"/>
    </w:rPr>
  </w:style>
  <w:style w:type="paragraph" w:customStyle="1" w:styleId="55">
    <w:name w:val="样式3"/>
    <w:basedOn w:val="56"/>
    <w:link w:val="54"/>
    <w:qFormat/>
    <w:uiPriority w:val="0"/>
    <w:pPr>
      <w:tabs>
        <w:tab w:val="left" w:pos="0"/>
      </w:tabs>
      <w:spacing w:line="240" w:lineRule="auto"/>
      <w:jc w:val="both"/>
    </w:pPr>
    <w:rPr>
      <w:bCs w:val="0"/>
      <w:kern w:val="0"/>
      <w:sz w:val="28"/>
    </w:rPr>
  </w:style>
  <w:style w:type="paragraph" w:customStyle="1" w:styleId="56">
    <w:name w:val="目录 11"/>
    <w:basedOn w:val="1"/>
    <w:next w:val="1"/>
    <w:qFormat/>
    <w:uiPriority w:val="39"/>
    <w:pPr>
      <w:spacing w:before="120" w:after="120" w:line="60" w:lineRule="auto"/>
      <w:jc w:val="left"/>
    </w:pPr>
    <w:rPr>
      <w:b/>
      <w:bCs/>
      <w:caps/>
      <w:sz w:val="20"/>
      <w:szCs w:val="20"/>
    </w:rPr>
  </w:style>
  <w:style w:type="character" w:customStyle="1" w:styleId="57">
    <w:name w:val="正文首行缩进 Char"/>
    <w:link w:val="58"/>
    <w:qFormat/>
    <w:uiPriority w:val="0"/>
    <w:rPr>
      <w:kern w:val="2"/>
      <w:sz w:val="24"/>
      <w:szCs w:val="24"/>
    </w:rPr>
  </w:style>
  <w:style w:type="paragraph" w:customStyle="1" w:styleId="58">
    <w:name w:val="正文首行缩进1"/>
    <w:basedOn w:val="2"/>
    <w:link w:val="57"/>
    <w:qFormat/>
    <w:uiPriority w:val="0"/>
    <w:pPr>
      <w:spacing w:after="0" w:line="360" w:lineRule="auto"/>
    </w:pPr>
    <w:rPr>
      <w:szCs w:val="20"/>
    </w:rPr>
  </w:style>
  <w:style w:type="character" w:customStyle="1" w:styleId="59">
    <w:name w:val="标题 3 Char1"/>
    <w:qFormat/>
    <w:uiPriority w:val="0"/>
    <w:rPr>
      <w:rFonts w:ascii="宋体"/>
      <w:b/>
      <w:kern w:val="2"/>
      <w:sz w:val="28"/>
    </w:rPr>
  </w:style>
  <w:style w:type="character" w:customStyle="1" w:styleId="60">
    <w:name w:val="“上标”样式"/>
    <w:qFormat/>
    <w:uiPriority w:val="0"/>
    <w:rPr>
      <w:rFonts w:ascii="Times New Roman" w:hAnsi="Times New Roman" w:eastAsia="宋体"/>
      <w:sz w:val="24"/>
      <w:vertAlign w:val="superscript"/>
    </w:rPr>
  </w:style>
  <w:style w:type="character" w:customStyle="1" w:styleId="61">
    <w:name w:val="“下标”样式"/>
    <w:qFormat/>
    <w:uiPriority w:val="0"/>
    <w:rPr>
      <w:vertAlign w:val="subscript"/>
    </w:rPr>
  </w:style>
  <w:style w:type="character" w:customStyle="1" w:styleId="62">
    <w:name w:val="GEDI正文样式 Char"/>
    <w:link w:val="63"/>
    <w:qFormat/>
    <w:uiPriority w:val="0"/>
    <w:rPr>
      <w:kern w:val="2"/>
      <w:sz w:val="24"/>
      <w:szCs w:val="24"/>
    </w:rPr>
  </w:style>
  <w:style w:type="paragraph" w:customStyle="1" w:styleId="63">
    <w:name w:val="GEDI正文样式"/>
    <w:basedOn w:val="1"/>
    <w:link w:val="62"/>
    <w:qFormat/>
    <w:uiPriority w:val="0"/>
    <w:pPr>
      <w:adjustRightInd w:val="0"/>
      <w:snapToGrid w:val="0"/>
      <w:spacing w:line="480" w:lineRule="atLeast"/>
      <w:ind w:firstLine="480" w:firstLineChars="200"/>
    </w:pPr>
    <w:rPr>
      <w:sz w:val="24"/>
    </w:rPr>
  </w:style>
  <w:style w:type="character" w:customStyle="1" w:styleId="64">
    <w:name w:val="封面“EPC联合体”西文文字 Char Char"/>
    <w:link w:val="65"/>
    <w:qFormat/>
    <w:uiPriority w:val="0"/>
    <w:rPr>
      <w:rFonts w:hAnsi="宋体" w:eastAsia="宋体"/>
      <w:b/>
      <w:kern w:val="2"/>
      <w:sz w:val="32"/>
      <w:szCs w:val="32"/>
      <w:lang w:val="en-US" w:eastAsia="zh-CN" w:bidi="ar-SA"/>
    </w:rPr>
  </w:style>
  <w:style w:type="paragraph" w:customStyle="1" w:styleId="65">
    <w:name w:val="封面“EPC联合体”西文文字"/>
    <w:basedOn w:val="66"/>
    <w:link w:val="64"/>
    <w:semiHidden/>
    <w:qFormat/>
    <w:uiPriority w:val="0"/>
    <w:rPr>
      <w:rFonts w:hAnsi="Times New Roman"/>
    </w:rPr>
  </w:style>
  <w:style w:type="paragraph" w:customStyle="1" w:styleId="66">
    <w:name w:val="封面“EPC联合体”中文文字"/>
    <w:basedOn w:val="53"/>
    <w:link w:val="67"/>
    <w:semiHidden/>
    <w:qFormat/>
    <w:uiPriority w:val="0"/>
    <w:pPr>
      <w:ind w:firstLine="0" w:firstLineChars="0"/>
      <w:jc w:val="center"/>
    </w:pPr>
    <w:rPr>
      <w:rFonts w:hAnsi="宋体"/>
      <w:b/>
      <w:sz w:val="32"/>
      <w:szCs w:val="32"/>
    </w:rPr>
  </w:style>
  <w:style w:type="character" w:customStyle="1" w:styleId="67">
    <w:name w:val="封面“EPC联合体”中文文字 Char Char"/>
    <w:link w:val="66"/>
    <w:qFormat/>
    <w:uiPriority w:val="0"/>
    <w:rPr>
      <w:rFonts w:hAnsi="宋体" w:eastAsia="宋体"/>
      <w:b/>
      <w:kern w:val="2"/>
      <w:sz w:val="32"/>
      <w:szCs w:val="32"/>
      <w:lang w:val="en-US" w:eastAsia="zh-CN" w:bidi="ar-SA"/>
    </w:rPr>
  </w:style>
  <w:style w:type="character" w:customStyle="1" w:styleId="68">
    <w:name w:val="样式 Arial"/>
    <w:qFormat/>
    <w:uiPriority w:val="0"/>
    <w:rPr>
      <w:rFonts w:hint="default" w:ascii="Times New Roman" w:hAnsi="Times New Roman" w:eastAsia="宋体" w:cs="Times New Roman"/>
      <w:sz w:val="21"/>
      <w:szCs w:val="21"/>
    </w:rPr>
  </w:style>
  <w:style w:type="character" w:customStyle="1" w:styleId="69">
    <w:name w:val="正文文本缩进 Char"/>
    <w:link w:val="70"/>
    <w:qFormat/>
    <w:uiPriority w:val="0"/>
    <w:rPr>
      <w:rFonts w:ascii="宋体" w:hAnsi="宋体"/>
      <w:sz w:val="24"/>
      <w:szCs w:val="24"/>
    </w:rPr>
  </w:style>
  <w:style w:type="paragraph" w:customStyle="1" w:styleId="70">
    <w:name w:val="正文文本缩进1"/>
    <w:basedOn w:val="1"/>
    <w:link w:val="69"/>
    <w:qFormat/>
    <w:uiPriority w:val="0"/>
    <w:pPr>
      <w:spacing w:line="300" w:lineRule="auto"/>
      <w:ind w:firstLine="480"/>
    </w:pPr>
    <w:rPr>
      <w:rFonts w:ascii="宋体" w:hAnsi="宋体"/>
      <w:kern w:val="0"/>
      <w:sz w:val="24"/>
    </w:rPr>
  </w:style>
  <w:style w:type="paragraph" w:customStyle="1" w:styleId="71">
    <w:name w:val="参考文献、索引标题"/>
    <w:basedOn w:val="1"/>
    <w:next w:val="1"/>
    <w:qFormat/>
    <w:uiPriority w:val="0"/>
    <w:pPr>
      <w:widowControl/>
      <w:shd w:val="clear" w:color="FFFFFF" w:fill="FFFFFF"/>
      <w:spacing w:before="640" w:after="200"/>
      <w:jc w:val="center"/>
      <w:outlineLvl w:val="0"/>
    </w:pPr>
    <w:rPr>
      <w:rFonts w:ascii="黑体" w:eastAsia="黑体"/>
      <w:b/>
      <w:kern w:val="0"/>
      <w:szCs w:val="20"/>
    </w:rPr>
  </w:style>
  <w:style w:type="paragraph" w:customStyle="1" w:styleId="72">
    <w:name w:val="目录 51"/>
    <w:basedOn w:val="1"/>
    <w:next w:val="1"/>
    <w:semiHidden/>
    <w:qFormat/>
    <w:uiPriority w:val="0"/>
    <w:pPr>
      <w:ind w:left="840"/>
      <w:jc w:val="left"/>
    </w:pPr>
    <w:rPr>
      <w:sz w:val="18"/>
      <w:szCs w:val="18"/>
    </w:rPr>
  </w:style>
  <w:style w:type="paragraph" w:customStyle="1" w:styleId="73">
    <w:name w:val="1级列项"/>
    <w:basedOn w:val="53"/>
    <w:qFormat/>
    <w:uiPriority w:val="0"/>
    <w:pPr>
      <w:numPr>
        <w:ilvl w:val="0"/>
        <w:numId w:val="2"/>
      </w:numPr>
      <w:ind w:firstLine="0" w:firstLineChars="0"/>
    </w:pPr>
  </w:style>
  <w:style w:type="paragraph" w:customStyle="1" w:styleId="74">
    <w:name w:val="四级无标题条"/>
    <w:basedOn w:val="1"/>
    <w:qFormat/>
    <w:uiPriority w:val="0"/>
    <w:pPr>
      <w:numPr>
        <w:ilvl w:val="5"/>
        <w:numId w:val="3"/>
      </w:numPr>
    </w:pPr>
    <w:rPr>
      <w:rFonts w:eastAsia="黑体"/>
      <w:b/>
      <w:szCs w:val="20"/>
    </w:rPr>
  </w:style>
  <w:style w:type="paragraph" w:customStyle="1" w:styleId="75">
    <w:name w:val="样式 首行缩进:  0 厘米 行距: 单倍行距 Char"/>
    <w:basedOn w:val="1"/>
    <w:qFormat/>
    <w:uiPriority w:val="0"/>
    <w:pPr>
      <w:ind w:firstLine="200" w:firstLineChars="200"/>
    </w:pPr>
    <w:rPr>
      <w:sz w:val="24"/>
      <w:szCs w:val="21"/>
    </w:rPr>
  </w:style>
  <w:style w:type="paragraph" w:customStyle="1" w:styleId="76">
    <w:name w:val="样式 正文缩进正文（首行缩进两字）四号特点标题4表正文正文非缩进缩进ALT+Z段1正文不缩进特点 Char..."/>
    <w:basedOn w:val="13"/>
    <w:qFormat/>
    <w:uiPriority w:val="0"/>
    <w:pPr>
      <w:spacing w:line="360" w:lineRule="auto"/>
      <w:ind w:firstLine="480" w:firstLineChars="200"/>
    </w:pPr>
    <w:rPr>
      <w:rFonts w:ascii="宋体" w:hAnsi="宋体"/>
    </w:rPr>
  </w:style>
  <w:style w:type="paragraph" w:customStyle="1" w:styleId="77">
    <w:name w:val="二级条标题"/>
    <w:basedOn w:val="78"/>
    <w:next w:val="80"/>
    <w:qFormat/>
    <w:uiPriority w:val="0"/>
    <w:pPr>
      <w:numPr>
        <w:ilvl w:val="3"/>
      </w:numPr>
      <w:tabs>
        <w:tab w:val="left" w:pos="360"/>
        <w:tab w:val="left" w:pos="420"/>
        <w:tab w:val="left" w:pos="525"/>
        <w:tab w:val="left" w:pos="1245"/>
      </w:tabs>
      <w:ind w:left="525"/>
      <w:outlineLvl w:val="3"/>
    </w:pPr>
  </w:style>
  <w:style w:type="paragraph" w:customStyle="1" w:styleId="78">
    <w:name w:val="一级条标题"/>
    <w:basedOn w:val="79"/>
    <w:next w:val="80"/>
    <w:qFormat/>
    <w:uiPriority w:val="0"/>
    <w:pPr>
      <w:numPr>
        <w:ilvl w:val="2"/>
      </w:numPr>
      <w:tabs>
        <w:tab w:val="left" w:pos="360"/>
        <w:tab w:val="left" w:pos="420"/>
        <w:tab w:val="left" w:pos="525"/>
      </w:tabs>
      <w:spacing w:before="0" w:beforeLines="0" w:after="0" w:afterLines="0"/>
      <w:outlineLvl w:val="2"/>
    </w:pPr>
  </w:style>
  <w:style w:type="paragraph" w:customStyle="1" w:styleId="79">
    <w:name w:val="章标题"/>
    <w:next w:val="80"/>
    <w:qFormat/>
    <w:uiPriority w:val="0"/>
    <w:pPr>
      <w:numPr>
        <w:ilvl w:val="1"/>
        <w:numId w:val="4"/>
      </w:numPr>
      <w:tabs>
        <w:tab w:val="left" w:pos="420"/>
      </w:tabs>
      <w:spacing w:before="50" w:beforeLines="50" w:after="50" w:afterLines="50"/>
      <w:jc w:val="both"/>
      <w:outlineLvl w:val="1"/>
    </w:pPr>
    <w:rPr>
      <w:rFonts w:ascii="黑体" w:hAnsi="Times New Roman" w:eastAsia="黑体" w:cs="Times New Roman"/>
      <w:b/>
      <w:sz w:val="21"/>
      <w:lang w:val="en-US" w:eastAsia="zh-CN" w:bidi="ar-SA"/>
    </w:rPr>
  </w:style>
  <w:style w:type="paragraph" w:customStyle="1" w:styleId="80">
    <w:name w:val="段"/>
    <w:qFormat/>
    <w:uiPriority w:val="0"/>
    <w:pPr>
      <w:ind w:firstLine="200" w:firstLineChars="200"/>
      <w:jc w:val="both"/>
    </w:pPr>
    <w:rPr>
      <w:rFonts w:ascii="宋体" w:hAnsi="Times New Roman" w:eastAsia="宋体" w:cs="Times New Roman"/>
      <w:sz w:val="21"/>
      <w:lang w:val="en-US" w:eastAsia="zh-CN" w:bidi="ar-SA"/>
    </w:rPr>
  </w:style>
  <w:style w:type="paragraph" w:customStyle="1" w:styleId="81">
    <w:name w:val="目录 41"/>
    <w:basedOn w:val="1"/>
    <w:next w:val="1"/>
    <w:semiHidden/>
    <w:qFormat/>
    <w:uiPriority w:val="0"/>
    <w:pPr>
      <w:ind w:left="630"/>
      <w:jc w:val="left"/>
    </w:pPr>
    <w:rPr>
      <w:sz w:val="18"/>
      <w:szCs w:val="18"/>
    </w:rPr>
  </w:style>
  <w:style w:type="paragraph" w:customStyle="1" w:styleId="82">
    <w:name w:val="版本记录标题文字"/>
    <w:basedOn w:val="1"/>
    <w:semiHidden/>
    <w:qFormat/>
    <w:uiPriority w:val="0"/>
    <w:pPr>
      <w:spacing w:line="480" w:lineRule="exact"/>
    </w:pPr>
    <w:rPr>
      <w:sz w:val="24"/>
    </w:rPr>
  </w:style>
  <w:style w:type="paragraph" w:customStyle="1" w:styleId="83">
    <w:name w:val="目录 31"/>
    <w:basedOn w:val="1"/>
    <w:next w:val="1"/>
    <w:qFormat/>
    <w:uiPriority w:val="39"/>
    <w:pPr>
      <w:ind w:left="420"/>
      <w:jc w:val="left"/>
    </w:pPr>
    <w:rPr>
      <w:i/>
      <w:iCs/>
      <w:sz w:val="20"/>
      <w:szCs w:val="20"/>
    </w:rPr>
  </w:style>
  <w:style w:type="paragraph" w:customStyle="1" w:styleId="84">
    <w:name w:val="_Style 83"/>
    <w:semiHidden/>
    <w:qFormat/>
    <w:uiPriority w:val="99"/>
    <w:rPr>
      <w:rFonts w:ascii="Times New Roman" w:hAnsi="Times New Roman" w:eastAsia="宋体" w:cs="Times New Roman"/>
      <w:kern w:val="2"/>
      <w:sz w:val="21"/>
      <w:szCs w:val="24"/>
      <w:lang w:val="en-US" w:eastAsia="zh-CN" w:bidi="ar-SA"/>
    </w:rPr>
  </w:style>
  <w:style w:type="paragraph" w:customStyle="1" w:styleId="85">
    <w:name w:val="三级无标题条"/>
    <w:basedOn w:val="1"/>
    <w:qFormat/>
    <w:uiPriority w:val="0"/>
    <w:pPr>
      <w:numPr>
        <w:ilvl w:val="4"/>
        <w:numId w:val="3"/>
      </w:numPr>
    </w:pPr>
    <w:rPr>
      <w:b/>
      <w:szCs w:val="20"/>
    </w:rPr>
  </w:style>
  <w:style w:type="paragraph" w:customStyle="1" w:styleId="86">
    <w:name w:val="样式 标题 1 + 首行缩进:  2 字符 段前: 1 行 段后: 1 行"/>
    <w:basedOn w:val="4"/>
    <w:qFormat/>
    <w:uiPriority w:val="0"/>
    <w:pPr>
      <w:widowControl w:val="0"/>
      <w:topLinePunct/>
      <w:snapToGrid w:val="0"/>
      <w:spacing w:before="0" w:beforeLines="100" w:after="0" w:afterLines="100" w:line="240" w:lineRule="auto"/>
      <w:ind w:left="0" w:firstLine="0"/>
      <w:jc w:val="left"/>
    </w:pPr>
    <w:rPr>
      <w:rFonts w:cs="华文新魏"/>
      <w:b w:val="0"/>
      <w:bCs w:val="0"/>
      <w:kern w:val="0"/>
      <w:szCs w:val="20"/>
    </w:rPr>
  </w:style>
  <w:style w:type="paragraph" w:customStyle="1" w:styleId="87">
    <w:name w:val="五级条标题"/>
    <w:basedOn w:val="88"/>
    <w:next w:val="80"/>
    <w:qFormat/>
    <w:uiPriority w:val="0"/>
    <w:pPr>
      <w:numPr>
        <w:ilvl w:val="6"/>
      </w:numPr>
      <w:tabs>
        <w:tab w:val="left" w:pos="360"/>
        <w:tab w:val="left" w:pos="420"/>
        <w:tab w:val="left" w:pos="525"/>
        <w:tab w:val="left" w:pos="945"/>
        <w:tab w:val="left" w:pos="1155"/>
        <w:tab w:val="left" w:pos="1245"/>
        <w:tab w:val="left" w:pos="1407"/>
      </w:tabs>
      <w:outlineLvl w:val="6"/>
    </w:pPr>
  </w:style>
  <w:style w:type="paragraph" w:customStyle="1" w:styleId="88">
    <w:name w:val="四级条标题"/>
    <w:basedOn w:val="89"/>
    <w:next w:val="80"/>
    <w:qFormat/>
    <w:uiPriority w:val="0"/>
    <w:pPr>
      <w:numPr>
        <w:ilvl w:val="5"/>
      </w:numPr>
      <w:tabs>
        <w:tab w:val="left" w:pos="360"/>
        <w:tab w:val="left" w:pos="420"/>
        <w:tab w:val="left" w:pos="525"/>
        <w:tab w:val="left" w:pos="945"/>
        <w:tab w:val="left" w:pos="1155"/>
        <w:tab w:val="left" w:pos="1245"/>
      </w:tabs>
      <w:outlineLvl w:val="5"/>
    </w:pPr>
  </w:style>
  <w:style w:type="paragraph" w:customStyle="1" w:styleId="89">
    <w:name w:val="三级条标题"/>
    <w:basedOn w:val="77"/>
    <w:next w:val="80"/>
    <w:qFormat/>
    <w:uiPriority w:val="0"/>
    <w:pPr>
      <w:numPr>
        <w:ilvl w:val="4"/>
      </w:numPr>
      <w:tabs>
        <w:tab w:val="left" w:pos="945"/>
      </w:tabs>
      <w:outlineLvl w:val="4"/>
    </w:pPr>
  </w:style>
  <w:style w:type="paragraph" w:customStyle="1" w:styleId="90">
    <w:name w:val="项目符号"/>
    <w:basedOn w:val="1"/>
    <w:qFormat/>
    <w:uiPriority w:val="0"/>
    <w:pPr>
      <w:numPr>
        <w:ilvl w:val="0"/>
        <w:numId w:val="5"/>
      </w:numPr>
      <w:spacing w:line="480" w:lineRule="exact"/>
    </w:pPr>
    <w:rPr>
      <w:sz w:val="24"/>
    </w:rPr>
  </w:style>
  <w:style w:type="paragraph" w:customStyle="1" w:styleId="91">
    <w:name w:val="正文表标题"/>
    <w:next w:val="80"/>
    <w:qFormat/>
    <w:uiPriority w:val="0"/>
    <w:pPr>
      <w:widowControl w:val="0"/>
      <w:tabs>
        <w:tab w:val="left" w:pos="420"/>
      </w:tabs>
      <w:spacing w:before="120" w:beforeLines="50" w:after="120" w:afterLines="50"/>
      <w:jc w:val="center"/>
    </w:pPr>
    <w:rPr>
      <w:rFonts w:ascii="黑体" w:hAnsi="Times New Roman" w:eastAsia="黑体" w:cs="Times New Roman"/>
      <w:b/>
      <w:bCs/>
      <w:kern w:val="2"/>
      <w:sz w:val="21"/>
      <w:szCs w:val="21"/>
      <w:lang w:val="en-US" w:eastAsia="zh-CN" w:bidi="ar-SA"/>
    </w:rPr>
  </w:style>
  <w:style w:type="paragraph" w:customStyle="1" w:styleId="92">
    <w:name w:val="样式 Arial 首行缩进:  2 字符"/>
    <w:basedOn w:val="1"/>
    <w:qFormat/>
    <w:uiPriority w:val="0"/>
    <w:pPr>
      <w:ind w:firstLine="403" w:firstLineChars="200"/>
    </w:pPr>
    <w:rPr>
      <w:rFonts w:cs="华文新魏"/>
      <w:sz w:val="24"/>
      <w:szCs w:val="21"/>
    </w:rPr>
  </w:style>
  <w:style w:type="paragraph" w:customStyle="1" w:styleId="93">
    <w:name w:val="默认段落字体 Para Char Char Char Char Char Char1 Char"/>
    <w:basedOn w:val="1"/>
    <w:qFormat/>
    <w:uiPriority w:val="0"/>
    <w:pPr>
      <w:spacing w:line="360" w:lineRule="auto"/>
    </w:pPr>
    <w:rPr>
      <w:rFonts w:ascii="Tahoma" w:hAnsi="Tahoma"/>
      <w:sz w:val="28"/>
      <w:szCs w:val="20"/>
    </w:rPr>
  </w:style>
  <w:style w:type="paragraph" w:customStyle="1" w:styleId="94">
    <w:name w:val="“目录”"/>
    <w:basedOn w:val="53"/>
    <w:semiHidden/>
    <w:qFormat/>
    <w:uiPriority w:val="0"/>
    <w:pPr>
      <w:ind w:firstLine="0" w:firstLineChars="0"/>
      <w:jc w:val="center"/>
    </w:pPr>
    <w:rPr>
      <w:b/>
      <w:sz w:val="44"/>
    </w:rPr>
  </w:style>
  <w:style w:type="paragraph" w:customStyle="1" w:styleId="95">
    <w:name w:val="Char1"/>
    <w:basedOn w:val="1"/>
    <w:semiHidden/>
    <w:qFormat/>
    <w:uiPriority w:val="0"/>
  </w:style>
  <w:style w:type="paragraph" w:customStyle="1" w:styleId="96">
    <w:name w:val="表格文字样式"/>
    <w:basedOn w:val="53"/>
    <w:qFormat/>
    <w:uiPriority w:val="0"/>
    <w:pPr>
      <w:ind w:firstLine="0" w:firstLineChars="0"/>
    </w:pPr>
    <w:rPr>
      <w:sz w:val="21"/>
      <w:szCs w:val="21"/>
    </w:rPr>
  </w:style>
  <w:style w:type="paragraph" w:customStyle="1" w:styleId="97">
    <w:name w:val="一级无标题条"/>
    <w:basedOn w:val="1"/>
    <w:qFormat/>
    <w:uiPriority w:val="0"/>
    <w:pPr>
      <w:numPr>
        <w:ilvl w:val="2"/>
        <w:numId w:val="3"/>
      </w:numPr>
      <w:tabs>
        <w:tab w:val="left" w:pos="420"/>
      </w:tabs>
    </w:pPr>
    <w:rPr>
      <w:b/>
      <w:szCs w:val="20"/>
    </w:rPr>
  </w:style>
  <w:style w:type="paragraph" w:customStyle="1" w:styleId="98">
    <w:name w:val="目录 21"/>
    <w:basedOn w:val="1"/>
    <w:next w:val="1"/>
    <w:qFormat/>
    <w:uiPriority w:val="39"/>
    <w:pPr>
      <w:ind w:left="210"/>
      <w:jc w:val="left"/>
    </w:pPr>
    <w:rPr>
      <w:smallCaps/>
      <w:sz w:val="20"/>
      <w:szCs w:val="20"/>
    </w:rPr>
  </w:style>
  <w:style w:type="paragraph" w:customStyle="1" w:styleId="99">
    <w:name w:val="样式 样式 标题 2 + 段前: 0.5 行 段后: 0.5 行 + 首行缩进:  2 字符 段前: 0.5 行 段后: 0..."/>
    <w:basedOn w:val="1"/>
    <w:qFormat/>
    <w:uiPriority w:val="0"/>
    <w:pPr>
      <w:keepNext/>
      <w:keepLines/>
      <w:spacing w:beforeLines="50" w:afterLines="50"/>
      <w:ind w:firstLine="200" w:firstLineChars="200"/>
      <w:jc w:val="left"/>
      <w:outlineLvl w:val="1"/>
    </w:pPr>
    <w:rPr>
      <w:rFonts w:eastAsia="黑体" w:cs="华文新魏"/>
      <w:sz w:val="24"/>
    </w:rPr>
  </w:style>
  <w:style w:type="paragraph" w:customStyle="1" w:styleId="100">
    <w:name w:val="封面一级标题文字"/>
    <w:basedOn w:val="53"/>
    <w:semiHidden/>
    <w:qFormat/>
    <w:uiPriority w:val="0"/>
    <w:pPr>
      <w:spacing w:line="640" w:lineRule="exact"/>
      <w:ind w:firstLine="0" w:firstLineChars="0"/>
      <w:jc w:val="center"/>
    </w:pPr>
    <w:rPr>
      <w:rFonts w:ascii="黑体" w:hAnsi="黑体" w:eastAsia="黑体"/>
      <w:b/>
      <w:bCs/>
      <w:sz w:val="52"/>
    </w:rPr>
  </w:style>
  <w:style w:type="paragraph" w:customStyle="1" w:styleId="101">
    <w:name w:val="样式 首行缩进:  1.71 字符"/>
    <w:basedOn w:val="1"/>
    <w:qFormat/>
    <w:uiPriority w:val="0"/>
    <w:pPr>
      <w:spacing w:line="360" w:lineRule="auto"/>
      <w:ind w:firstLine="200" w:firstLineChars="200"/>
    </w:pPr>
    <w:rPr>
      <w:rFonts w:cs="宋体"/>
      <w:sz w:val="24"/>
    </w:rPr>
  </w:style>
  <w:style w:type="paragraph" w:customStyle="1" w:styleId="102">
    <w:name w:val="Char"/>
    <w:basedOn w:val="1"/>
    <w:qFormat/>
    <w:uiPriority w:val="0"/>
    <w:pPr>
      <w:spacing w:line="240" w:lineRule="atLeast"/>
      <w:ind w:left="420" w:firstLine="420"/>
    </w:pPr>
    <w:rPr>
      <w:kern w:val="0"/>
      <w:szCs w:val="21"/>
    </w:rPr>
  </w:style>
  <w:style w:type="paragraph" w:customStyle="1" w:styleId="103">
    <w:name w:val="五级无标题条"/>
    <w:basedOn w:val="1"/>
    <w:qFormat/>
    <w:uiPriority w:val="0"/>
    <w:pPr>
      <w:numPr>
        <w:ilvl w:val="6"/>
        <w:numId w:val="3"/>
      </w:numPr>
    </w:pPr>
    <w:rPr>
      <w:rFonts w:ascii="黑体" w:eastAsia="黑体"/>
      <w:b/>
      <w:szCs w:val="20"/>
    </w:rPr>
  </w:style>
  <w:style w:type="paragraph" w:customStyle="1" w:styleId="104">
    <w:name w:val="弱电正文"/>
    <w:basedOn w:val="1"/>
    <w:qFormat/>
    <w:uiPriority w:val="0"/>
    <w:pPr>
      <w:spacing w:line="360" w:lineRule="auto"/>
      <w:ind w:firstLine="200" w:firstLineChars="200"/>
    </w:pPr>
    <w:rPr>
      <w:sz w:val="24"/>
    </w:rPr>
  </w:style>
  <w:style w:type="paragraph" w:customStyle="1" w:styleId="105">
    <w:name w:val="列出段落1"/>
    <w:basedOn w:val="1"/>
    <w:qFormat/>
    <w:uiPriority w:val="34"/>
    <w:pPr>
      <w:widowControl/>
      <w:spacing w:line="360" w:lineRule="auto"/>
      <w:ind w:firstLine="420" w:firstLineChars="200"/>
    </w:pPr>
    <w:rPr>
      <w:rFonts w:ascii="Calibri" w:hAnsi="Calibri"/>
      <w:kern w:val="0"/>
      <w:sz w:val="24"/>
    </w:rPr>
  </w:style>
  <w:style w:type="paragraph" w:customStyle="1" w:styleId="106">
    <w:name w:val="目录 81"/>
    <w:basedOn w:val="1"/>
    <w:next w:val="1"/>
    <w:semiHidden/>
    <w:qFormat/>
    <w:uiPriority w:val="0"/>
    <w:pPr>
      <w:ind w:left="1470"/>
      <w:jc w:val="left"/>
    </w:pPr>
    <w:rPr>
      <w:sz w:val="18"/>
      <w:szCs w:val="18"/>
    </w:rPr>
  </w:style>
  <w:style w:type="paragraph" w:customStyle="1" w:styleId="107">
    <w:name w:val="默认段落字体 Para Char Char Char Char"/>
    <w:basedOn w:val="1"/>
    <w:qFormat/>
    <w:uiPriority w:val="0"/>
    <w:pPr>
      <w:ind w:firstLine="200" w:firstLineChars="200"/>
    </w:pPr>
    <w:rPr>
      <w:sz w:val="24"/>
    </w:rPr>
  </w:style>
  <w:style w:type="paragraph" w:customStyle="1" w:styleId="108">
    <w:name w:val="默认段落字体 Para Char Char Char1 Char"/>
    <w:basedOn w:val="1"/>
    <w:qFormat/>
    <w:uiPriority w:val="0"/>
    <w:pPr>
      <w:ind w:firstLine="200" w:firstLineChars="200"/>
    </w:pPr>
    <w:rPr>
      <w:sz w:val="24"/>
    </w:rPr>
  </w:style>
  <w:style w:type="paragraph" w:customStyle="1" w:styleId="109">
    <w:name w:val="目录 71"/>
    <w:basedOn w:val="1"/>
    <w:next w:val="1"/>
    <w:semiHidden/>
    <w:qFormat/>
    <w:uiPriority w:val="0"/>
    <w:pPr>
      <w:ind w:left="1260"/>
      <w:jc w:val="left"/>
    </w:pPr>
    <w:rPr>
      <w:sz w:val="18"/>
      <w:szCs w:val="18"/>
    </w:rPr>
  </w:style>
  <w:style w:type="paragraph" w:customStyle="1" w:styleId="110">
    <w:name w:val="2级列项"/>
    <w:basedOn w:val="73"/>
    <w:qFormat/>
    <w:uiPriority w:val="0"/>
    <w:pPr>
      <w:numPr>
        <w:ilvl w:val="1"/>
      </w:numPr>
    </w:pPr>
  </w:style>
  <w:style w:type="paragraph" w:customStyle="1" w:styleId="111">
    <w:name w:val="_Style 88"/>
    <w:basedOn w:val="1"/>
    <w:next w:val="112"/>
    <w:qFormat/>
    <w:uiPriority w:val="99"/>
    <w:pPr>
      <w:ind w:firstLine="420" w:firstLineChars="200"/>
    </w:pPr>
    <w:rPr>
      <w:rFonts w:ascii="Calibri" w:hAnsi="Calibri"/>
      <w:sz w:val="28"/>
      <w:szCs w:val="28"/>
    </w:rPr>
  </w:style>
  <w:style w:type="paragraph" w:styleId="112">
    <w:name w:val="List Paragraph"/>
    <w:basedOn w:val="1"/>
    <w:qFormat/>
    <w:uiPriority w:val="34"/>
    <w:pPr>
      <w:ind w:firstLine="420" w:firstLineChars="200"/>
    </w:pPr>
  </w:style>
  <w:style w:type="paragraph" w:customStyle="1" w:styleId="113">
    <w:name w:val="正文文本缩进11"/>
    <w:basedOn w:val="1"/>
    <w:qFormat/>
    <w:uiPriority w:val="0"/>
    <w:pPr>
      <w:spacing w:line="300" w:lineRule="auto"/>
      <w:ind w:firstLine="480"/>
    </w:pPr>
    <w:rPr>
      <w:rFonts w:ascii="宋体" w:hAnsi="宋体"/>
      <w:kern w:val="0"/>
      <w:sz w:val="24"/>
    </w:rPr>
  </w:style>
  <w:style w:type="paragraph" w:customStyle="1" w:styleId="114">
    <w:name w:val="目录 91"/>
    <w:basedOn w:val="1"/>
    <w:next w:val="1"/>
    <w:semiHidden/>
    <w:qFormat/>
    <w:uiPriority w:val="0"/>
    <w:pPr>
      <w:ind w:left="1680"/>
      <w:jc w:val="left"/>
    </w:pPr>
    <w:rPr>
      <w:sz w:val="18"/>
      <w:szCs w:val="18"/>
    </w:rPr>
  </w:style>
  <w:style w:type="paragraph" w:customStyle="1" w:styleId="115">
    <w:name w:val="版本记录表格内文字"/>
    <w:basedOn w:val="1"/>
    <w:semiHidden/>
    <w:qFormat/>
    <w:uiPriority w:val="0"/>
    <w:pPr>
      <w:spacing w:line="360" w:lineRule="auto"/>
      <w:jc w:val="center"/>
    </w:pPr>
    <w:rPr>
      <w:sz w:val="24"/>
    </w:rPr>
  </w:style>
  <w:style w:type="paragraph" w:customStyle="1" w:styleId="116">
    <w:name w:val="二级无标题条"/>
    <w:basedOn w:val="1"/>
    <w:qFormat/>
    <w:uiPriority w:val="0"/>
    <w:pPr>
      <w:numPr>
        <w:ilvl w:val="3"/>
        <w:numId w:val="3"/>
      </w:numPr>
    </w:pPr>
    <w:rPr>
      <w:b/>
      <w:szCs w:val="20"/>
    </w:rPr>
  </w:style>
  <w:style w:type="paragraph" w:customStyle="1" w:styleId="117">
    <w:name w:val="_Style 5"/>
    <w:basedOn w:val="1"/>
    <w:qFormat/>
    <w:uiPriority w:val="0"/>
    <w:pPr>
      <w:adjustRightInd w:val="0"/>
      <w:snapToGrid w:val="0"/>
      <w:spacing w:before="120" w:after="120" w:line="360" w:lineRule="auto"/>
      <w:ind w:left="578" w:firstLine="420" w:firstLineChars="200"/>
    </w:pPr>
    <w:rPr>
      <w:lang w:eastAsia="zh-TW"/>
    </w:rPr>
  </w:style>
  <w:style w:type="paragraph" w:customStyle="1" w:styleId="118">
    <w:name w:val="bodycopy"/>
    <w:basedOn w:val="1"/>
    <w:qFormat/>
    <w:uiPriority w:val="0"/>
    <w:pPr>
      <w:widowControl/>
      <w:spacing w:before="100" w:beforeAutospacing="1" w:after="100" w:afterAutospacing="1" w:line="210" w:lineRule="atLeast"/>
      <w:jc w:val="left"/>
    </w:pPr>
    <w:rPr>
      <w:rFonts w:ascii="Arial" w:hAnsi="Arial" w:cs="Arial"/>
      <w:color w:val="000000"/>
      <w:kern w:val="0"/>
      <w:sz w:val="18"/>
      <w:szCs w:val="18"/>
    </w:rPr>
  </w:style>
  <w:style w:type="paragraph" w:customStyle="1" w:styleId="119">
    <w:name w:val="封面二级标题文字"/>
    <w:basedOn w:val="53"/>
    <w:semiHidden/>
    <w:qFormat/>
    <w:uiPriority w:val="0"/>
    <w:pPr>
      <w:ind w:firstLine="0" w:firstLineChars="0"/>
      <w:jc w:val="center"/>
    </w:pPr>
    <w:rPr>
      <w:rFonts w:ascii="黑体" w:eastAsia="黑体"/>
      <w:b/>
      <w:sz w:val="44"/>
      <w:szCs w:val="44"/>
    </w:rPr>
  </w:style>
  <w:style w:type="paragraph" w:customStyle="1" w:styleId="120">
    <w:name w:val="目录 61"/>
    <w:basedOn w:val="1"/>
    <w:next w:val="1"/>
    <w:semiHidden/>
    <w:qFormat/>
    <w:uiPriority w:val="0"/>
    <w:pPr>
      <w:ind w:left="1050"/>
      <w:jc w:val="left"/>
    </w:pPr>
    <w:rPr>
      <w:sz w:val="18"/>
      <w:szCs w:val="18"/>
    </w:rPr>
  </w:style>
  <w:style w:type="paragraph" w:customStyle="1" w:styleId="121">
    <w:name w:val="封面文档编号"/>
    <w:basedOn w:val="53"/>
    <w:semiHidden/>
    <w:qFormat/>
    <w:uiPriority w:val="0"/>
    <w:pPr>
      <w:spacing w:line="640" w:lineRule="exact"/>
      <w:ind w:firstLine="0" w:firstLineChars="0"/>
      <w:jc w:val="center"/>
    </w:pPr>
    <w:rPr>
      <w:rFonts w:ascii="黑体" w:eastAsia="黑体"/>
      <w:b/>
      <w:sz w:val="32"/>
      <w:szCs w:val="32"/>
    </w:rPr>
  </w:style>
  <w:style w:type="paragraph" w:customStyle="1" w:styleId="122">
    <w:name w:val="签名页文字"/>
    <w:basedOn w:val="53"/>
    <w:semiHidden/>
    <w:qFormat/>
    <w:uiPriority w:val="0"/>
    <w:pPr>
      <w:spacing w:line="600" w:lineRule="exact"/>
      <w:ind w:left="1100" w:leftChars="1100" w:firstLine="0" w:firstLineChars="0"/>
    </w:pPr>
    <w:rPr>
      <w:sz w:val="32"/>
      <w:szCs w:val="32"/>
    </w:rPr>
  </w:style>
  <w:style w:type="paragraph" w:customStyle="1" w:styleId="123">
    <w:name w:val="图名/表名/表头样式"/>
    <w:basedOn w:val="53"/>
    <w:qFormat/>
    <w:uiPriority w:val="0"/>
    <w:pPr>
      <w:ind w:firstLine="0" w:firstLineChars="0"/>
      <w:jc w:val="center"/>
    </w:pPr>
    <w:rPr>
      <w:b/>
      <w:sz w:val="21"/>
      <w:szCs w:val="21"/>
    </w:rPr>
  </w:style>
  <w:style w:type="paragraph" w:customStyle="1" w:styleId="124">
    <w:name w:val="封面日期地点文字"/>
    <w:basedOn w:val="53"/>
    <w:semiHidden/>
    <w:qFormat/>
    <w:uiPriority w:val="0"/>
    <w:pPr>
      <w:spacing w:line="360" w:lineRule="exact"/>
      <w:ind w:firstLine="0" w:firstLineChars="0"/>
      <w:jc w:val="center"/>
    </w:pPr>
    <w:rPr>
      <w:sz w:val="32"/>
      <w:szCs w:val="32"/>
    </w:rPr>
  </w:style>
  <w:style w:type="paragraph" w:customStyle="1" w:styleId="125">
    <w:name w:val="Table Paragraph"/>
    <w:basedOn w:val="1"/>
    <w:qFormat/>
    <w:uiPriority w:val="1"/>
    <w:rPr>
      <w:rFonts w:ascii="等线" w:hAnsi="等线" w:eastAsia="等线"/>
      <w:sz w:val="22"/>
      <w:szCs w:val="22"/>
      <w:lang w:eastAsia="en-US"/>
    </w:rPr>
  </w:style>
  <w:style w:type="paragraph" w:customStyle="1" w:styleId="126">
    <w:name w:val="Table Text"/>
    <w:basedOn w:val="1"/>
    <w:semiHidden/>
    <w:qFormat/>
    <w:uiPriority w:val="0"/>
    <w:rPr>
      <w:rFonts w:ascii="黑体" w:hAnsi="黑体" w:eastAsia="黑体" w:cs="黑体"/>
      <w:sz w:val="18"/>
      <w:szCs w:val="18"/>
      <w:lang w:eastAsia="en-US"/>
    </w:rPr>
  </w:style>
  <w:style w:type="table" w:customStyle="1" w:styleId="127">
    <w:name w:val="Table Normal"/>
    <w:unhideWhenUsed/>
    <w:qFormat/>
    <w:uiPriority w:val="0"/>
    <w:tblPr>
      <w:tblCellMar>
        <w:top w:w="0" w:type="dxa"/>
        <w:left w:w="0" w:type="dxa"/>
        <w:bottom w:w="0" w:type="dxa"/>
        <w:right w:w="0" w:type="dxa"/>
      </w:tblCellMar>
    </w:tblPr>
  </w:style>
  <w:style w:type="paragraph" w:customStyle="1" w:styleId="128">
    <w:name w:val="修订1"/>
    <w:hidden/>
    <w:unhideWhenUsed/>
    <w:qFormat/>
    <w:uiPriority w:val="99"/>
    <w:rPr>
      <w:rFonts w:ascii="Times New Roman" w:hAnsi="Times New Roman" w:eastAsia="宋体" w:cs="Times New Roman"/>
      <w:kern w:val="2"/>
      <w:sz w:val="21"/>
      <w:szCs w:val="24"/>
      <w:lang w:val="en-US" w:eastAsia="zh-CN" w:bidi="ar-SA"/>
    </w:rPr>
  </w:style>
  <w:style w:type="character" w:customStyle="1" w:styleId="129">
    <w:name w:val="font71"/>
    <w:basedOn w:val="34"/>
    <w:qFormat/>
    <w:uiPriority w:val="0"/>
    <w:rPr>
      <w:rFonts w:hint="eastAsia" w:ascii="宋体" w:hAnsi="宋体" w:eastAsia="宋体" w:cs="宋体"/>
      <w:color w:val="000000"/>
      <w:sz w:val="20"/>
      <w:szCs w:val="20"/>
      <w:u w:val="none"/>
    </w:rPr>
  </w:style>
  <w:style w:type="character" w:customStyle="1" w:styleId="130">
    <w:name w:val="font21"/>
    <w:basedOn w:val="34"/>
    <w:qFormat/>
    <w:uiPriority w:val="0"/>
    <w:rPr>
      <w:rFonts w:hint="eastAsia" w:ascii="黑体" w:hAnsi="宋体" w:eastAsia="黑体" w:cs="黑体"/>
      <w:color w:val="000000"/>
      <w:sz w:val="24"/>
      <w:szCs w:val="24"/>
      <w:u w:val="none"/>
    </w:rPr>
  </w:style>
  <w:style w:type="character" w:customStyle="1" w:styleId="131">
    <w:name w:val="font31"/>
    <w:basedOn w:val="34"/>
    <w:qFormat/>
    <w:uiPriority w:val="0"/>
    <w:rPr>
      <w:rFonts w:hint="eastAsia" w:ascii="黑体" w:hAnsi="宋体" w:eastAsia="黑体" w:cs="黑体"/>
      <w:color w:val="000000"/>
      <w:sz w:val="24"/>
      <w:szCs w:val="24"/>
      <w:u w:val="none"/>
    </w:rPr>
  </w:style>
  <w:style w:type="character" w:customStyle="1" w:styleId="132">
    <w:name w:val="font11"/>
    <w:basedOn w:val="34"/>
    <w:qFormat/>
    <w:uiPriority w:val="0"/>
    <w:rPr>
      <w:rFonts w:hint="eastAsia" w:ascii="宋体" w:hAnsi="宋体" w:eastAsia="宋体" w:cs="宋体"/>
      <w:color w:val="000000"/>
      <w:sz w:val="21"/>
      <w:szCs w:val="21"/>
      <w:u w:val="none"/>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gedi</Company>
  <Pages>16</Pages>
  <Words>11107</Words>
  <Characters>13288</Characters>
  <Lines>45</Lines>
  <Paragraphs>51</Paragraphs>
  <TotalTime>1</TotalTime>
  <ScaleCrop>false</ScaleCrop>
  <LinksUpToDate>false</LinksUpToDate>
  <CharactersWithSpaces>13500</CharactersWithSpaces>
  <Application>WPS Office_11.8.0.17015_F1E327BC-269C-435d-A152-05C5408002CA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2025-08-02T10:45:00Z</dcterms:created>
  <dc:creator>刘通</dc:creator>
  <cp:lastModifiedBy>EFFB94CBCDA24D8E86BCC5DB7F07EFD2</cp:lastModifiedBy>
  <cp:lastPrinted>2021-07-15T07:26:00Z</cp:lastPrinted>
  <dcterms:modified xsi:type="dcterms:W3CDTF">2025-11-05T01:24:14Z</dcterms:modified>
  <dc:title>海底电缆在线监测</dc:title>
  <cp:revision>80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状态">
    <vt:lpwstr>xxx</vt:lpwstr>
  </property>
  <property fmtid="{D5CDD505-2E9C-101B-9397-08002B2CF9AE}" pid="3" name="KSOProductBuildVer">
    <vt:lpwstr>2052-11.8.0.17015</vt:lpwstr>
  </property>
  <property fmtid="{D5CDD505-2E9C-101B-9397-08002B2CF9AE}" pid="4" name="ICV">
    <vt:lpwstr>69D6C018ABBEAE197755EC686A98D7E6_43</vt:lpwstr>
  </property>
  <property fmtid="{D5CDD505-2E9C-101B-9397-08002B2CF9AE}" pid="5" name="KSOTemplateDocerSaveRecord">
    <vt:lpwstr>eyJoZGlkIjoiZjFmZWIzNDg2MmIzZjExOTIzMmViNTBmYTMwYTk0ZWYiLCJ1c2VySWQiOiI0OTg1NTEyMjIifQ==</vt:lpwstr>
  </property>
</Properties>
</file>