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瑞恒保险经纪有限责任公司贵州分公司</w:t>
      </w:r>
    </w:p>
    <w:p>
      <w:pPr>
        <w:jc w:val="center"/>
        <w:rPr>
          <w:rFonts w:hint="default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kern w:val="0"/>
          <w:sz w:val="44"/>
          <w:szCs w:val="44"/>
          <w:lang w:val="en-US" w:eastAsia="zh-CN"/>
        </w:rPr>
        <w:t>2026年员工车辆停放服务采购方案</w:t>
      </w:r>
    </w:p>
    <w:p>
      <w:pPr>
        <w:rPr>
          <w:rFonts w:hint="eastAsia" w:ascii="仿宋_GB2312" w:hAnsi="仿宋_GB2312" w:eastAsia="仿宋_GB2312" w:cs="仿宋_GB2312"/>
          <w:sz w:val="24"/>
          <w:szCs w:val="24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default" w:ascii="黑体" w:hAnsi="黑体" w:eastAsia="黑体" w:cs="黑体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sz w:val="32"/>
          <w:szCs w:val="32"/>
        </w:rPr>
        <w:t>一、</w:t>
      </w:r>
      <w:r>
        <w:rPr>
          <w:rFonts w:hint="eastAsia" w:ascii="黑体" w:hAnsi="黑体" w:eastAsia="黑体" w:cs="黑体"/>
          <w:sz w:val="32"/>
          <w:szCs w:val="32"/>
          <w:lang w:val="en-US" w:eastAsia="zh-CN"/>
        </w:rPr>
        <w:t>基本情况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default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为确保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贵州分公司（贵州省贵阳市南明区都司高架桥路33号亨特国际金融中心办公室）员工车辆停放需求，提升员工停车便利性与安全性</w:t>
      </w:r>
      <w:r>
        <w:rPr>
          <w:rFonts w:hint="eastAsia" w:ascii="仿宋_GB2312" w:hAnsi="仿宋_GB2312" w:eastAsia="仿宋_GB2312" w:cs="仿宋_GB2312"/>
          <w:sz w:val="32"/>
          <w:szCs w:val="32"/>
        </w:rPr>
        <w:t>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优化相关管理，</w:t>
      </w:r>
      <w:r>
        <w:rPr>
          <w:rFonts w:hint="eastAsia" w:ascii="仿宋_GB2312" w:hAnsi="仿宋_GB2312" w:eastAsia="仿宋_GB2312" w:cs="仿宋_GB2312"/>
          <w:sz w:val="32"/>
          <w:szCs w:val="32"/>
        </w:rPr>
        <w:t>需要采购专业的员工车辆停放服务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。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采用车辆月停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模式，每季度初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根据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提供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车辆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信息及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金额</w:t>
      </w: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eastAsia="zh-CN"/>
        </w:rPr>
        <w:t>标准，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eastAsia="zh-CN"/>
        </w:rPr>
        <w:t>开具增值税电子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val="en-US" w:eastAsia="zh-CN"/>
        </w:rPr>
        <w:t>专用</w:t>
      </w:r>
      <w:r>
        <w:rPr>
          <w:rFonts w:hint="eastAsia" w:ascii="仿宋_GB2312" w:hAnsi="仿宋_GB2312" w:eastAsia="仿宋_GB2312" w:cs="仿宋_GB2312"/>
          <w:b w:val="0"/>
          <w:bCs w:val="0"/>
          <w:color w:val="auto"/>
          <w:kern w:val="0"/>
          <w:sz w:val="32"/>
          <w:szCs w:val="32"/>
          <w:lang w:eastAsia="zh-CN"/>
        </w:rPr>
        <w:t>发票，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按季支付后及时开通员工车辆停放服务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二、采购目标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为员工提供充足、安全、便捷的停车位，确保员工车辆有序停放。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配备完善的安保及监控设施，降低车辆被盗、受损风险，保障车辆财产安全。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建立高效的车辆出入管理机制，减少高峰时段拥堵，提升通行效率。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4</w:t>
      </w:r>
      <w:r>
        <w:rPr>
          <w:rFonts w:hint="eastAsia" w:ascii="仿宋_GB2312" w:hAnsi="仿宋_GB2312" w:eastAsia="仿宋_GB2312" w:cs="仿宋_GB2312"/>
          <w:sz w:val="32"/>
          <w:szCs w:val="32"/>
        </w:rPr>
        <w:t>. 在合理预算范围内达成合作，获取优质服务，实现成本效益最优。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三、采购内容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640" w:firstLineChars="200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为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贵州省贵阳市南明区都司高架桥路33号亨特国际金融中心办公室员工，提供2026年1-12月车辆停放服务。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场地需配备专业安保人员，24 小时轮岗巡逻，重点监控夜间及节假日车辆停放情况；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安装高清监控摄像头，覆盖整个停车区域，录像存储时长不少于 30 天，以便追溯车辆异常事件；</w:t>
      </w: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场地应具备清晰的交通标识、指示牌，引导车辆顺畅进出、停放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四、采购预算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员工车辆停放费用</w:t>
      </w:r>
      <w:r>
        <w:rPr>
          <w:rFonts w:hint="eastAsia" w:ascii="仿宋_GB2312" w:hAnsi="仿宋_GB2312" w:eastAsia="仿宋_GB2312" w:cs="仿宋_GB2312"/>
          <w:sz w:val="32"/>
          <w:szCs w:val="32"/>
        </w:rPr>
        <w:t>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2026年共计划费用</w:t>
      </w:r>
      <w:r>
        <w:rPr>
          <w:rFonts w:hint="eastAsia" w:ascii="仿宋_GB2312" w:hAnsi="仿宋_GB2312" w:eastAsia="仿宋_GB2312" w:cs="仿宋_GB2312"/>
          <w:sz w:val="32"/>
          <w:szCs w:val="32"/>
          <w:u w:val="single"/>
          <w:lang w:val="en-US" w:eastAsia="zh-CN"/>
        </w:rPr>
        <w:t>16800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元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停放时段为2026年1-12月，每季度初缴费一次，共四次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五、供应商选择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通过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南方电网公司供应链统一服务平台实施电子化采购。必要时采取</w:t>
      </w:r>
      <w:r>
        <w:rPr>
          <w:rFonts w:hint="eastAsia" w:ascii="仿宋_GB2312" w:hAnsi="仿宋_GB2312" w:eastAsia="仿宋_GB2312" w:cs="仿宋_GB2312"/>
          <w:sz w:val="32"/>
          <w:szCs w:val="32"/>
        </w:rPr>
        <w:t>市场调研、网络搜索、同行推荐等方式，收集潜在供应商信息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并邀请登录http://www.bidding.csg.cn报价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对供应商进行评估，评估内容包括：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资质与信誉：查看供应商的营业执照、相关行业资质证书，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增值税专用发票开具能力，</w:t>
      </w:r>
      <w:r>
        <w:rPr>
          <w:rFonts w:hint="eastAsia" w:ascii="仿宋_GB2312" w:hAnsi="仿宋_GB2312" w:eastAsia="仿宋_GB2312" w:cs="仿宋_GB2312"/>
          <w:sz w:val="32"/>
          <w:szCs w:val="32"/>
        </w:rPr>
        <w:t>了解其过往的服务口碑和信誉。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服务内容与质量：比较不同供应商提供的服务范围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（停车场地理位置距公司步行距离不宜超过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150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米）</w:t>
      </w:r>
      <w:r>
        <w:rPr>
          <w:rFonts w:hint="eastAsia" w:ascii="仿宋_GB2312" w:hAnsi="仿宋_GB2312" w:eastAsia="仿宋_GB2312" w:cs="仿宋_GB2312"/>
          <w:sz w:val="32"/>
          <w:szCs w:val="32"/>
        </w:rPr>
        <w:t>、服务标准和质量保证措施。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价格：对比各供应商的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包月车位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</w:rPr>
        <w:t>报价，确保价格合理且符合预算。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• 售后服务：了解供应商在服务过程中出现问题的解决方式和响应速度。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六、采购流程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制定采购需求：明确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各项</w:t>
      </w:r>
      <w:r>
        <w:rPr>
          <w:rFonts w:hint="eastAsia" w:ascii="仿宋_GB2312" w:hAnsi="仿宋_GB2312" w:eastAsia="仿宋_GB2312" w:cs="仿宋_GB2312"/>
          <w:sz w:val="32"/>
          <w:szCs w:val="32"/>
        </w:rPr>
        <w:t>服务的具体要求和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范围</w:t>
      </w:r>
      <w:r>
        <w:rPr>
          <w:rFonts w:hint="eastAsia" w:ascii="仿宋_GB2312" w:hAnsi="仿宋_GB2312" w:eastAsia="仿宋_GB2312" w:cs="仿宋_GB2312"/>
          <w:sz w:val="32"/>
          <w:szCs w:val="32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发布采购信息：通过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采购</w:t>
      </w:r>
      <w:r>
        <w:rPr>
          <w:rFonts w:hint="eastAsia" w:ascii="仿宋_GB2312" w:hAnsi="仿宋_GB2312" w:eastAsia="仿宋_GB2312" w:cs="仿宋_GB2312"/>
          <w:sz w:val="32"/>
          <w:szCs w:val="32"/>
        </w:rPr>
        <w:t>公告、询价函等方式向潜在供应商发布采购信息。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3. 供应商报价：供应商在规定时间内提交报价文件。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4. 评审与选择：对供应商的报价、服务方案等进行评审，选择符合要求的供应商。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5. 签订合同：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必要时</w:t>
      </w:r>
      <w:r>
        <w:rPr>
          <w:rFonts w:hint="eastAsia" w:ascii="仿宋_GB2312" w:hAnsi="仿宋_GB2312" w:eastAsia="仿宋_GB2312" w:cs="仿宋_GB2312"/>
          <w:sz w:val="32"/>
          <w:szCs w:val="32"/>
        </w:rPr>
        <w:t>与选定的供应商签订采购合同，明确双方的权利和义务。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七、质量监控与验收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建立质量监控机制，定期对服务进行检查和评估。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按照合同约定的标准对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服务</w:t>
      </w:r>
      <w:r>
        <w:rPr>
          <w:rFonts w:hint="eastAsia" w:ascii="仿宋_GB2312" w:hAnsi="仿宋_GB2312" w:eastAsia="仿宋_GB2312" w:cs="仿宋_GB2312"/>
          <w:sz w:val="32"/>
          <w:szCs w:val="32"/>
        </w:rPr>
        <w:t>进行验收，确保质量合格。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黑体" w:hAnsi="黑体" w:eastAsia="黑体" w:cs="黑体"/>
          <w:sz w:val="32"/>
          <w:szCs w:val="32"/>
        </w:rPr>
      </w:pPr>
      <w:r>
        <w:rPr>
          <w:rFonts w:hint="eastAsia" w:ascii="黑体" w:hAnsi="黑体" w:eastAsia="黑体" w:cs="黑体"/>
          <w:sz w:val="32"/>
          <w:szCs w:val="32"/>
        </w:rPr>
        <w:t>八、售后服务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1. 要求供应商在服务过程中，对出现的问题及时响应和解决。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2. 定期与供应商进行沟通，了解服务情况，提出改进意见。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报价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包月车位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参考：</w:t>
      </w:r>
    </w:p>
    <w:tbl>
      <w:tblPr>
        <w:tblStyle w:val="4"/>
        <w:tblW w:w="4751" w:type="pct"/>
        <w:tblInd w:w="17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81"/>
        <w:gridCol w:w="3479"/>
        <w:gridCol w:w="1454"/>
        <w:gridCol w:w="238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8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序号</w:t>
            </w:r>
          </w:p>
        </w:tc>
        <w:tc>
          <w:tcPr>
            <w:tcW w:w="2148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车辆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种类</w:t>
            </w:r>
          </w:p>
        </w:tc>
        <w:tc>
          <w:tcPr>
            <w:tcW w:w="898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单位</w:t>
            </w:r>
          </w:p>
        </w:tc>
        <w:tc>
          <w:tcPr>
            <w:tcW w:w="1470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包月含税</w:t>
            </w: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价（元）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8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1</w:t>
            </w:r>
          </w:p>
        </w:tc>
        <w:tc>
          <w:tcPr>
            <w:tcW w:w="2148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小型车（第一辆车）</w:t>
            </w:r>
          </w:p>
        </w:tc>
        <w:tc>
          <w:tcPr>
            <w:tcW w:w="898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辆</w:t>
            </w:r>
          </w:p>
        </w:tc>
        <w:tc>
          <w:tcPr>
            <w:tcW w:w="1470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8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2</w:t>
            </w:r>
          </w:p>
        </w:tc>
        <w:tc>
          <w:tcPr>
            <w:tcW w:w="2148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小型车（第二辆车）</w:t>
            </w:r>
          </w:p>
        </w:tc>
        <w:tc>
          <w:tcPr>
            <w:tcW w:w="898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辆</w:t>
            </w:r>
          </w:p>
        </w:tc>
        <w:tc>
          <w:tcPr>
            <w:tcW w:w="1470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482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3</w:t>
            </w:r>
          </w:p>
        </w:tc>
        <w:tc>
          <w:tcPr>
            <w:tcW w:w="2148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小型车（第三辆车）</w:t>
            </w:r>
          </w:p>
        </w:tc>
        <w:tc>
          <w:tcPr>
            <w:tcW w:w="898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辆</w:t>
            </w:r>
          </w:p>
        </w:tc>
        <w:tc>
          <w:tcPr>
            <w:tcW w:w="1470" w:type="pct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</w:trPr>
        <w:tc>
          <w:tcPr>
            <w:tcW w:w="5000" w:type="pct"/>
            <w:gridSpan w:val="4"/>
            <w:vAlign w:val="top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left"/>
              <w:textAlignment w:val="auto"/>
              <w:outlineLvl w:val="9"/>
              <w:rPr>
                <w:rFonts w:hint="default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备注：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小型车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eastAsia="zh-CN"/>
              </w:rPr>
              <w:t>件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520" w:lineRule="exact"/>
              <w:jc w:val="center"/>
              <w:textAlignment w:val="auto"/>
              <w:outlineLvl w:val="9"/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</w:pPr>
            <w:r>
              <w:rPr>
                <w:rFonts w:hint="eastAsia" w:ascii="仿宋_GB2312" w:hAnsi="仿宋_GB2312" w:eastAsia="仿宋_GB2312" w:cs="仿宋_GB2312"/>
                <w:sz w:val="28"/>
                <w:szCs w:val="28"/>
                <w:lang w:val="en-US" w:eastAsia="zh-CN"/>
              </w:rPr>
              <w:t>*</w:t>
            </w:r>
          </w:p>
        </w:tc>
      </w:tr>
    </w:tbl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textAlignment w:val="auto"/>
        <w:rPr>
          <w:rFonts w:ascii="仿宋_GB2312" w:hAnsi="仿宋_GB2312" w:eastAsia="仿宋_GB2312" w:cs="仿宋_GB2312"/>
          <w:b/>
          <w:bCs/>
          <w:sz w:val="32"/>
          <w:szCs w:val="32"/>
        </w:rPr>
      </w:pP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注：对收取的以上项目服务费用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，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可按要求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提供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eastAsia="zh-CN"/>
        </w:rPr>
        <w:t>增值税</w:t>
      </w:r>
      <w:r>
        <w:rPr>
          <w:rFonts w:hint="eastAsia" w:ascii="仿宋_GB2312" w:hAnsi="仿宋_GB2312" w:eastAsia="仿宋_GB2312" w:cs="仿宋_GB2312"/>
          <w:b/>
          <w:bCs/>
          <w:sz w:val="32"/>
          <w:szCs w:val="32"/>
          <w:lang w:val="en-US" w:eastAsia="zh-CN"/>
        </w:rPr>
        <w:t>专用</w:t>
      </w:r>
      <w:bookmarkStart w:id="0" w:name="_GoBack"/>
      <w:bookmarkEnd w:id="0"/>
      <w:r>
        <w:rPr>
          <w:rFonts w:hint="eastAsia" w:ascii="仿宋_GB2312" w:hAnsi="仿宋_GB2312" w:eastAsia="仿宋_GB2312" w:cs="仿宋_GB2312"/>
          <w:b/>
          <w:bCs/>
          <w:sz w:val="32"/>
          <w:szCs w:val="32"/>
        </w:rPr>
        <w:t>发票。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2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firstLine="42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联系人：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       联系电话：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380" w:leftChars="200" w:hanging="960" w:hangingChars="3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</w:rPr>
        <w:t>联系地址: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380" w:leftChars="200" w:hanging="960" w:hangingChars="3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left="1380" w:leftChars="200" w:hanging="960" w:hangingChars="300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280" w:firstLine="5760" w:firstLineChars="1800"/>
        <w:jc w:val="both"/>
        <w:textAlignment w:val="auto"/>
        <w:outlineLvl w:val="9"/>
        <w:rPr>
          <w:rFonts w:hint="eastAsia" w:ascii="仿宋_GB2312" w:hAnsi="仿宋_GB2312" w:eastAsia="仿宋_GB2312" w:cs="仿宋_GB2312"/>
          <w:sz w:val="32"/>
          <w:szCs w:val="32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>公司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（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盖章</w:t>
      </w:r>
      <w:r>
        <w:rPr>
          <w:rFonts w:hint="eastAsia" w:ascii="仿宋_GB2312" w:hAnsi="仿宋_GB2312" w:eastAsia="仿宋_GB2312" w:cs="仿宋_GB2312"/>
          <w:sz w:val="32"/>
          <w:szCs w:val="32"/>
          <w:lang w:eastAsia="zh-CN"/>
        </w:rPr>
        <w:t>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20" w:lineRule="exact"/>
        <w:ind w:right="840" w:firstLine="2880" w:firstLineChars="900"/>
        <w:jc w:val="center"/>
        <w:textAlignment w:val="auto"/>
        <w:outlineLvl w:val="9"/>
        <w:rPr>
          <w:rFonts w:hint="eastAsia" w:ascii="仿宋_GB2312" w:hAnsi="仿宋_GB2312" w:eastAsia="仿宋_GB2312" w:cs="仿宋_GB2312"/>
          <w:sz w:val="24"/>
          <w:szCs w:val="24"/>
        </w:rPr>
      </w:pP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 xml:space="preserve">            </w:t>
      </w:r>
      <w:r>
        <w:rPr>
          <w:rFonts w:hint="eastAsia" w:ascii="仿宋_GB2312" w:hAnsi="仿宋_GB2312" w:eastAsia="仿宋_GB2312" w:cs="仿宋_GB2312"/>
          <w:sz w:val="32"/>
          <w:szCs w:val="32"/>
        </w:rPr>
        <w:t>202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5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年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月 </w:t>
      </w:r>
      <w:r>
        <w:rPr>
          <w:rFonts w:hint="eastAsia" w:ascii="仿宋_GB2312" w:hAnsi="仿宋_GB2312" w:eastAsia="仿宋_GB2312" w:cs="仿宋_GB2312"/>
          <w:sz w:val="32"/>
          <w:szCs w:val="32"/>
          <w:lang w:val="en-US" w:eastAsia="zh-CN"/>
        </w:rPr>
        <w:t>*</w:t>
      </w:r>
      <w:r>
        <w:rPr>
          <w:rFonts w:hint="eastAsia" w:ascii="仿宋_GB2312" w:hAnsi="仿宋_GB2312" w:eastAsia="仿宋_GB2312" w:cs="仿宋_GB2312"/>
          <w:sz w:val="32"/>
          <w:szCs w:val="32"/>
        </w:rPr>
        <w:t xml:space="preserve"> 日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altName w:val="微软雅黑"/>
    <w:panose1 w:val="03000509000000000000"/>
    <w:charset w:val="86"/>
    <w:family w:val="auto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auto"/>
    <w:pitch w:val="default"/>
    <w:sig w:usb0="00000000" w:usb1="00000000" w:usb2="00000000" w:usb3="00000000" w:csb0="00040000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284D1C"/>
    <w:rsid w:val="05587941"/>
    <w:rsid w:val="15E078F7"/>
    <w:rsid w:val="16A614AA"/>
    <w:rsid w:val="18642A4F"/>
    <w:rsid w:val="298A120E"/>
    <w:rsid w:val="29EC6874"/>
    <w:rsid w:val="2D470A20"/>
    <w:rsid w:val="302E16EF"/>
    <w:rsid w:val="35373AAE"/>
    <w:rsid w:val="39581820"/>
    <w:rsid w:val="46403B5E"/>
    <w:rsid w:val="467D4B09"/>
    <w:rsid w:val="48C5081D"/>
    <w:rsid w:val="4E2D3B4A"/>
    <w:rsid w:val="52226E90"/>
    <w:rsid w:val="53452386"/>
    <w:rsid w:val="55445799"/>
    <w:rsid w:val="567B1855"/>
    <w:rsid w:val="598173DD"/>
    <w:rsid w:val="59B577D4"/>
    <w:rsid w:val="6C8C2AB7"/>
    <w:rsid w:val="704A516B"/>
    <w:rsid w:val="732E1AC4"/>
    <w:rsid w:val="7A781A76"/>
    <w:rsid w:val="7D5B6FBC"/>
    <w:rsid w:val="7F600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260" w:after="260" w:line="416" w:lineRule="auto"/>
      <w:outlineLvl w:val="1"/>
    </w:pPr>
    <w:rPr>
      <w:rFonts w:ascii="Arial" w:hAnsi="Arial" w:eastAsia="黑体"/>
      <w:b/>
      <w:bCs/>
      <w:sz w:val="32"/>
      <w:szCs w:val="32"/>
    </w:rPr>
  </w:style>
  <w:style w:type="character" w:default="1" w:styleId="5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4">
    <w:name w:val="Table Grid"/>
    <w:basedOn w:val="3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33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2024-06-19T06:47:00Z</dcterms:created>
  <dc:creator>lizq3</dc:creator>
  <cp:lastModifiedBy>61E0721086E64A52874E72FF9868C858</cp:lastModifiedBy>
  <dcterms:modified xsi:type="dcterms:W3CDTF">2025-11-12T02:55:38Z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5E4974D31D604D508DE07AF930E12C02</vt:lpwstr>
  </property>
</Properties>
</file>