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0BACA">
      <w:pPr>
        <w:rPr>
          <w:rFonts w:eastAsia="黑体"/>
          <w:b/>
          <w:sz w:val="48"/>
          <w:szCs w:val="84"/>
          <w:highlight w:val="none"/>
        </w:rPr>
      </w:pPr>
      <w:r>
        <w:rPr>
          <w:rFonts w:ascii="Times New Roman" w:hAnsi="Times New Roman"/>
          <w:highlight w:val="none"/>
        </w:rPr>
        <w:drawing>
          <wp:anchor distT="0" distB="0" distL="114300" distR="114300" simplePos="0" relativeHeight="251659264" behindDoc="1" locked="0" layoutInCell="1" allowOverlap="1">
            <wp:simplePos x="0" y="0"/>
            <wp:positionH relativeFrom="page">
              <wp:posOffset>-8890</wp:posOffset>
            </wp:positionH>
            <wp:positionV relativeFrom="paragraph">
              <wp:posOffset>-935990</wp:posOffset>
            </wp:positionV>
            <wp:extent cx="8915400" cy="2736850"/>
            <wp:effectExtent l="0" t="0" r="0" b="6350"/>
            <wp:wrapTight wrapText="bothSides">
              <wp:wrapPolygon>
                <wp:start x="0" y="0"/>
                <wp:lineTo x="0" y="21500"/>
                <wp:lineTo x="21554" y="21500"/>
                <wp:lineTo x="21554" y="0"/>
                <wp:lineTo x="0" y="0"/>
              </wp:wrapPolygon>
            </wp:wrapTight>
            <wp:docPr id="14" name="图片 1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模板-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a:ln>
                      <a:noFill/>
                    </a:ln>
                  </pic:spPr>
                </pic:pic>
              </a:graphicData>
            </a:graphic>
          </wp:anchor>
        </w:drawing>
      </w:r>
    </w:p>
    <w:p w14:paraId="213BE339">
      <w:pPr>
        <w:spacing w:before="468" w:beforeLines="150" w:line="480" w:lineRule="auto"/>
        <w:jc w:val="center"/>
        <w:rPr>
          <w:rFonts w:ascii="黑体" w:hAnsi="黑体" w:eastAsia="黑体" w:cs="宋体"/>
          <w:b/>
          <w:sz w:val="48"/>
          <w:szCs w:val="48"/>
          <w:highlight w:val="none"/>
        </w:rPr>
      </w:pPr>
      <w:r>
        <w:rPr>
          <w:rFonts w:hint="eastAsia" w:ascii="黑体" w:hAnsi="黑体" w:eastAsia="黑体" w:cs="宋体"/>
          <w:b/>
          <w:sz w:val="48"/>
          <w:szCs w:val="48"/>
          <w:highlight w:val="none"/>
        </w:rPr>
        <w:t>广东电力通信科技有限公司2025-2026年</w:t>
      </w:r>
    </w:p>
    <w:p w14:paraId="12A862C9">
      <w:pPr>
        <w:spacing w:before="468" w:beforeLines="150" w:line="480" w:lineRule="auto"/>
        <w:jc w:val="center"/>
        <w:rPr>
          <w:rFonts w:ascii="黑体" w:hAnsi="黑体" w:eastAsia="黑体" w:cs="宋体"/>
          <w:b/>
          <w:sz w:val="48"/>
          <w:szCs w:val="48"/>
          <w:highlight w:val="none"/>
        </w:rPr>
      </w:pPr>
      <w:r>
        <w:rPr>
          <w:rFonts w:hint="eastAsia" w:ascii="黑体" w:hAnsi="黑体" w:eastAsia="黑体" w:cs="宋体"/>
          <w:b/>
          <w:sz w:val="48"/>
          <w:szCs w:val="48"/>
          <w:highlight w:val="none"/>
          <w:lang w:val="en-US" w:eastAsia="zh-CN"/>
        </w:rPr>
        <w:t>天通</w:t>
      </w:r>
      <w:r>
        <w:rPr>
          <w:rFonts w:hint="eastAsia" w:ascii="黑体" w:hAnsi="黑体" w:eastAsia="黑体" w:cs="宋体"/>
          <w:b/>
          <w:sz w:val="48"/>
          <w:szCs w:val="48"/>
          <w:highlight w:val="none"/>
        </w:rPr>
        <w:t>卫星应急通信装置整部件委托制造服务</w:t>
      </w:r>
    </w:p>
    <w:p w14:paraId="61CCD28B">
      <w:pPr>
        <w:spacing w:before="468" w:beforeLines="150" w:line="480" w:lineRule="auto"/>
        <w:jc w:val="center"/>
        <w:rPr>
          <w:rFonts w:ascii="黑体" w:hAnsi="黑体" w:eastAsia="黑体" w:cs="宋体"/>
          <w:b/>
          <w:sz w:val="48"/>
          <w:szCs w:val="48"/>
          <w:highlight w:val="none"/>
        </w:rPr>
      </w:pPr>
    </w:p>
    <w:p w14:paraId="5052E039">
      <w:pPr>
        <w:spacing w:before="468" w:beforeLines="150" w:line="480" w:lineRule="auto"/>
        <w:jc w:val="center"/>
        <w:rPr>
          <w:rFonts w:ascii="黑体" w:hAnsi="黑体" w:eastAsia="黑体" w:cs="宋体"/>
          <w:b/>
          <w:sz w:val="48"/>
          <w:szCs w:val="48"/>
          <w:highlight w:val="none"/>
        </w:rPr>
      </w:pPr>
      <w:r>
        <w:rPr>
          <w:rFonts w:hint="eastAsia" w:ascii="黑体" w:hAnsi="黑体" w:eastAsia="黑体" w:cs="宋体"/>
          <w:b/>
          <w:sz w:val="48"/>
          <w:szCs w:val="48"/>
          <w:highlight w:val="none"/>
        </w:rPr>
        <w:t>技术规范书</w:t>
      </w:r>
    </w:p>
    <w:p w14:paraId="68FF904C">
      <w:pPr>
        <w:jc w:val="center"/>
        <w:rPr>
          <w:rFonts w:eastAsia="黑体"/>
          <w:b/>
          <w:sz w:val="48"/>
          <w:szCs w:val="84"/>
          <w:highlight w:val="none"/>
        </w:rPr>
      </w:pPr>
    </w:p>
    <w:p w14:paraId="3D7F2315">
      <w:pPr>
        <w:jc w:val="center"/>
        <w:rPr>
          <w:rFonts w:ascii="Times New Roman" w:hAnsi="Times New Roman" w:eastAsia="黑体"/>
          <w:sz w:val="30"/>
          <w:szCs w:val="30"/>
          <w:highlight w:val="none"/>
        </w:rPr>
      </w:pPr>
    </w:p>
    <w:p w14:paraId="24ADE6D5">
      <w:pPr>
        <w:jc w:val="center"/>
        <w:rPr>
          <w:rFonts w:ascii="Times New Roman" w:hAnsi="Times New Roman" w:eastAsia="黑体"/>
          <w:sz w:val="30"/>
          <w:szCs w:val="30"/>
          <w:highlight w:val="none"/>
        </w:rPr>
      </w:pPr>
    </w:p>
    <w:p w14:paraId="1B525DEB">
      <w:pPr>
        <w:jc w:val="center"/>
        <w:rPr>
          <w:rFonts w:ascii="Times New Roman" w:hAnsi="Times New Roman" w:eastAsia="黑体"/>
          <w:sz w:val="30"/>
          <w:szCs w:val="30"/>
          <w:highlight w:val="none"/>
        </w:rPr>
      </w:pPr>
    </w:p>
    <w:p w14:paraId="0A2F4EFA">
      <w:pPr>
        <w:jc w:val="center"/>
        <w:rPr>
          <w:rFonts w:ascii="Times New Roman" w:hAnsi="Times New Roman" w:eastAsia="黑体"/>
          <w:sz w:val="30"/>
          <w:szCs w:val="30"/>
          <w:highlight w:val="none"/>
        </w:rPr>
      </w:pPr>
    </w:p>
    <w:p w14:paraId="7C80234F">
      <w:pPr>
        <w:jc w:val="center"/>
        <w:rPr>
          <w:rFonts w:ascii="Times New Roman" w:hAnsi="Times New Roman" w:eastAsia="黑体"/>
          <w:sz w:val="30"/>
          <w:szCs w:val="30"/>
          <w:highlight w:val="none"/>
        </w:rPr>
        <w:sectPr>
          <w:headerReference r:id="rId5" w:type="default"/>
          <w:footerReference r:id="rId6" w:type="default"/>
          <w:pgSz w:w="11907" w:h="16840"/>
          <w:pgMar w:top="1474" w:right="1247" w:bottom="1474" w:left="1247" w:header="850" w:footer="850" w:gutter="0"/>
          <w:pgNumType w:start="1"/>
          <w:cols w:space="0" w:num="1"/>
          <w:docGrid w:type="lines" w:linePitch="312" w:charSpace="0"/>
        </w:sectPr>
      </w:pPr>
      <w:r>
        <w:rPr>
          <w:rFonts w:ascii="Times New Roman" w:hAnsi="Times New Roman" w:eastAsia="黑体"/>
          <w:sz w:val="30"/>
          <w:szCs w:val="30"/>
          <w:highlight w:val="none"/>
        </w:rPr>
        <w:t>202</w:t>
      </w:r>
      <w:r>
        <w:rPr>
          <w:rFonts w:hint="eastAsia" w:ascii="Times New Roman" w:hAnsi="Times New Roman" w:eastAsia="黑体"/>
          <w:sz w:val="30"/>
          <w:szCs w:val="30"/>
          <w:highlight w:val="none"/>
        </w:rPr>
        <w:t>5</w:t>
      </w:r>
      <w:r>
        <w:rPr>
          <w:rFonts w:ascii="Times New Roman" w:hAnsi="Times New Roman" w:eastAsia="黑体"/>
          <w:sz w:val="30"/>
          <w:szCs w:val="30"/>
          <w:highlight w:val="none"/>
        </w:rPr>
        <w:t>年</w:t>
      </w:r>
      <w:r>
        <w:rPr>
          <w:rFonts w:hint="eastAsia" w:ascii="Times New Roman" w:hAnsi="Times New Roman" w:eastAsia="黑体"/>
          <w:sz w:val="30"/>
          <w:szCs w:val="30"/>
          <w:highlight w:val="none"/>
          <w:lang w:val="en-US" w:eastAsia="zh-CN"/>
        </w:rPr>
        <w:t>10</w:t>
      </w:r>
      <w:r>
        <w:rPr>
          <w:rFonts w:ascii="Times New Roman" w:hAnsi="Times New Roman" w:eastAsia="黑体"/>
          <w:sz w:val="30"/>
          <w:szCs w:val="30"/>
          <w:highlight w:val="none"/>
        </w:rPr>
        <w:t>月</w:t>
      </w:r>
    </w:p>
    <w:p w14:paraId="0C61BF9D">
      <w:pPr>
        <w:rPr>
          <w:b/>
          <w:bCs/>
          <w:kern w:val="44"/>
          <w:sz w:val="44"/>
          <w:szCs w:val="44"/>
          <w:highlight w:val="none"/>
        </w:rPr>
      </w:pPr>
    </w:p>
    <w:sdt>
      <w:sdtPr>
        <w:rPr>
          <w:rFonts w:ascii="宋体" w:hAnsi="宋体"/>
          <w:b/>
          <w:bCs/>
          <w:sz w:val="36"/>
          <w:szCs w:val="40"/>
          <w:highlight w:val="none"/>
        </w:rPr>
        <w:id w:val="147467034"/>
        <w15:color w:val="DBDBDB"/>
        <w:docPartObj>
          <w:docPartGallery w:val="Table of Contents"/>
          <w:docPartUnique/>
        </w:docPartObj>
      </w:sdtPr>
      <w:sdtEndPr>
        <w:rPr>
          <w:rFonts w:hint="eastAsia" w:ascii="Times New Roman" w:hAnsi="Times New Roman"/>
          <w:b/>
          <w:bCs/>
          <w:sz w:val="21"/>
          <w:szCs w:val="24"/>
          <w:highlight w:val="none"/>
        </w:rPr>
      </w:sdtEndPr>
      <w:sdtContent>
        <w:p w14:paraId="035963BA">
          <w:pPr>
            <w:spacing w:line="240" w:lineRule="auto"/>
            <w:jc w:val="center"/>
            <w:rPr>
              <w:b/>
              <w:bCs/>
              <w:sz w:val="36"/>
              <w:szCs w:val="40"/>
              <w:highlight w:val="none"/>
            </w:rPr>
          </w:pPr>
          <w:r>
            <w:rPr>
              <w:rFonts w:ascii="宋体" w:hAnsi="宋体"/>
              <w:b/>
              <w:bCs/>
              <w:sz w:val="36"/>
              <w:szCs w:val="40"/>
              <w:highlight w:val="none"/>
            </w:rPr>
            <w:t>目录</w:t>
          </w:r>
        </w:p>
        <w:p w14:paraId="0D1DA6E3">
          <w:pPr>
            <w:pStyle w:val="37"/>
            <w:tabs>
              <w:tab w:val="right" w:leader="dot" w:pos="9413"/>
            </w:tabs>
          </w:pPr>
          <w:r>
            <w:rPr>
              <w:rFonts w:hint="eastAsia"/>
              <w:highlight w:val="none"/>
            </w:rPr>
            <w:fldChar w:fldCharType="begin"/>
          </w:r>
          <w:r>
            <w:rPr>
              <w:rFonts w:hint="eastAsia"/>
              <w:highlight w:val="none"/>
            </w:rPr>
            <w:instrText xml:space="preserve">TOC \o "1-2"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_Toc19065 </w:instrText>
          </w:r>
          <w:r>
            <w:rPr>
              <w:rFonts w:hint="eastAsia"/>
              <w:highlight w:val="none"/>
            </w:rPr>
            <w:fldChar w:fldCharType="separate"/>
          </w:r>
          <w:r>
            <w:rPr>
              <w:rFonts w:hint="eastAsia"/>
              <w:highlight w:val="none"/>
            </w:rPr>
            <w:t>广东电力通信科技有限公司2025-2026年</w:t>
          </w:r>
          <w:r>
            <w:rPr>
              <w:rFonts w:hint="eastAsia"/>
              <w:highlight w:val="none"/>
              <w:lang w:val="en-US" w:eastAsia="zh-CN"/>
            </w:rPr>
            <w:t>天通</w:t>
          </w:r>
          <w:r>
            <w:rPr>
              <w:rFonts w:hint="eastAsia"/>
              <w:highlight w:val="none"/>
            </w:rPr>
            <w:t>卫星应急通信装置整部件委托制造服务技术规范书</w:t>
          </w:r>
          <w:r>
            <w:tab/>
          </w:r>
          <w:r>
            <w:fldChar w:fldCharType="begin"/>
          </w:r>
          <w:r>
            <w:instrText xml:space="preserve"> PAGEREF _Toc19065 \h </w:instrText>
          </w:r>
          <w:r>
            <w:fldChar w:fldCharType="separate"/>
          </w:r>
          <w:r>
            <w:t>1</w:t>
          </w:r>
          <w:r>
            <w:fldChar w:fldCharType="end"/>
          </w:r>
          <w:r>
            <w:rPr>
              <w:rFonts w:hint="eastAsia"/>
              <w:highlight w:val="none"/>
            </w:rPr>
            <w:fldChar w:fldCharType="end"/>
          </w:r>
        </w:p>
        <w:p w14:paraId="3950DD91">
          <w:pPr>
            <w:pStyle w:val="37"/>
            <w:tabs>
              <w:tab w:val="right" w:leader="dot" w:pos="9413"/>
            </w:tabs>
          </w:pPr>
          <w:r>
            <w:rPr>
              <w:rFonts w:hint="eastAsia"/>
              <w:highlight w:val="none"/>
            </w:rPr>
            <w:fldChar w:fldCharType="begin"/>
          </w:r>
          <w:r>
            <w:rPr>
              <w:rFonts w:hint="eastAsia"/>
              <w:highlight w:val="none"/>
            </w:rPr>
            <w:instrText xml:space="preserve"> HYPERLINK \l _Toc8019 </w:instrText>
          </w:r>
          <w:r>
            <w:rPr>
              <w:rFonts w:hint="eastAsia"/>
              <w:highlight w:val="none"/>
            </w:rPr>
            <w:fldChar w:fldCharType="separate"/>
          </w:r>
          <w:r>
            <w:rPr>
              <w:rFonts w:hint="eastAsia"/>
              <w:highlight w:val="none"/>
            </w:rPr>
            <w:t>（通用部分）</w:t>
          </w:r>
          <w:r>
            <w:tab/>
          </w:r>
          <w:r>
            <w:fldChar w:fldCharType="begin"/>
          </w:r>
          <w:r>
            <w:instrText xml:space="preserve"> PAGEREF _Toc8019 \h </w:instrText>
          </w:r>
          <w:r>
            <w:fldChar w:fldCharType="separate"/>
          </w:r>
          <w:r>
            <w:t>1</w:t>
          </w:r>
          <w:r>
            <w:fldChar w:fldCharType="end"/>
          </w:r>
          <w:r>
            <w:rPr>
              <w:rFonts w:hint="eastAsia"/>
              <w:highlight w:val="none"/>
            </w:rPr>
            <w:fldChar w:fldCharType="end"/>
          </w:r>
        </w:p>
        <w:p w14:paraId="16B4E656">
          <w:pPr>
            <w:pStyle w:val="37"/>
            <w:tabs>
              <w:tab w:val="right" w:leader="dot" w:pos="9413"/>
            </w:tabs>
          </w:pPr>
          <w:r>
            <w:rPr>
              <w:rFonts w:hint="eastAsia"/>
              <w:highlight w:val="none"/>
            </w:rPr>
            <w:fldChar w:fldCharType="begin"/>
          </w:r>
          <w:r>
            <w:rPr>
              <w:rFonts w:hint="eastAsia"/>
              <w:highlight w:val="none"/>
            </w:rPr>
            <w:instrText xml:space="preserve"> HYPERLINK \l _Toc11446 </w:instrText>
          </w:r>
          <w:r>
            <w:rPr>
              <w:rFonts w:hint="eastAsia"/>
              <w:highlight w:val="none"/>
            </w:rPr>
            <w:fldChar w:fldCharType="separate"/>
          </w:r>
          <w:r>
            <w:rPr>
              <w:rFonts w:hint="eastAsia" w:ascii="Times New Roman" w:hAnsi="Times New Roman" w:eastAsia="黑体"/>
              <w:szCs w:val="21"/>
              <w:highlight w:val="none"/>
            </w:rPr>
            <w:t>一、总则</w:t>
          </w:r>
          <w:r>
            <w:tab/>
          </w:r>
          <w:r>
            <w:fldChar w:fldCharType="begin"/>
          </w:r>
          <w:r>
            <w:instrText xml:space="preserve"> PAGEREF _Toc11446 \h </w:instrText>
          </w:r>
          <w:r>
            <w:fldChar w:fldCharType="separate"/>
          </w:r>
          <w:r>
            <w:t>1</w:t>
          </w:r>
          <w:r>
            <w:fldChar w:fldCharType="end"/>
          </w:r>
          <w:r>
            <w:rPr>
              <w:rFonts w:hint="eastAsia"/>
              <w:highlight w:val="none"/>
            </w:rPr>
            <w:fldChar w:fldCharType="end"/>
          </w:r>
        </w:p>
        <w:p w14:paraId="3BD4DAE8">
          <w:pPr>
            <w:pStyle w:val="37"/>
            <w:tabs>
              <w:tab w:val="right" w:leader="dot" w:pos="9413"/>
            </w:tabs>
          </w:pPr>
          <w:r>
            <w:rPr>
              <w:rFonts w:hint="eastAsia"/>
              <w:highlight w:val="none"/>
            </w:rPr>
            <w:fldChar w:fldCharType="begin"/>
          </w:r>
          <w:r>
            <w:rPr>
              <w:rFonts w:hint="eastAsia"/>
              <w:highlight w:val="none"/>
            </w:rPr>
            <w:instrText xml:space="preserve"> HYPERLINK \l _Toc11109 </w:instrText>
          </w:r>
          <w:r>
            <w:rPr>
              <w:rFonts w:hint="eastAsia"/>
              <w:highlight w:val="none"/>
            </w:rPr>
            <w:fldChar w:fldCharType="separate"/>
          </w:r>
          <w:r>
            <w:rPr>
              <w:rFonts w:hint="eastAsia" w:ascii="Times New Roman" w:hAnsi="Times New Roman" w:eastAsia="黑体"/>
              <w:szCs w:val="21"/>
              <w:highlight w:val="none"/>
            </w:rPr>
            <w:t>二、工作范围</w:t>
          </w:r>
          <w:r>
            <w:tab/>
          </w:r>
          <w:r>
            <w:fldChar w:fldCharType="begin"/>
          </w:r>
          <w:r>
            <w:instrText xml:space="preserve"> PAGEREF _Toc11109 \h </w:instrText>
          </w:r>
          <w:r>
            <w:fldChar w:fldCharType="separate"/>
          </w:r>
          <w:r>
            <w:t>2</w:t>
          </w:r>
          <w:r>
            <w:fldChar w:fldCharType="end"/>
          </w:r>
          <w:r>
            <w:rPr>
              <w:rFonts w:hint="eastAsia"/>
              <w:highlight w:val="none"/>
            </w:rPr>
            <w:fldChar w:fldCharType="end"/>
          </w:r>
        </w:p>
        <w:p w14:paraId="1258C81B">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_Toc6852 </w:instrText>
          </w:r>
          <w:r>
            <w:rPr>
              <w:rFonts w:hint="eastAsia"/>
              <w:highlight w:val="none"/>
            </w:rPr>
            <w:fldChar w:fldCharType="separate"/>
          </w:r>
          <w:r>
            <w:rPr>
              <w:rFonts w:ascii="Times New Roman" w:hAnsi="Times New Roman" w:eastAsia="黑体"/>
              <w:szCs w:val="21"/>
              <w:highlight w:val="none"/>
            </w:rPr>
            <w:t>2.1 范围和界限</w:t>
          </w:r>
          <w:r>
            <w:tab/>
          </w:r>
          <w:r>
            <w:fldChar w:fldCharType="begin"/>
          </w:r>
          <w:r>
            <w:instrText xml:space="preserve"> PAGEREF _Toc6852 \h </w:instrText>
          </w:r>
          <w:r>
            <w:fldChar w:fldCharType="separate"/>
          </w:r>
          <w:r>
            <w:t>2</w:t>
          </w:r>
          <w:r>
            <w:fldChar w:fldCharType="end"/>
          </w:r>
          <w:r>
            <w:rPr>
              <w:rFonts w:hint="eastAsia"/>
              <w:highlight w:val="none"/>
            </w:rPr>
            <w:fldChar w:fldCharType="end"/>
          </w:r>
        </w:p>
        <w:p w14:paraId="68D4491D">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_Toc10903 </w:instrText>
          </w:r>
          <w:r>
            <w:rPr>
              <w:rFonts w:hint="eastAsia"/>
              <w:highlight w:val="none"/>
            </w:rPr>
            <w:fldChar w:fldCharType="separate"/>
          </w:r>
          <w:r>
            <w:rPr>
              <w:rFonts w:ascii="Times New Roman" w:hAnsi="Times New Roman" w:eastAsia="黑体"/>
              <w:szCs w:val="24"/>
              <w:highlight w:val="none"/>
            </w:rPr>
            <w:t>2.2 服务范围</w:t>
          </w:r>
          <w:r>
            <w:tab/>
          </w:r>
          <w:r>
            <w:fldChar w:fldCharType="begin"/>
          </w:r>
          <w:r>
            <w:instrText xml:space="preserve"> PAGEREF _Toc10903 \h </w:instrText>
          </w:r>
          <w:r>
            <w:fldChar w:fldCharType="separate"/>
          </w:r>
          <w:r>
            <w:t>2</w:t>
          </w:r>
          <w:r>
            <w:fldChar w:fldCharType="end"/>
          </w:r>
          <w:r>
            <w:rPr>
              <w:rFonts w:hint="eastAsia"/>
              <w:highlight w:val="none"/>
            </w:rPr>
            <w:fldChar w:fldCharType="end"/>
          </w:r>
        </w:p>
        <w:p w14:paraId="183D4CD0">
          <w:pPr>
            <w:pStyle w:val="37"/>
            <w:tabs>
              <w:tab w:val="right" w:leader="dot" w:pos="9413"/>
            </w:tabs>
          </w:pPr>
          <w:r>
            <w:rPr>
              <w:rFonts w:hint="eastAsia"/>
              <w:highlight w:val="none"/>
            </w:rPr>
            <w:fldChar w:fldCharType="begin"/>
          </w:r>
          <w:r>
            <w:rPr>
              <w:rFonts w:hint="eastAsia"/>
              <w:highlight w:val="none"/>
            </w:rPr>
            <w:instrText xml:space="preserve"> HYPERLINK \l _Toc16569 </w:instrText>
          </w:r>
          <w:r>
            <w:rPr>
              <w:rFonts w:hint="eastAsia"/>
              <w:highlight w:val="none"/>
            </w:rPr>
            <w:fldChar w:fldCharType="separate"/>
          </w:r>
          <w:r>
            <w:rPr>
              <w:rFonts w:hint="eastAsia" w:ascii="Times New Roman" w:hAnsi="Times New Roman" w:eastAsia="黑体"/>
              <w:szCs w:val="21"/>
              <w:highlight w:val="none"/>
            </w:rPr>
            <w:t>三、应遵循的主要标准</w:t>
          </w:r>
          <w:r>
            <w:tab/>
          </w:r>
          <w:r>
            <w:fldChar w:fldCharType="begin"/>
          </w:r>
          <w:r>
            <w:instrText xml:space="preserve"> PAGEREF _Toc16569 \h </w:instrText>
          </w:r>
          <w:r>
            <w:fldChar w:fldCharType="separate"/>
          </w:r>
          <w:r>
            <w:t>3</w:t>
          </w:r>
          <w:r>
            <w:fldChar w:fldCharType="end"/>
          </w:r>
          <w:r>
            <w:rPr>
              <w:rFonts w:hint="eastAsia"/>
              <w:highlight w:val="none"/>
            </w:rPr>
            <w:fldChar w:fldCharType="end"/>
          </w:r>
        </w:p>
        <w:p w14:paraId="2CE82680">
          <w:pPr>
            <w:pStyle w:val="37"/>
            <w:tabs>
              <w:tab w:val="right" w:leader="dot" w:pos="9413"/>
            </w:tabs>
          </w:pPr>
          <w:r>
            <w:rPr>
              <w:rFonts w:hint="eastAsia"/>
              <w:highlight w:val="none"/>
            </w:rPr>
            <w:fldChar w:fldCharType="begin"/>
          </w:r>
          <w:r>
            <w:rPr>
              <w:rFonts w:hint="eastAsia"/>
              <w:highlight w:val="none"/>
            </w:rPr>
            <w:instrText xml:space="preserve"> HYPERLINK \l _Toc20269 </w:instrText>
          </w:r>
          <w:r>
            <w:rPr>
              <w:rFonts w:hint="eastAsia"/>
              <w:highlight w:val="none"/>
            </w:rPr>
            <w:fldChar w:fldCharType="separate"/>
          </w:r>
          <w:r>
            <w:rPr>
              <w:rFonts w:hint="eastAsia" w:ascii="Times New Roman" w:hAnsi="Times New Roman" w:eastAsia="黑体"/>
              <w:szCs w:val="21"/>
              <w:highlight w:val="none"/>
            </w:rPr>
            <w:t>四、使用条件</w:t>
          </w:r>
          <w:r>
            <w:tab/>
          </w:r>
          <w:r>
            <w:fldChar w:fldCharType="begin"/>
          </w:r>
          <w:r>
            <w:instrText xml:space="preserve"> PAGEREF _Toc20269 \h </w:instrText>
          </w:r>
          <w:r>
            <w:fldChar w:fldCharType="separate"/>
          </w:r>
          <w:r>
            <w:t>3</w:t>
          </w:r>
          <w:r>
            <w:fldChar w:fldCharType="end"/>
          </w:r>
          <w:r>
            <w:rPr>
              <w:rFonts w:hint="eastAsia"/>
              <w:highlight w:val="none"/>
            </w:rPr>
            <w:fldChar w:fldCharType="end"/>
          </w:r>
        </w:p>
        <w:p w14:paraId="0AD908BC">
          <w:pPr>
            <w:pStyle w:val="37"/>
            <w:tabs>
              <w:tab w:val="right" w:leader="dot" w:pos="9413"/>
            </w:tabs>
          </w:pPr>
          <w:r>
            <w:rPr>
              <w:rFonts w:hint="eastAsia"/>
              <w:highlight w:val="none"/>
            </w:rPr>
            <w:fldChar w:fldCharType="begin"/>
          </w:r>
          <w:r>
            <w:rPr>
              <w:rFonts w:hint="eastAsia"/>
              <w:highlight w:val="none"/>
            </w:rPr>
            <w:instrText xml:space="preserve"> HYPERLINK \l _Toc3124 </w:instrText>
          </w:r>
          <w:r>
            <w:rPr>
              <w:rFonts w:hint="eastAsia"/>
              <w:highlight w:val="none"/>
            </w:rPr>
            <w:fldChar w:fldCharType="separate"/>
          </w:r>
          <w:r>
            <w:rPr>
              <w:rFonts w:hint="eastAsia" w:ascii="Times New Roman" w:hAnsi="Times New Roman" w:eastAsia="黑体"/>
              <w:szCs w:val="21"/>
              <w:highlight w:val="none"/>
            </w:rPr>
            <w:t>五 对投标方的要求</w:t>
          </w:r>
          <w:r>
            <w:tab/>
          </w:r>
          <w:r>
            <w:fldChar w:fldCharType="begin"/>
          </w:r>
          <w:r>
            <w:instrText xml:space="preserve"> PAGEREF _Toc3124 \h </w:instrText>
          </w:r>
          <w:r>
            <w:fldChar w:fldCharType="separate"/>
          </w:r>
          <w:r>
            <w:t>3</w:t>
          </w:r>
          <w:r>
            <w:fldChar w:fldCharType="end"/>
          </w:r>
          <w:r>
            <w:rPr>
              <w:rFonts w:hint="eastAsia"/>
              <w:highlight w:val="none"/>
            </w:rPr>
            <w:fldChar w:fldCharType="end"/>
          </w:r>
        </w:p>
        <w:p w14:paraId="112CF2F5">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_Toc19241 </w:instrText>
          </w:r>
          <w:r>
            <w:rPr>
              <w:rFonts w:hint="eastAsia"/>
              <w:highlight w:val="none"/>
            </w:rPr>
            <w:fldChar w:fldCharType="separate"/>
          </w:r>
          <w:r>
            <w:rPr>
              <w:rFonts w:hint="eastAsia" w:ascii="Times New Roman" w:hAnsi="Times New Roman" w:eastAsia="黑体"/>
              <w:szCs w:val="21"/>
              <w:highlight w:val="none"/>
            </w:rPr>
            <w:t>5.1对应标书要求</w:t>
          </w:r>
          <w:r>
            <w:tab/>
          </w:r>
          <w:r>
            <w:fldChar w:fldCharType="begin"/>
          </w:r>
          <w:r>
            <w:instrText xml:space="preserve"> PAGEREF _Toc19241 \h </w:instrText>
          </w:r>
          <w:r>
            <w:fldChar w:fldCharType="separate"/>
          </w:r>
          <w:r>
            <w:t>3</w:t>
          </w:r>
          <w:r>
            <w:fldChar w:fldCharType="end"/>
          </w:r>
          <w:r>
            <w:rPr>
              <w:rFonts w:hint="eastAsia"/>
              <w:highlight w:val="none"/>
            </w:rPr>
            <w:fldChar w:fldCharType="end"/>
          </w:r>
        </w:p>
        <w:p w14:paraId="7A5737E3">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_Toc24220 </w:instrText>
          </w:r>
          <w:r>
            <w:rPr>
              <w:rFonts w:hint="eastAsia"/>
              <w:highlight w:val="none"/>
            </w:rPr>
            <w:fldChar w:fldCharType="separate"/>
          </w:r>
          <w:r>
            <w:rPr>
              <w:rFonts w:hint="eastAsia" w:ascii="Times New Roman" w:hAnsi="Times New Roman" w:eastAsia="黑体"/>
              <w:szCs w:val="21"/>
              <w:highlight w:val="none"/>
            </w:rPr>
            <w:t>5.2质量保证要求</w:t>
          </w:r>
          <w:r>
            <w:tab/>
          </w:r>
          <w:r>
            <w:fldChar w:fldCharType="begin"/>
          </w:r>
          <w:r>
            <w:instrText xml:space="preserve"> PAGEREF _Toc24220 \h </w:instrText>
          </w:r>
          <w:r>
            <w:fldChar w:fldCharType="separate"/>
          </w:r>
          <w:r>
            <w:t>4</w:t>
          </w:r>
          <w:r>
            <w:fldChar w:fldCharType="end"/>
          </w:r>
          <w:r>
            <w:rPr>
              <w:rFonts w:hint="eastAsia"/>
              <w:highlight w:val="none"/>
            </w:rPr>
            <w:fldChar w:fldCharType="end"/>
          </w:r>
        </w:p>
        <w:p w14:paraId="1984FAE7">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_Toc23548 </w:instrText>
          </w:r>
          <w:r>
            <w:rPr>
              <w:rFonts w:hint="eastAsia"/>
              <w:highlight w:val="none"/>
            </w:rPr>
            <w:fldChar w:fldCharType="separate"/>
          </w:r>
          <w:r>
            <w:rPr>
              <w:rFonts w:hint="eastAsia" w:ascii="Times New Roman" w:hAnsi="Times New Roman" w:eastAsia="黑体"/>
              <w:szCs w:val="21"/>
              <w:highlight w:val="none"/>
            </w:rPr>
            <w:t>5.3进度保证</w:t>
          </w:r>
          <w:r>
            <w:tab/>
          </w:r>
          <w:r>
            <w:fldChar w:fldCharType="begin"/>
          </w:r>
          <w:r>
            <w:instrText xml:space="preserve"> PAGEREF _Toc23548 \h </w:instrText>
          </w:r>
          <w:r>
            <w:fldChar w:fldCharType="separate"/>
          </w:r>
          <w:r>
            <w:t>4</w:t>
          </w:r>
          <w:r>
            <w:fldChar w:fldCharType="end"/>
          </w:r>
          <w:r>
            <w:rPr>
              <w:rFonts w:hint="eastAsia"/>
              <w:highlight w:val="none"/>
            </w:rPr>
            <w:fldChar w:fldCharType="end"/>
          </w:r>
        </w:p>
        <w:p w14:paraId="73210843">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_Toc673 </w:instrText>
          </w:r>
          <w:r>
            <w:rPr>
              <w:rFonts w:hint="eastAsia"/>
              <w:highlight w:val="none"/>
            </w:rPr>
            <w:fldChar w:fldCharType="separate"/>
          </w:r>
          <w:r>
            <w:rPr>
              <w:rFonts w:hint="eastAsia" w:ascii="Times New Roman" w:hAnsi="Times New Roman" w:eastAsia="黑体"/>
              <w:szCs w:val="21"/>
              <w:highlight w:val="none"/>
            </w:rPr>
            <w:t>5.4 资质要求</w:t>
          </w:r>
          <w:r>
            <w:tab/>
          </w:r>
          <w:r>
            <w:fldChar w:fldCharType="begin"/>
          </w:r>
          <w:r>
            <w:instrText xml:space="preserve"> PAGEREF _Toc673 \h </w:instrText>
          </w:r>
          <w:r>
            <w:fldChar w:fldCharType="separate"/>
          </w:r>
          <w:r>
            <w:t>4</w:t>
          </w:r>
          <w:r>
            <w:fldChar w:fldCharType="end"/>
          </w:r>
          <w:r>
            <w:rPr>
              <w:rFonts w:hint="eastAsia"/>
              <w:highlight w:val="none"/>
            </w:rPr>
            <w:fldChar w:fldCharType="end"/>
          </w:r>
        </w:p>
        <w:p w14:paraId="41067F2E">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_Toc8338 </w:instrText>
          </w:r>
          <w:r>
            <w:rPr>
              <w:rFonts w:hint="eastAsia"/>
              <w:highlight w:val="none"/>
            </w:rPr>
            <w:fldChar w:fldCharType="separate"/>
          </w:r>
          <w:r>
            <w:rPr>
              <w:rFonts w:hint="eastAsia" w:ascii="Times New Roman" w:hAnsi="Times New Roman" w:eastAsia="黑体"/>
              <w:szCs w:val="21"/>
              <w:highlight w:val="none"/>
            </w:rPr>
            <w:t>5.5技术文件</w:t>
          </w:r>
          <w:r>
            <w:tab/>
          </w:r>
          <w:r>
            <w:fldChar w:fldCharType="begin"/>
          </w:r>
          <w:r>
            <w:instrText xml:space="preserve"> PAGEREF _Toc8338 \h </w:instrText>
          </w:r>
          <w:r>
            <w:fldChar w:fldCharType="separate"/>
          </w:r>
          <w:r>
            <w:t>4</w:t>
          </w:r>
          <w:r>
            <w:fldChar w:fldCharType="end"/>
          </w:r>
          <w:r>
            <w:rPr>
              <w:rFonts w:hint="eastAsia"/>
              <w:highlight w:val="none"/>
            </w:rPr>
            <w:fldChar w:fldCharType="end"/>
          </w:r>
        </w:p>
        <w:p w14:paraId="61766023">
          <w:pPr>
            <w:pStyle w:val="37"/>
            <w:tabs>
              <w:tab w:val="right" w:leader="dot" w:pos="9413"/>
            </w:tabs>
          </w:pPr>
          <w:r>
            <w:rPr>
              <w:rFonts w:hint="eastAsia"/>
              <w:highlight w:val="none"/>
            </w:rPr>
            <w:fldChar w:fldCharType="begin"/>
          </w:r>
          <w:r>
            <w:rPr>
              <w:rFonts w:hint="eastAsia"/>
              <w:highlight w:val="none"/>
            </w:rPr>
            <w:instrText xml:space="preserve"> HYPERLINK \l _Toc1682 </w:instrText>
          </w:r>
          <w:r>
            <w:rPr>
              <w:rFonts w:hint="eastAsia"/>
              <w:highlight w:val="none"/>
            </w:rPr>
            <w:fldChar w:fldCharType="separate"/>
          </w:r>
          <w:r>
            <w:rPr>
              <w:rFonts w:hint="eastAsia" w:ascii="Times New Roman" w:hAnsi="Times New Roman" w:eastAsia="黑体"/>
              <w:szCs w:val="21"/>
              <w:highlight w:val="none"/>
            </w:rPr>
            <w:t>六 生产、标志、包装、运输、贮存</w:t>
          </w:r>
          <w:r>
            <w:tab/>
          </w:r>
          <w:r>
            <w:fldChar w:fldCharType="begin"/>
          </w:r>
          <w:r>
            <w:instrText xml:space="preserve"> PAGEREF _Toc1682 \h </w:instrText>
          </w:r>
          <w:r>
            <w:fldChar w:fldCharType="separate"/>
          </w:r>
          <w:r>
            <w:t>4</w:t>
          </w:r>
          <w:r>
            <w:fldChar w:fldCharType="end"/>
          </w:r>
          <w:r>
            <w:rPr>
              <w:rFonts w:hint="eastAsia"/>
              <w:highlight w:val="none"/>
            </w:rPr>
            <w:fldChar w:fldCharType="end"/>
          </w:r>
        </w:p>
        <w:p w14:paraId="2933D0D4">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_Toc29896 </w:instrText>
          </w:r>
          <w:r>
            <w:rPr>
              <w:rFonts w:hint="eastAsia"/>
              <w:highlight w:val="none"/>
            </w:rPr>
            <w:fldChar w:fldCharType="separate"/>
          </w:r>
          <w:r>
            <w:rPr>
              <w:rFonts w:hint="eastAsia" w:ascii="Times New Roman" w:hAnsi="Times New Roman" w:eastAsia="黑体"/>
              <w:szCs w:val="21"/>
              <w:highlight w:val="none"/>
            </w:rPr>
            <w:t>6.1生产</w:t>
          </w:r>
          <w:r>
            <w:tab/>
          </w:r>
          <w:r>
            <w:fldChar w:fldCharType="begin"/>
          </w:r>
          <w:r>
            <w:instrText xml:space="preserve"> PAGEREF _Toc29896 \h </w:instrText>
          </w:r>
          <w:r>
            <w:fldChar w:fldCharType="separate"/>
          </w:r>
          <w:r>
            <w:t>4</w:t>
          </w:r>
          <w:r>
            <w:fldChar w:fldCharType="end"/>
          </w:r>
          <w:r>
            <w:rPr>
              <w:rFonts w:hint="eastAsia"/>
              <w:highlight w:val="none"/>
            </w:rPr>
            <w:fldChar w:fldCharType="end"/>
          </w:r>
        </w:p>
        <w:p w14:paraId="625F4F3F">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_Toc27259 </w:instrText>
          </w:r>
          <w:r>
            <w:rPr>
              <w:rFonts w:hint="eastAsia"/>
              <w:highlight w:val="none"/>
            </w:rPr>
            <w:fldChar w:fldCharType="separate"/>
          </w:r>
          <w:r>
            <w:rPr>
              <w:rFonts w:hint="eastAsia" w:ascii="Times New Roman" w:hAnsi="Times New Roman" w:eastAsia="黑体"/>
              <w:szCs w:val="21"/>
              <w:highlight w:val="none"/>
            </w:rPr>
            <w:t>6.2标志</w:t>
          </w:r>
          <w:r>
            <w:tab/>
          </w:r>
          <w:r>
            <w:fldChar w:fldCharType="begin"/>
          </w:r>
          <w:r>
            <w:instrText xml:space="preserve"> PAGEREF _Toc27259 \h </w:instrText>
          </w:r>
          <w:r>
            <w:fldChar w:fldCharType="separate"/>
          </w:r>
          <w:r>
            <w:t>5</w:t>
          </w:r>
          <w:r>
            <w:fldChar w:fldCharType="end"/>
          </w:r>
          <w:r>
            <w:rPr>
              <w:rFonts w:hint="eastAsia"/>
              <w:highlight w:val="none"/>
            </w:rPr>
            <w:fldChar w:fldCharType="end"/>
          </w:r>
        </w:p>
        <w:p w14:paraId="2A9C98B1">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_Toc9617 </w:instrText>
          </w:r>
          <w:r>
            <w:rPr>
              <w:rFonts w:hint="eastAsia"/>
              <w:highlight w:val="none"/>
            </w:rPr>
            <w:fldChar w:fldCharType="separate"/>
          </w:r>
          <w:r>
            <w:rPr>
              <w:rFonts w:hint="eastAsia" w:ascii="Times New Roman" w:hAnsi="Times New Roman" w:eastAsia="黑体"/>
              <w:szCs w:val="21"/>
              <w:highlight w:val="none"/>
            </w:rPr>
            <w:t>6.3包装</w:t>
          </w:r>
          <w:r>
            <w:tab/>
          </w:r>
          <w:r>
            <w:fldChar w:fldCharType="begin"/>
          </w:r>
          <w:r>
            <w:instrText xml:space="preserve"> PAGEREF _Toc9617 \h </w:instrText>
          </w:r>
          <w:r>
            <w:fldChar w:fldCharType="separate"/>
          </w:r>
          <w:r>
            <w:t>5</w:t>
          </w:r>
          <w:r>
            <w:fldChar w:fldCharType="end"/>
          </w:r>
          <w:r>
            <w:rPr>
              <w:rFonts w:hint="eastAsia"/>
              <w:highlight w:val="none"/>
            </w:rPr>
            <w:fldChar w:fldCharType="end"/>
          </w:r>
        </w:p>
        <w:p w14:paraId="20054772">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_Toc18481 </w:instrText>
          </w:r>
          <w:r>
            <w:rPr>
              <w:rFonts w:hint="eastAsia"/>
              <w:highlight w:val="none"/>
            </w:rPr>
            <w:fldChar w:fldCharType="separate"/>
          </w:r>
          <w:r>
            <w:rPr>
              <w:rFonts w:hint="eastAsia" w:ascii="Times New Roman" w:hAnsi="Times New Roman" w:eastAsia="黑体"/>
              <w:szCs w:val="21"/>
              <w:highlight w:val="none"/>
            </w:rPr>
            <w:t>6.4运输</w:t>
          </w:r>
          <w:r>
            <w:tab/>
          </w:r>
          <w:r>
            <w:fldChar w:fldCharType="begin"/>
          </w:r>
          <w:r>
            <w:instrText xml:space="preserve"> PAGEREF _Toc18481 \h </w:instrText>
          </w:r>
          <w:r>
            <w:fldChar w:fldCharType="separate"/>
          </w:r>
          <w:r>
            <w:t>5</w:t>
          </w:r>
          <w:r>
            <w:fldChar w:fldCharType="end"/>
          </w:r>
          <w:r>
            <w:rPr>
              <w:rFonts w:hint="eastAsia"/>
              <w:highlight w:val="none"/>
            </w:rPr>
            <w:fldChar w:fldCharType="end"/>
          </w:r>
        </w:p>
        <w:p w14:paraId="1CFBBE01">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_Toc11098 </w:instrText>
          </w:r>
          <w:r>
            <w:rPr>
              <w:rFonts w:hint="eastAsia"/>
              <w:highlight w:val="none"/>
            </w:rPr>
            <w:fldChar w:fldCharType="separate"/>
          </w:r>
          <w:r>
            <w:rPr>
              <w:rFonts w:hint="eastAsia" w:ascii="Times New Roman" w:hAnsi="Times New Roman" w:eastAsia="黑体"/>
              <w:szCs w:val="21"/>
              <w:highlight w:val="none"/>
            </w:rPr>
            <w:t>6.5贮存</w:t>
          </w:r>
          <w:r>
            <w:tab/>
          </w:r>
          <w:r>
            <w:fldChar w:fldCharType="begin"/>
          </w:r>
          <w:r>
            <w:instrText xml:space="preserve"> PAGEREF _Toc11098 \h </w:instrText>
          </w:r>
          <w:r>
            <w:fldChar w:fldCharType="separate"/>
          </w:r>
          <w:r>
            <w:t>6</w:t>
          </w:r>
          <w:r>
            <w:fldChar w:fldCharType="end"/>
          </w:r>
          <w:r>
            <w:rPr>
              <w:rFonts w:hint="eastAsia"/>
              <w:highlight w:val="none"/>
            </w:rPr>
            <w:fldChar w:fldCharType="end"/>
          </w:r>
        </w:p>
        <w:p w14:paraId="67E14C9B">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_Toc3248 </w:instrText>
          </w:r>
          <w:r>
            <w:rPr>
              <w:rFonts w:hint="eastAsia"/>
              <w:highlight w:val="none"/>
            </w:rPr>
            <w:fldChar w:fldCharType="separate"/>
          </w:r>
          <w:r>
            <w:rPr>
              <w:rFonts w:hint="eastAsia" w:ascii="Times New Roman" w:hAnsi="Times New Roman" w:eastAsia="黑体"/>
              <w:szCs w:val="21"/>
              <w:highlight w:val="none"/>
            </w:rPr>
            <w:t>6.6交货时间和地点</w:t>
          </w:r>
          <w:r>
            <w:tab/>
          </w:r>
          <w:r>
            <w:fldChar w:fldCharType="begin"/>
          </w:r>
          <w:r>
            <w:instrText xml:space="preserve"> PAGEREF _Toc3248 \h </w:instrText>
          </w:r>
          <w:r>
            <w:fldChar w:fldCharType="separate"/>
          </w:r>
          <w:r>
            <w:t>6</w:t>
          </w:r>
          <w:r>
            <w:fldChar w:fldCharType="end"/>
          </w:r>
          <w:r>
            <w:rPr>
              <w:rFonts w:hint="eastAsia"/>
              <w:highlight w:val="none"/>
            </w:rPr>
            <w:fldChar w:fldCharType="end"/>
          </w:r>
        </w:p>
        <w:p w14:paraId="5D1BEDB4">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_Toc17514 </w:instrText>
          </w:r>
          <w:r>
            <w:rPr>
              <w:rFonts w:hint="eastAsia"/>
              <w:highlight w:val="none"/>
            </w:rPr>
            <w:fldChar w:fldCharType="separate"/>
          </w:r>
          <w:r>
            <w:rPr>
              <w:rFonts w:hint="eastAsia" w:ascii="Times New Roman" w:hAnsi="Times New Roman" w:eastAsia="黑体"/>
              <w:szCs w:val="21"/>
              <w:highlight w:val="none"/>
            </w:rPr>
            <w:t>6.7售后服务</w:t>
          </w:r>
          <w:r>
            <w:tab/>
          </w:r>
          <w:r>
            <w:fldChar w:fldCharType="begin"/>
          </w:r>
          <w:r>
            <w:instrText xml:space="preserve"> PAGEREF _Toc17514 \h </w:instrText>
          </w:r>
          <w:r>
            <w:fldChar w:fldCharType="separate"/>
          </w:r>
          <w:r>
            <w:t>6</w:t>
          </w:r>
          <w:r>
            <w:fldChar w:fldCharType="end"/>
          </w:r>
          <w:r>
            <w:rPr>
              <w:rFonts w:hint="eastAsia"/>
              <w:highlight w:val="none"/>
            </w:rPr>
            <w:fldChar w:fldCharType="end"/>
          </w:r>
        </w:p>
        <w:p w14:paraId="532CEC9F">
          <w:pPr>
            <w:pStyle w:val="37"/>
            <w:tabs>
              <w:tab w:val="right" w:leader="dot" w:pos="9413"/>
            </w:tabs>
          </w:pPr>
          <w:r>
            <w:rPr>
              <w:rFonts w:hint="eastAsia"/>
              <w:highlight w:val="none"/>
            </w:rPr>
            <w:fldChar w:fldCharType="begin"/>
          </w:r>
          <w:r>
            <w:rPr>
              <w:rFonts w:hint="eastAsia"/>
              <w:highlight w:val="none"/>
            </w:rPr>
            <w:instrText xml:space="preserve"> HYPERLINK \l _Toc21881 </w:instrText>
          </w:r>
          <w:r>
            <w:rPr>
              <w:rFonts w:hint="eastAsia"/>
              <w:highlight w:val="none"/>
            </w:rPr>
            <w:fldChar w:fldCharType="separate"/>
          </w:r>
          <w:r>
            <w:rPr>
              <w:rFonts w:hint="eastAsia"/>
              <w:bCs/>
              <w:highlight w:val="none"/>
            </w:rPr>
            <w:t>广东电力通信科技有限公司2025-2026年</w:t>
          </w:r>
          <w:r>
            <w:rPr>
              <w:rFonts w:hint="eastAsia"/>
              <w:bCs/>
              <w:highlight w:val="none"/>
              <w:lang w:val="en-US" w:eastAsia="zh-CN"/>
            </w:rPr>
            <w:t>天通</w:t>
          </w:r>
          <w:r>
            <w:rPr>
              <w:rFonts w:hint="eastAsia"/>
              <w:bCs/>
              <w:highlight w:val="none"/>
            </w:rPr>
            <w:t>卫星应急通信装置整部件委托制造服务技术规范书</w:t>
          </w:r>
          <w:r>
            <w:tab/>
          </w:r>
          <w:r>
            <w:fldChar w:fldCharType="begin"/>
          </w:r>
          <w:r>
            <w:instrText xml:space="preserve"> PAGEREF _Toc21881 \h </w:instrText>
          </w:r>
          <w:r>
            <w:fldChar w:fldCharType="separate"/>
          </w:r>
          <w:r>
            <w:t>7</w:t>
          </w:r>
          <w:r>
            <w:fldChar w:fldCharType="end"/>
          </w:r>
          <w:r>
            <w:rPr>
              <w:rFonts w:hint="eastAsia"/>
              <w:highlight w:val="none"/>
            </w:rPr>
            <w:fldChar w:fldCharType="end"/>
          </w:r>
        </w:p>
        <w:p w14:paraId="14A66153">
          <w:pPr>
            <w:pStyle w:val="37"/>
            <w:tabs>
              <w:tab w:val="right" w:leader="dot" w:pos="9413"/>
            </w:tabs>
          </w:pPr>
          <w:r>
            <w:rPr>
              <w:rFonts w:hint="eastAsia"/>
              <w:highlight w:val="none"/>
            </w:rPr>
            <w:fldChar w:fldCharType="begin"/>
          </w:r>
          <w:r>
            <w:rPr>
              <w:rFonts w:hint="eastAsia"/>
              <w:highlight w:val="none"/>
            </w:rPr>
            <w:instrText xml:space="preserve"> HYPERLINK \l _Toc22345 </w:instrText>
          </w:r>
          <w:r>
            <w:rPr>
              <w:rFonts w:hint="eastAsia"/>
              <w:highlight w:val="none"/>
            </w:rPr>
            <w:fldChar w:fldCharType="separate"/>
          </w:r>
          <w:r>
            <w:rPr>
              <w:rFonts w:hint="eastAsia"/>
              <w:highlight w:val="none"/>
            </w:rPr>
            <w:t>（专用部分）</w:t>
          </w:r>
          <w:r>
            <w:tab/>
          </w:r>
          <w:r>
            <w:fldChar w:fldCharType="begin"/>
          </w:r>
          <w:r>
            <w:instrText xml:space="preserve"> PAGEREF _Toc22345 \h </w:instrText>
          </w:r>
          <w:r>
            <w:fldChar w:fldCharType="separate"/>
          </w:r>
          <w:r>
            <w:t>7</w:t>
          </w:r>
          <w:r>
            <w:fldChar w:fldCharType="end"/>
          </w:r>
          <w:r>
            <w:rPr>
              <w:rFonts w:hint="eastAsia"/>
              <w:highlight w:val="none"/>
            </w:rPr>
            <w:fldChar w:fldCharType="end"/>
          </w:r>
        </w:p>
        <w:p w14:paraId="656DA431">
          <w:pPr>
            <w:pStyle w:val="37"/>
            <w:tabs>
              <w:tab w:val="right" w:leader="dot" w:pos="9413"/>
            </w:tabs>
          </w:pPr>
          <w:r>
            <w:rPr>
              <w:rFonts w:hint="eastAsia"/>
              <w:highlight w:val="none"/>
            </w:rPr>
            <w:fldChar w:fldCharType="begin"/>
          </w:r>
          <w:r>
            <w:rPr>
              <w:rFonts w:hint="eastAsia"/>
              <w:highlight w:val="none"/>
            </w:rPr>
            <w:instrText xml:space="preserve"> HYPERLINK \l _Toc22992 </w:instrText>
          </w:r>
          <w:r>
            <w:rPr>
              <w:rFonts w:hint="eastAsia"/>
              <w:highlight w:val="none"/>
            </w:rPr>
            <w:fldChar w:fldCharType="separate"/>
          </w:r>
          <w:r>
            <w:rPr>
              <w:rFonts w:hint="eastAsia" w:ascii="黑体" w:hAnsi="黑体" w:eastAsia="黑体" w:cs="黑体"/>
              <w:szCs w:val="30"/>
            </w:rPr>
            <w:t xml:space="preserve">一、 </w:t>
          </w:r>
          <w:r>
            <w:rPr>
              <w:rFonts w:hint="eastAsia" w:ascii="黑体" w:hAnsi="黑体" w:eastAsia="黑体" w:cs="黑体"/>
              <w:szCs w:val="30"/>
              <w:highlight w:val="none"/>
            </w:rPr>
            <w:t>装置技术要求</w:t>
          </w:r>
          <w:r>
            <w:tab/>
          </w:r>
          <w:r>
            <w:fldChar w:fldCharType="begin"/>
          </w:r>
          <w:r>
            <w:instrText xml:space="preserve"> PAGEREF _Toc22992 \h </w:instrText>
          </w:r>
          <w:r>
            <w:fldChar w:fldCharType="separate"/>
          </w:r>
          <w:r>
            <w:t>7</w:t>
          </w:r>
          <w:r>
            <w:fldChar w:fldCharType="end"/>
          </w:r>
          <w:r>
            <w:rPr>
              <w:rFonts w:hint="eastAsia"/>
              <w:highlight w:val="none"/>
            </w:rPr>
            <w:fldChar w:fldCharType="end"/>
          </w:r>
        </w:p>
        <w:p w14:paraId="4C0EA70C">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_Toc1408 </w:instrText>
          </w:r>
          <w:r>
            <w:rPr>
              <w:rFonts w:hint="eastAsia"/>
              <w:highlight w:val="none"/>
            </w:rPr>
            <w:fldChar w:fldCharType="separate"/>
          </w:r>
          <w:r>
            <w:rPr>
              <w:rFonts w:hint="eastAsia" w:ascii="Times New Roman" w:hAnsi="Times New Roman" w:eastAsia="黑体"/>
              <w:szCs w:val="24"/>
              <w:highlight w:val="none"/>
            </w:rPr>
            <w:t>1</w:t>
          </w:r>
          <w:r>
            <w:rPr>
              <w:rFonts w:ascii="Times New Roman" w:hAnsi="Times New Roman" w:eastAsia="黑体"/>
              <w:szCs w:val="24"/>
              <w:highlight w:val="none"/>
            </w:rPr>
            <w:t>.</w:t>
          </w:r>
          <w:r>
            <w:rPr>
              <w:rFonts w:hint="eastAsia" w:ascii="Times New Roman" w:hAnsi="Times New Roman" w:eastAsia="黑体"/>
              <w:szCs w:val="24"/>
              <w:highlight w:val="none"/>
              <w:lang w:val="en-US" w:eastAsia="zh-CN"/>
            </w:rPr>
            <w:t>1</w:t>
          </w:r>
          <w:r>
            <w:rPr>
              <w:rFonts w:hint="eastAsia" w:ascii="Times New Roman" w:hAnsi="Times New Roman" w:eastAsia="黑体"/>
              <w:szCs w:val="24"/>
              <w:highlight w:val="none"/>
            </w:rPr>
            <w:t>天通卫星通信终端</w:t>
          </w:r>
          <w:r>
            <w:tab/>
          </w:r>
          <w:r>
            <w:fldChar w:fldCharType="begin"/>
          </w:r>
          <w:r>
            <w:instrText xml:space="preserve"> PAGEREF _Toc1408 \h </w:instrText>
          </w:r>
          <w:r>
            <w:fldChar w:fldCharType="separate"/>
          </w:r>
          <w:r>
            <w:t>7</w:t>
          </w:r>
          <w:r>
            <w:fldChar w:fldCharType="end"/>
          </w:r>
          <w:r>
            <w:rPr>
              <w:rFonts w:hint="eastAsia"/>
              <w:highlight w:val="none"/>
            </w:rPr>
            <w:fldChar w:fldCharType="end"/>
          </w:r>
        </w:p>
        <w:p w14:paraId="1046A325">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_Toc18194 </w:instrText>
          </w:r>
          <w:r>
            <w:rPr>
              <w:rFonts w:hint="eastAsia"/>
              <w:highlight w:val="none"/>
            </w:rPr>
            <w:fldChar w:fldCharType="separate"/>
          </w:r>
          <w:r>
            <w:rPr>
              <w:rFonts w:hint="eastAsia" w:ascii="Times New Roman" w:hAnsi="Times New Roman" w:eastAsia="黑体"/>
              <w:szCs w:val="24"/>
              <w:highlight w:val="none"/>
            </w:rPr>
            <w:t>1</w:t>
          </w:r>
          <w:r>
            <w:rPr>
              <w:rFonts w:ascii="Times New Roman" w:hAnsi="Times New Roman" w:eastAsia="黑体"/>
              <w:szCs w:val="24"/>
              <w:highlight w:val="none"/>
            </w:rPr>
            <w:t>.</w:t>
          </w:r>
          <w:r>
            <w:rPr>
              <w:rFonts w:hint="eastAsia" w:ascii="Times New Roman" w:hAnsi="Times New Roman" w:eastAsia="黑体"/>
              <w:szCs w:val="24"/>
              <w:highlight w:val="none"/>
              <w:lang w:val="en-US" w:eastAsia="zh-CN"/>
            </w:rPr>
            <w:t>2</w:t>
          </w:r>
          <w:r>
            <w:rPr>
              <w:rFonts w:hint="eastAsia" w:ascii="Times New Roman" w:hAnsi="Times New Roman" w:eastAsia="黑体"/>
              <w:szCs w:val="24"/>
              <w:highlight w:val="none"/>
            </w:rPr>
            <w:t>天通卫星数据终端</w:t>
          </w:r>
          <w:r>
            <w:tab/>
          </w:r>
          <w:r>
            <w:fldChar w:fldCharType="begin"/>
          </w:r>
          <w:r>
            <w:instrText xml:space="preserve"> PAGEREF _Toc18194 \h </w:instrText>
          </w:r>
          <w:r>
            <w:fldChar w:fldCharType="separate"/>
          </w:r>
          <w:r>
            <w:t>10</w:t>
          </w:r>
          <w:r>
            <w:fldChar w:fldCharType="end"/>
          </w:r>
          <w:r>
            <w:rPr>
              <w:rFonts w:hint="eastAsia"/>
              <w:highlight w:val="none"/>
            </w:rPr>
            <w:fldChar w:fldCharType="end"/>
          </w:r>
        </w:p>
        <w:p w14:paraId="393F6364">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_Toc22825 </w:instrText>
          </w:r>
          <w:r>
            <w:rPr>
              <w:rFonts w:hint="eastAsia"/>
              <w:highlight w:val="none"/>
            </w:rPr>
            <w:fldChar w:fldCharType="separate"/>
          </w:r>
          <w:r>
            <w:rPr>
              <w:rFonts w:ascii="Times New Roman" w:hAnsi="Times New Roman" w:eastAsia="黑体"/>
              <w:szCs w:val="24"/>
              <w:highlight w:val="none"/>
            </w:rPr>
            <w:t>1.</w:t>
          </w:r>
          <w:r>
            <w:rPr>
              <w:rFonts w:hint="eastAsia" w:ascii="Times New Roman" w:hAnsi="Times New Roman" w:eastAsia="黑体"/>
              <w:szCs w:val="24"/>
              <w:highlight w:val="none"/>
              <w:lang w:val="en-US" w:eastAsia="zh-CN"/>
            </w:rPr>
            <w:t>3</w:t>
          </w:r>
          <w:r>
            <w:rPr>
              <w:rFonts w:hint="eastAsia" w:ascii="Times New Roman" w:hAnsi="Times New Roman" w:eastAsia="黑体"/>
              <w:szCs w:val="24"/>
              <w:highlight w:val="none"/>
            </w:rPr>
            <w:t>天通卫星接入终端室内机</w:t>
          </w:r>
          <w:r>
            <w:tab/>
          </w:r>
          <w:r>
            <w:fldChar w:fldCharType="begin"/>
          </w:r>
          <w:r>
            <w:instrText xml:space="preserve"> PAGEREF _Toc22825 \h </w:instrText>
          </w:r>
          <w:r>
            <w:fldChar w:fldCharType="separate"/>
          </w:r>
          <w:r>
            <w:t>13</w:t>
          </w:r>
          <w:r>
            <w:fldChar w:fldCharType="end"/>
          </w:r>
          <w:r>
            <w:rPr>
              <w:rFonts w:hint="eastAsia"/>
              <w:highlight w:val="none"/>
            </w:rPr>
            <w:fldChar w:fldCharType="end"/>
          </w:r>
        </w:p>
        <w:p w14:paraId="75009163">
          <w:pPr>
            <w:pStyle w:val="37"/>
            <w:tabs>
              <w:tab w:val="right" w:leader="dot" w:pos="9413"/>
            </w:tabs>
          </w:pPr>
          <w:r>
            <w:rPr>
              <w:rFonts w:hint="eastAsia"/>
              <w:highlight w:val="none"/>
            </w:rPr>
            <w:fldChar w:fldCharType="begin"/>
          </w:r>
          <w:r>
            <w:rPr>
              <w:rFonts w:hint="eastAsia"/>
              <w:highlight w:val="none"/>
            </w:rPr>
            <w:instrText xml:space="preserve"> HYPERLINK \l _Toc28784 </w:instrText>
          </w:r>
          <w:r>
            <w:rPr>
              <w:rFonts w:hint="eastAsia"/>
              <w:highlight w:val="none"/>
            </w:rPr>
            <w:fldChar w:fldCharType="separate"/>
          </w:r>
          <w:r>
            <w:rPr>
              <w:rFonts w:hint="eastAsia" w:ascii="黑体" w:hAnsi="黑体" w:eastAsia="黑体" w:cs="黑体"/>
              <w:szCs w:val="30"/>
            </w:rPr>
            <w:t xml:space="preserve">二、 </w:t>
          </w:r>
          <w:r>
            <w:rPr>
              <w:rFonts w:hint="eastAsia" w:ascii="黑体" w:hAnsi="黑体" w:eastAsia="黑体" w:cs="黑体"/>
              <w:szCs w:val="30"/>
              <w:highlight w:val="none"/>
            </w:rPr>
            <w:t>产品组装服务要求</w:t>
          </w:r>
          <w:r>
            <w:tab/>
          </w:r>
          <w:r>
            <w:fldChar w:fldCharType="begin"/>
          </w:r>
          <w:r>
            <w:instrText xml:space="preserve"> PAGEREF _Toc28784 \h </w:instrText>
          </w:r>
          <w:r>
            <w:fldChar w:fldCharType="separate"/>
          </w:r>
          <w:r>
            <w:t>17</w:t>
          </w:r>
          <w:r>
            <w:fldChar w:fldCharType="end"/>
          </w:r>
          <w:r>
            <w:rPr>
              <w:rFonts w:hint="eastAsia"/>
              <w:highlight w:val="none"/>
            </w:rPr>
            <w:fldChar w:fldCharType="end"/>
          </w:r>
        </w:p>
        <w:p w14:paraId="37D0C326">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_Toc3110 </w:instrText>
          </w:r>
          <w:r>
            <w:rPr>
              <w:rFonts w:hint="eastAsia"/>
              <w:highlight w:val="none"/>
            </w:rPr>
            <w:fldChar w:fldCharType="separate"/>
          </w:r>
          <w:r>
            <w:rPr>
              <w:rFonts w:hint="eastAsia" w:ascii="Times New Roman" w:hAnsi="Times New Roman" w:eastAsia="黑体"/>
              <w:szCs w:val="24"/>
              <w:highlight w:val="none"/>
            </w:rPr>
            <w:t>2</w:t>
          </w:r>
          <w:r>
            <w:rPr>
              <w:rFonts w:ascii="Times New Roman" w:hAnsi="Times New Roman" w:eastAsia="黑体"/>
              <w:szCs w:val="24"/>
              <w:highlight w:val="none"/>
            </w:rPr>
            <w:t>.</w:t>
          </w:r>
          <w:r>
            <w:rPr>
              <w:rFonts w:hint="eastAsia" w:ascii="Times New Roman" w:hAnsi="Times New Roman" w:eastAsia="黑体"/>
              <w:szCs w:val="24"/>
              <w:highlight w:val="none"/>
            </w:rPr>
            <w:t>1</w:t>
          </w:r>
          <w:r>
            <w:rPr>
              <w:rFonts w:ascii="Times New Roman" w:hAnsi="Times New Roman" w:eastAsia="黑体"/>
              <w:szCs w:val="24"/>
              <w:highlight w:val="none"/>
            </w:rPr>
            <w:t xml:space="preserve"> </w:t>
          </w:r>
          <w:r>
            <w:rPr>
              <w:rFonts w:hint="eastAsia" w:ascii="Times New Roman" w:hAnsi="Times New Roman" w:eastAsia="黑体"/>
              <w:szCs w:val="24"/>
              <w:highlight w:val="none"/>
            </w:rPr>
            <w:t>外观结构要求</w:t>
          </w:r>
          <w:r>
            <w:tab/>
          </w:r>
          <w:r>
            <w:fldChar w:fldCharType="begin"/>
          </w:r>
          <w:r>
            <w:instrText xml:space="preserve"> PAGEREF _Toc3110 \h </w:instrText>
          </w:r>
          <w:r>
            <w:fldChar w:fldCharType="separate"/>
          </w:r>
          <w:r>
            <w:t>17</w:t>
          </w:r>
          <w:r>
            <w:fldChar w:fldCharType="end"/>
          </w:r>
          <w:r>
            <w:rPr>
              <w:rFonts w:hint="eastAsia"/>
              <w:highlight w:val="none"/>
            </w:rPr>
            <w:fldChar w:fldCharType="end"/>
          </w:r>
        </w:p>
        <w:p w14:paraId="7ECAC2CD">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_Toc30165 </w:instrText>
          </w:r>
          <w:r>
            <w:rPr>
              <w:rFonts w:hint="eastAsia"/>
              <w:highlight w:val="none"/>
            </w:rPr>
            <w:fldChar w:fldCharType="separate"/>
          </w:r>
          <w:r>
            <w:rPr>
              <w:rFonts w:hint="eastAsia" w:ascii="Times New Roman" w:hAnsi="Times New Roman" w:eastAsia="黑体"/>
              <w:szCs w:val="24"/>
              <w:highlight w:val="none"/>
            </w:rPr>
            <w:t>2.2 外壳材质及其防护性能</w:t>
          </w:r>
          <w:r>
            <w:tab/>
          </w:r>
          <w:r>
            <w:fldChar w:fldCharType="begin"/>
          </w:r>
          <w:r>
            <w:instrText xml:space="preserve"> PAGEREF _Toc30165 \h </w:instrText>
          </w:r>
          <w:r>
            <w:fldChar w:fldCharType="separate"/>
          </w:r>
          <w:r>
            <w:t>17</w:t>
          </w:r>
          <w:r>
            <w:fldChar w:fldCharType="end"/>
          </w:r>
          <w:r>
            <w:rPr>
              <w:rFonts w:hint="eastAsia"/>
              <w:highlight w:val="none"/>
            </w:rPr>
            <w:fldChar w:fldCharType="end"/>
          </w:r>
        </w:p>
        <w:p w14:paraId="6C406B42">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_Toc7680 </w:instrText>
          </w:r>
          <w:r>
            <w:rPr>
              <w:rFonts w:hint="eastAsia"/>
              <w:highlight w:val="none"/>
            </w:rPr>
            <w:fldChar w:fldCharType="separate"/>
          </w:r>
          <w:r>
            <w:rPr>
              <w:rFonts w:hint="eastAsia" w:ascii="Times New Roman" w:hAnsi="Times New Roman" w:eastAsia="黑体"/>
              <w:szCs w:val="24"/>
              <w:highlight w:val="none"/>
            </w:rPr>
            <w:t>2.3 电气间隙和爬电距离</w:t>
          </w:r>
          <w:r>
            <w:tab/>
          </w:r>
          <w:r>
            <w:fldChar w:fldCharType="begin"/>
          </w:r>
          <w:r>
            <w:instrText xml:space="preserve"> PAGEREF _Toc7680 \h </w:instrText>
          </w:r>
          <w:r>
            <w:fldChar w:fldCharType="separate"/>
          </w:r>
          <w:r>
            <w:t>17</w:t>
          </w:r>
          <w:r>
            <w:fldChar w:fldCharType="end"/>
          </w:r>
          <w:r>
            <w:rPr>
              <w:rFonts w:hint="eastAsia"/>
              <w:highlight w:val="none"/>
            </w:rPr>
            <w:fldChar w:fldCharType="end"/>
          </w:r>
        </w:p>
        <w:p w14:paraId="7D5966C4">
          <w:pPr>
            <w:pStyle w:val="37"/>
            <w:tabs>
              <w:tab w:val="right" w:leader="dot" w:pos="9413"/>
            </w:tabs>
          </w:pPr>
          <w:r>
            <w:rPr>
              <w:rFonts w:hint="eastAsia"/>
              <w:highlight w:val="none"/>
            </w:rPr>
            <w:fldChar w:fldCharType="begin"/>
          </w:r>
          <w:r>
            <w:rPr>
              <w:rFonts w:hint="eastAsia"/>
              <w:highlight w:val="none"/>
            </w:rPr>
            <w:instrText xml:space="preserve"> HYPERLINK \l _Toc25292 </w:instrText>
          </w:r>
          <w:r>
            <w:rPr>
              <w:rFonts w:hint="eastAsia"/>
              <w:highlight w:val="none"/>
            </w:rPr>
            <w:fldChar w:fldCharType="separate"/>
          </w:r>
          <w:r>
            <w:rPr>
              <w:rFonts w:hint="eastAsia" w:ascii="黑体" w:hAnsi="黑体" w:eastAsia="黑体" w:cs="黑体"/>
              <w:szCs w:val="30"/>
            </w:rPr>
            <w:t xml:space="preserve">三、 </w:t>
          </w:r>
          <w:r>
            <w:rPr>
              <w:rFonts w:hint="eastAsia" w:ascii="黑体" w:hAnsi="黑体" w:eastAsia="黑体" w:cs="黑体"/>
              <w:szCs w:val="30"/>
              <w:highlight w:val="none"/>
            </w:rPr>
            <w:t>出厂试验</w:t>
          </w:r>
          <w:r>
            <w:tab/>
          </w:r>
          <w:r>
            <w:fldChar w:fldCharType="begin"/>
          </w:r>
          <w:r>
            <w:instrText xml:space="preserve"> PAGEREF _Toc25292 \h </w:instrText>
          </w:r>
          <w:r>
            <w:fldChar w:fldCharType="separate"/>
          </w:r>
          <w:r>
            <w:t>18</w:t>
          </w:r>
          <w:r>
            <w:fldChar w:fldCharType="end"/>
          </w:r>
          <w:r>
            <w:rPr>
              <w:rFonts w:hint="eastAsia"/>
              <w:highlight w:val="none"/>
            </w:rPr>
            <w:fldChar w:fldCharType="end"/>
          </w:r>
        </w:p>
        <w:p w14:paraId="316DC088">
          <w:pPr>
            <w:pStyle w:val="37"/>
            <w:tabs>
              <w:tab w:val="right" w:leader="dot" w:pos="9413"/>
            </w:tabs>
          </w:pPr>
          <w:r>
            <w:rPr>
              <w:rFonts w:hint="eastAsia"/>
              <w:highlight w:val="none"/>
            </w:rPr>
            <w:fldChar w:fldCharType="begin"/>
          </w:r>
          <w:r>
            <w:rPr>
              <w:rFonts w:hint="eastAsia"/>
              <w:highlight w:val="none"/>
            </w:rPr>
            <w:instrText xml:space="preserve"> HYPERLINK \l _Toc21939 </w:instrText>
          </w:r>
          <w:r>
            <w:rPr>
              <w:rFonts w:hint="eastAsia"/>
              <w:highlight w:val="none"/>
            </w:rPr>
            <w:fldChar w:fldCharType="separate"/>
          </w:r>
          <w:r>
            <w:rPr>
              <w:rFonts w:hint="eastAsia" w:ascii="黑体" w:hAnsi="黑体" w:eastAsia="黑体" w:cs="黑体"/>
              <w:szCs w:val="30"/>
            </w:rPr>
            <w:t xml:space="preserve">四、 </w:t>
          </w:r>
          <w:r>
            <w:rPr>
              <w:rFonts w:hint="eastAsia" w:ascii="黑体" w:hAnsi="黑体" w:eastAsia="黑体" w:cs="黑体"/>
              <w:szCs w:val="30"/>
              <w:highlight w:val="none"/>
            </w:rPr>
            <w:t>技术文件要求</w:t>
          </w:r>
          <w:r>
            <w:tab/>
          </w:r>
          <w:r>
            <w:fldChar w:fldCharType="begin"/>
          </w:r>
          <w:r>
            <w:instrText xml:space="preserve"> PAGEREF _Toc21939 \h </w:instrText>
          </w:r>
          <w:r>
            <w:fldChar w:fldCharType="separate"/>
          </w:r>
          <w:r>
            <w:t>18</w:t>
          </w:r>
          <w:r>
            <w:fldChar w:fldCharType="end"/>
          </w:r>
          <w:r>
            <w:rPr>
              <w:rFonts w:hint="eastAsia"/>
              <w:highlight w:val="none"/>
            </w:rPr>
            <w:fldChar w:fldCharType="end"/>
          </w:r>
        </w:p>
        <w:p w14:paraId="30B3D2F0">
          <w:pPr>
            <w:pStyle w:val="37"/>
            <w:tabs>
              <w:tab w:val="right" w:leader="dot" w:pos="9413"/>
            </w:tabs>
          </w:pPr>
          <w:r>
            <w:rPr>
              <w:rFonts w:hint="eastAsia"/>
              <w:highlight w:val="none"/>
            </w:rPr>
            <w:fldChar w:fldCharType="begin"/>
          </w:r>
          <w:r>
            <w:rPr>
              <w:rFonts w:hint="eastAsia"/>
              <w:highlight w:val="none"/>
            </w:rPr>
            <w:instrText xml:space="preserve"> HYPERLINK \l _Toc3470 </w:instrText>
          </w:r>
          <w:r>
            <w:rPr>
              <w:rFonts w:hint="eastAsia"/>
              <w:highlight w:val="none"/>
            </w:rPr>
            <w:fldChar w:fldCharType="separate"/>
          </w:r>
          <w:r>
            <w:rPr>
              <w:rFonts w:hint="eastAsia" w:ascii="黑体" w:hAnsi="黑体" w:eastAsia="黑体" w:cs="黑体"/>
              <w:szCs w:val="30"/>
            </w:rPr>
            <w:t xml:space="preserve">五、 </w:t>
          </w:r>
          <w:r>
            <w:rPr>
              <w:rFonts w:hint="eastAsia" w:ascii="黑体" w:hAnsi="黑体" w:eastAsia="黑体" w:cs="黑体"/>
              <w:szCs w:val="30"/>
              <w:highlight w:val="none"/>
            </w:rPr>
            <w:t>监造、包装、运输和贮存及质量保证</w:t>
          </w:r>
          <w:r>
            <w:tab/>
          </w:r>
          <w:r>
            <w:fldChar w:fldCharType="begin"/>
          </w:r>
          <w:r>
            <w:instrText xml:space="preserve"> PAGEREF _Toc3470 \h </w:instrText>
          </w:r>
          <w:r>
            <w:fldChar w:fldCharType="separate"/>
          </w:r>
          <w:r>
            <w:t>19</w:t>
          </w:r>
          <w:r>
            <w:fldChar w:fldCharType="end"/>
          </w:r>
          <w:r>
            <w:rPr>
              <w:rFonts w:hint="eastAsia"/>
              <w:highlight w:val="none"/>
            </w:rPr>
            <w:fldChar w:fldCharType="end"/>
          </w:r>
        </w:p>
        <w:p w14:paraId="20704C96">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_Toc30457 </w:instrText>
          </w:r>
          <w:r>
            <w:rPr>
              <w:rFonts w:hint="eastAsia"/>
              <w:highlight w:val="none"/>
            </w:rPr>
            <w:fldChar w:fldCharType="separate"/>
          </w:r>
          <w:r>
            <w:rPr>
              <w:rFonts w:hint="eastAsia" w:ascii="Times New Roman" w:hAnsi="Times New Roman" w:eastAsia="黑体"/>
              <w:szCs w:val="21"/>
              <w:highlight w:val="none"/>
            </w:rPr>
            <w:t>5.</w:t>
          </w:r>
          <w:r>
            <w:rPr>
              <w:rFonts w:ascii="Times New Roman" w:hAnsi="Times New Roman" w:eastAsia="黑体"/>
              <w:szCs w:val="21"/>
              <w:highlight w:val="none"/>
            </w:rPr>
            <w:t>1</w:t>
          </w:r>
          <w:r>
            <w:rPr>
              <w:rFonts w:hint="eastAsia" w:ascii="Times New Roman" w:hAnsi="Times New Roman" w:eastAsia="黑体"/>
              <w:szCs w:val="21"/>
              <w:highlight w:val="none"/>
            </w:rPr>
            <w:t>监造</w:t>
          </w:r>
          <w:r>
            <w:tab/>
          </w:r>
          <w:r>
            <w:fldChar w:fldCharType="begin"/>
          </w:r>
          <w:r>
            <w:instrText xml:space="preserve"> PAGEREF _Toc30457 \h </w:instrText>
          </w:r>
          <w:r>
            <w:fldChar w:fldCharType="separate"/>
          </w:r>
          <w:r>
            <w:t>19</w:t>
          </w:r>
          <w:r>
            <w:fldChar w:fldCharType="end"/>
          </w:r>
          <w:r>
            <w:rPr>
              <w:rFonts w:hint="eastAsia"/>
              <w:highlight w:val="none"/>
            </w:rPr>
            <w:fldChar w:fldCharType="end"/>
          </w:r>
        </w:p>
        <w:p w14:paraId="7D766113">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_Toc32688 </w:instrText>
          </w:r>
          <w:r>
            <w:rPr>
              <w:rFonts w:hint="eastAsia"/>
              <w:highlight w:val="none"/>
            </w:rPr>
            <w:fldChar w:fldCharType="separate"/>
          </w:r>
          <w:r>
            <w:rPr>
              <w:rFonts w:hint="eastAsia" w:ascii="Times New Roman" w:hAnsi="Times New Roman" w:eastAsia="黑体"/>
              <w:szCs w:val="21"/>
              <w:highlight w:val="none"/>
            </w:rPr>
            <w:t>5.</w:t>
          </w:r>
          <w:r>
            <w:rPr>
              <w:rFonts w:ascii="Times New Roman" w:hAnsi="Times New Roman" w:eastAsia="黑体"/>
              <w:szCs w:val="21"/>
              <w:highlight w:val="none"/>
            </w:rPr>
            <w:t>2包装</w:t>
          </w:r>
          <w:r>
            <w:tab/>
          </w:r>
          <w:r>
            <w:fldChar w:fldCharType="begin"/>
          </w:r>
          <w:r>
            <w:instrText xml:space="preserve"> PAGEREF _Toc32688 \h </w:instrText>
          </w:r>
          <w:r>
            <w:fldChar w:fldCharType="separate"/>
          </w:r>
          <w:r>
            <w:t>19</w:t>
          </w:r>
          <w:r>
            <w:fldChar w:fldCharType="end"/>
          </w:r>
          <w:r>
            <w:rPr>
              <w:rFonts w:hint="eastAsia"/>
              <w:highlight w:val="none"/>
            </w:rPr>
            <w:fldChar w:fldCharType="end"/>
          </w:r>
        </w:p>
        <w:p w14:paraId="6BA450E2">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_Toc28372 </w:instrText>
          </w:r>
          <w:r>
            <w:rPr>
              <w:rFonts w:hint="eastAsia"/>
              <w:highlight w:val="none"/>
            </w:rPr>
            <w:fldChar w:fldCharType="separate"/>
          </w:r>
          <w:r>
            <w:rPr>
              <w:rFonts w:hint="eastAsia" w:ascii="Times New Roman" w:hAnsi="Times New Roman" w:eastAsia="黑体"/>
              <w:szCs w:val="21"/>
              <w:highlight w:val="none"/>
            </w:rPr>
            <w:t>5.3运输</w:t>
          </w:r>
          <w:r>
            <w:tab/>
          </w:r>
          <w:r>
            <w:fldChar w:fldCharType="begin"/>
          </w:r>
          <w:r>
            <w:instrText xml:space="preserve"> PAGEREF _Toc28372 \h </w:instrText>
          </w:r>
          <w:r>
            <w:fldChar w:fldCharType="separate"/>
          </w:r>
          <w:r>
            <w:t>19</w:t>
          </w:r>
          <w:r>
            <w:fldChar w:fldCharType="end"/>
          </w:r>
          <w:r>
            <w:rPr>
              <w:rFonts w:hint="eastAsia"/>
              <w:highlight w:val="none"/>
            </w:rPr>
            <w:fldChar w:fldCharType="end"/>
          </w:r>
        </w:p>
        <w:p w14:paraId="12E3E009">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_Toc15616 </w:instrText>
          </w:r>
          <w:r>
            <w:rPr>
              <w:rFonts w:hint="eastAsia"/>
              <w:highlight w:val="none"/>
            </w:rPr>
            <w:fldChar w:fldCharType="separate"/>
          </w:r>
          <w:r>
            <w:rPr>
              <w:rFonts w:hint="eastAsia" w:ascii="Times New Roman" w:hAnsi="Times New Roman" w:eastAsia="黑体"/>
              <w:szCs w:val="21"/>
              <w:highlight w:val="none"/>
            </w:rPr>
            <w:t>5.4储存</w:t>
          </w:r>
          <w:r>
            <w:tab/>
          </w:r>
          <w:r>
            <w:fldChar w:fldCharType="begin"/>
          </w:r>
          <w:r>
            <w:instrText xml:space="preserve"> PAGEREF _Toc15616 \h </w:instrText>
          </w:r>
          <w:r>
            <w:fldChar w:fldCharType="separate"/>
          </w:r>
          <w:r>
            <w:t>19</w:t>
          </w:r>
          <w:r>
            <w:fldChar w:fldCharType="end"/>
          </w:r>
          <w:r>
            <w:rPr>
              <w:rFonts w:hint="eastAsia"/>
              <w:highlight w:val="none"/>
            </w:rPr>
            <w:fldChar w:fldCharType="end"/>
          </w:r>
        </w:p>
        <w:p w14:paraId="7FB00637">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_Toc6493 </w:instrText>
          </w:r>
          <w:r>
            <w:rPr>
              <w:rFonts w:hint="eastAsia"/>
              <w:highlight w:val="none"/>
            </w:rPr>
            <w:fldChar w:fldCharType="separate"/>
          </w:r>
          <w:r>
            <w:rPr>
              <w:rFonts w:hint="eastAsia" w:ascii="Times New Roman" w:hAnsi="Times New Roman" w:eastAsia="黑体"/>
              <w:szCs w:val="21"/>
              <w:highlight w:val="none"/>
            </w:rPr>
            <w:t>5.5开箱检查</w:t>
          </w:r>
          <w:r>
            <w:tab/>
          </w:r>
          <w:r>
            <w:fldChar w:fldCharType="begin"/>
          </w:r>
          <w:r>
            <w:instrText xml:space="preserve"> PAGEREF _Toc6493 \h </w:instrText>
          </w:r>
          <w:r>
            <w:fldChar w:fldCharType="separate"/>
          </w:r>
          <w:r>
            <w:t>20</w:t>
          </w:r>
          <w:r>
            <w:fldChar w:fldCharType="end"/>
          </w:r>
          <w:r>
            <w:rPr>
              <w:rFonts w:hint="eastAsia"/>
              <w:highlight w:val="none"/>
            </w:rPr>
            <w:fldChar w:fldCharType="end"/>
          </w:r>
        </w:p>
        <w:p w14:paraId="3493B489">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_Toc8856 </w:instrText>
          </w:r>
          <w:r>
            <w:rPr>
              <w:rFonts w:hint="eastAsia"/>
              <w:highlight w:val="none"/>
            </w:rPr>
            <w:fldChar w:fldCharType="separate"/>
          </w:r>
          <w:r>
            <w:rPr>
              <w:rFonts w:hint="eastAsia" w:ascii="Times New Roman" w:hAnsi="Times New Roman" w:eastAsia="黑体"/>
              <w:szCs w:val="21"/>
              <w:highlight w:val="none"/>
            </w:rPr>
            <w:t>5.6质量保证</w:t>
          </w:r>
          <w:r>
            <w:tab/>
          </w:r>
          <w:r>
            <w:fldChar w:fldCharType="begin"/>
          </w:r>
          <w:r>
            <w:instrText xml:space="preserve"> PAGEREF _Toc8856 \h </w:instrText>
          </w:r>
          <w:r>
            <w:fldChar w:fldCharType="separate"/>
          </w:r>
          <w:r>
            <w:t>20</w:t>
          </w:r>
          <w:r>
            <w:fldChar w:fldCharType="end"/>
          </w:r>
          <w:r>
            <w:rPr>
              <w:rFonts w:hint="eastAsia"/>
              <w:highlight w:val="none"/>
            </w:rPr>
            <w:fldChar w:fldCharType="end"/>
          </w:r>
        </w:p>
        <w:p w14:paraId="1E7D1A06">
          <w:pPr>
            <w:pStyle w:val="37"/>
            <w:tabs>
              <w:tab w:val="right" w:leader="dot" w:pos="9413"/>
            </w:tabs>
          </w:pPr>
          <w:r>
            <w:rPr>
              <w:rFonts w:hint="eastAsia"/>
              <w:highlight w:val="none"/>
            </w:rPr>
            <w:fldChar w:fldCharType="begin"/>
          </w:r>
          <w:r>
            <w:rPr>
              <w:rFonts w:hint="eastAsia"/>
              <w:highlight w:val="none"/>
            </w:rPr>
            <w:instrText xml:space="preserve"> HYPERLINK \l _Toc4903 </w:instrText>
          </w:r>
          <w:r>
            <w:rPr>
              <w:rFonts w:hint="eastAsia"/>
              <w:highlight w:val="none"/>
            </w:rPr>
            <w:fldChar w:fldCharType="separate"/>
          </w:r>
          <w:r>
            <w:rPr>
              <w:rFonts w:hint="eastAsia" w:ascii="黑体" w:hAnsi="黑体" w:eastAsia="黑体" w:cs="黑体"/>
              <w:szCs w:val="30"/>
              <w:highlight w:val="none"/>
            </w:rPr>
            <w:t>附录A 延保服务内容</w:t>
          </w:r>
          <w:r>
            <w:tab/>
          </w:r>
          <w:r>
            <w:fldChar w:fldCharType="begin"/>
          </w:r>
          <w:r>
            <w:instrText xml:space="preserve"> PAGEREF _Toc4903 \h </w:instrText>
          </w:r>
          <w:r>
            <w:fldChar w:fldCharType="separate"/>
          </w:r>
          <w:r>
            <w:t>21</w:t>
          </w:r>
          <w:r>
            <w:fldChar w:fldCharType="end"/>
          </w:r>
          <w:r>
            <w:rPr>
              <w:rFonts w:hint="eastAsia"/>
              <w:highlight w:val="none"/>
            </w:rPr>
            <w:fldChar w:fldCharType="end"/>
          </w:r>
        </w:p>
        <w:p w14:paraId="0E20674E">
          <w:pPr>
            <w:pStyle w:val="37"/>
            <w:tabs>
              <w:tab w:val="right" w:leader="dot" w:pos="9413"/>
            </w:tabs>
          </w:pPr>
          <w:r>
            <w:rPr>
              <w:rFonts w:hint="eastAsia"/>
              <w:highlight w:val="none"/>
            </w:rPr>
            <w:fldChar w:fldCharType="begin"/>
          </w:r>
          <w:r>
            <w:rPr>
              <w:rFonts w:hint="eastAsia"/>
              <w:highlight w:val="none"/>
            </w:rPr>
            <w:instrText xml:space="preserve"> HYPERLINK \l _Toc10026 </w:instrText>
          </w:r>
          <w:r>
            <w:rPr>
              <w:rFonts w:hint="eastAsia"/>
              <w:highlight w:val="none"/>
            </w:rPr>
            <w:fldChar w:fldCharType="separate"/>
          </w:r>
          <w:r>
            <w:rPr>
              <w:rFonts w:hint="eastAsia" w:ascii="黑体" w:hAnsi="黑体" w:eastAsia="黑体" w:cs="黑体"/>
              <w:szCs w:val="30"/>
              <w:highlight w:val="none"/>
            </w:rPr>
            <w:t>附录B 承诺函及其附表</w:t>
          </w:r>
          <w:r>
            <w:tab/>
          </w:r>
          <w:r>
            <w:fldChar w:fldCharType="begin"/>
          </w:r>
          <w:r>
            <w:instrText xml:space="preserve"> PAGEREF _Toc10026 \h </w:instrText>
          </w:r>
          <w:r>
            <w:fldChar w:fldCharType="separate"/>
          </w:r>
          <w:r>
            <w:t>22</w:t>
          </w:r>
          <w:r>
            <w:fldChar w:fldCharType="end"/>
          </w:r>
          <w:r>
            <w:rPr>
              <w:rFonts w:hint="eastAsia"/>
              <w:highlight w:val="none"/>
            </w:rPr>
            <w:fldChar w:fldCharType="end"/>
          </w:r>
        </w:p>
        <w:p w14:paraId="70E3DFF5">
          <w:pPr>
            <w:pStyle w:val="37"/>
            <w:tabs>
              <w:tab w:val="right" w:leader="dot" w:pos="9413"/>
            </w:tabs>
          </w:pPr>
          <w:r>
            <w:rPr>
              <w:rFonts w:hint="eastAsia"/>
              <w:highlight w:val="none"/>
            </w:rPr>
            <w:fldChar w:fldCharType="begin"/>
          </w:r>
          <w:r>
            <w:rPr>
              <w:rFonts w:hint="eastAsia"/>
              <w:highlight w:val="none"/>
            </w:rPr>
            <w:instrText xml:space="preserve"> HYPERLINK \l _Toc23230 </w:instrText>
          </w:r>
          <w:r>
            <w:rPr>
              <w:rFonts w:hint="eastAsia"/>
              <w:highlight w:val="none"/>
            </w:rPr>
            <w:fldChar w:fldCharType="separate"/>
          </w:r>
          <w:r>
            <w:rPr>
              <w:rFonts w:hint="eastAsia" w:ascii="黑体" w:hAnsi="黑体" w:eastAsia="黑体" w:cs="黑体"/>
              <w:szCs w:val="30"/>
              <w:highlight w:val="none"/>
            </w:rPr>
            <w:t>附表1：</w:t>
          </w:r>
          <w:r>
            <w:tab/>
          </w:r>
          <w:r>
            <w:fldChar w:fldCharType="begin"/>
          </w:r>
          <w:r>
            <w:instrText xml:space="preserve"> PAGEREF _Toc23230 \h </w:instrText>
          </w:r>
          <w:r>
            <w:fldChar w:fldCharType="separate"/>
          </w:r>
          <w:r>
            <w:t>23</w:t>
          </w:r>
          <w:r>
            <w:fldChar w:fldCharType="end"/>
          </w:r>
          <w:r>
            <w:rPr>
              <w:rFonts w:hint="eastAsia"/>
              <w:highlight w:val="none"/>
            </w:rPr>
            <w:fldChar w:fldCharType="end"/>
          </w:r>
        </w:p>
        <w:p w14:paraId="448AC899">
          <w:pPr>
            <w:pStyle w:val="4"/>
            <w:rPr>
              <w:b/>
              <w:highlight w:val="none"/>
            </w:rPr>
          </w:pPr>
          <w:r>
            <w:rPr>
              <w:rFonts w:hint="eastAsia"/>
              <w:highlight w:val="none"/>
            </w:rPr>
            <w:fldChar w:fldCharType="end"/>
          </w:r>
        </w:p>
      </w:sdtContent>
    </w:sdt>
    <w:p w14:paraId="1E47A335">
      <w:pPr>
        <w:pStyle w:val="4"/>
        <w:rPr>
          <w:b/>
          <w:highlight w:val="none"/>
        </w:rPr>
        <w:sectPr>
          <w:footerReference r:id="rId7" w:type="default"/>
          <w:pgSz w:w="11907" w:h="16840"/>
          <w:pgMar w:top="1474" w:right="1247" w:bottom="1474" w:left="1247" w:header="850" w:footer="850" w:gutter="0"/>
          <w:pgNumType w:start="1"/>
          <w:cols w:space="0" w:num="1"/>
          <w:docGrid w:type="lines" w:linePitch="312" w:charSpace="0"/>
        </w:sectPr>
      </w:pPr>
    </w:p>
    <w:p w14:paraId="5D1D96EF">
      <w:pPr>
        <w:pStyle w:val="4"/>
        <w:rPr>
          <w:b/>
          <w:highlight w:val="none"/>
        </w:rPr>
      </w:pPr>
    </w:p>
    <w:p w14:paraId="2890186D">
      <w:pPr>
        <w:pStyle w:val="2"/>
        <w:jc w:val="center"/>
        <w:rPr>
          <w:highlight w:val="none"/>
        </w:rPr>
      </w:pPr>
      <w:bookmarkStart w:id="0" w:name="_Toc8686"/>
      <w:bookmarkStart w:id="1" w:name="_Toc7322"/>
      <w:bookmarkStart w:id="2" w:name="_Toc19065"/>
      <w:r>
        <w:rPr>
          <w:rFonts w:hint="eastAsia"/>
          <w:highlight w:val="none"/>
        </w:rPr>
        <w:t>广东电力通信科技有限公司2025-2026年</w:t>
      </w:r>
      <w:r>
        <w:rPr>
          <w:rFonts w:hint="eastAsia"/>
          <w:highlight w:val="none"/>
          <w:lang w:val="en-US" w:eastAsia="zh-CN"/>
        </w:rPr>
        <w:t>天通</w:t>
      </w:r>
      <w:r>
        <w:rPr>
          <w:rFonts w:hint="eastAsia"/>
          <w:highlight w:val="none"/>
        </w:rPr>
        <w:t>卫星应急通信装置整部件委托制造服务技术规范书</w:t>
      </w:r>
      <w:bookmarkEnd w:id="0"/>
      <w:bookmarkEnd w:id="1"/>
      <w:bookmarkEnd w:id="2"/>
    </w:p>
    <w:p w14:paraId="1BC2847B">
      <w:pPr>
        <w:pStyle w:val="2"/>
        <w:jc w:val="center"/>
        <w:rPr>
          <w:highlight w:val="none"/>
        </w:rPr>
      </w:pPr>
      <w:bookmarkStart w:id="3" w:name="_Toc18889"/>
      <w:bookmarkStart w:id="4" w:name="_Toc2054"/>
      <w:bookmarkStart w:id="5" w:name="_Toc8019"/>
      <w:r>
        <w:rPr>
          <w:rFonts w:hint="eastAsia"/>
          <w:highlight w:val="none"/>
        </w:rPr>
        <w:t>（通用部分）</w:t>
      </w:r>
      <w:bookmarkEnd w:id="3"/>
      <w:bookmarkEnd w:id="4"/>
      <w:bookmarkEnd w:id="5"/>
    </w:p>
    <w:p w14:paraId="58B8E287">
      <w:pPr>
        <w:pStyle w:val="2"/>
        <w:tabs>
          <w:tab w:val="left" w:pos="425"/>
        </w:tabs>
        <w:spacing w:before="0" w:after="0" w:line="400" w:lineRule="exact"/>
        <w:rPr>
          <w:rFonts w:ascii="Times New Roman" w:hAnsi="Times New Roman" w:eastAsia="黑体"/>
          <w:sz w:val="21"/>
          <w:szCs w:val="21"/>
          <w:highlight w:val="none"/>
        </w:rPr>
      </w:pPr>
      <w:bookmarkStart w:id="6" w:name="_Toc395186717"/>
      <w:bookmarkStart w:id="7" w:name="_Toc5830"/>
      <w:bookmarkStart w:id="8" w:name="_Toc10667"/>
      <w:bookmarkStart w:id="9" w:name="_Toc292025341"/>
      <w:bookmarkStart w:id="10" w:name="_Toc31140"/>
      <w:bookmarkStart w:id="11" w:name="_Toc526001172"/>
      <w:bookmarkStart w:id="12" w:name="_Toc4216"/>
      <w:bookmarkStart w:id="13" w:name="_Toc11446"/>
      <w:r>
        <w:rPr>
          <w:rFonts w:hint="eastAsia" w:ascii="Times New Roman" w:hAnsi="Times New Roman" w:eastAsia="黑体"/>
          <w:sz w:val="21"/>
          <w:szCs w:val="21"/>
          <w:highlight w:val="none"/>
        </w:rPr>
        <w:t>一、总则</w:t>
      </w:r>
      <w:bookmarkEnd w:id="6"/>
      <w:bookmarkEnd w:id="7"/>
      <w:bookmarkEnd w:id="8"/>
      <w:bookmarkEnd w:id="9"/>
      <w:bookmarkEnd w:id="10"/>
      <w:bookmarkEnd w:id="11"/>
      <w:bookmarkEnd w:id="12"/>
      <w:bookmarkEnd w:id="13"/>
    </w:p>
    <w:p w14:paraId="0A36FBBA">
      <w:pPr>
        <w:numPr>
          <w:ilvl w:val="1"/>
          <w:numId w:val="23"/>
        </w:numPr>
        <w:rPr>
          <w:rFonts w:ascii="Times New Roman" w:hAnsi="Times New Roman"/>
          <w:highlight w:val="none"/>
        </w:rPr>
      </w:pPr>
      <w:r>
        <w:rPr>
          <w:rFonts w:hint="eastAsia" w:ascii="Times New Roman" w:hAnsi="Times New Roman"/>
          <w:highlight w:val="none"/>
        </w:rPr>
        <w:t xml:space="preserve"> 本技术规范书适用于广东电力通信科技有限公司</w:t>
      </w:r>
      <w:r>
        <w:rPr>
          <w:rFonts w:hint="eastAsia" w:ascii="Times New Roman" w:hAnsi="Times New Roman"/>
          <w:highlight w:val="none"/>
          <w:lang w:eastAsia="zh-CN"/>
        </w:rPr>
        <w:t>2025-2026年天通卫星应急通信装置整部件委</w:t>
      </w:r>
      <w:r>
        <w:rPr>
          <w:rFonts w:hint="eastAsia" w:ascii="Times New Roman" w:hAnsi="Times New Roman"/>
          <w:highlight w:val="none"/>
        </w:rPr>
        <w:t>托制造服务的招标工作。提出了卫星应急通信装置整部件</w:t>
      </w:r>
      <w:r>
        <w:rPr>
          <w:rFonts w:ascii="Times New Roman" w:hAnsi="Times New Roman"/>
          <w:highlight w:val="none"/>
        </w:rPr>
        <w:t>的结构、性能、</w:t>
      </w:r>
      <w:r>
        <w:rPr>
          <w:rFonts w:hint="eastAsia"/>
          <w:szCs w:val="21"/>
          <w:highlight w:val="none"/>
        </w:rPr>
        <w:t>生产、品控、仓储、物流</w:t>
      </w:r>
      <w:r>
        <w:rPr>
          <w:rFonts w:ascii="Times New Roman" w:hAnsi="Times New Roman"/>
          <w:highlight w:val="none"/>
        </w:rPr>
        <w:t>等方面的技术要求。</w:t>
      </w:r>
    </w:p>
    <w:p w14:paraId="36DA5044">
      <w:pPr>
        <w:numPr>
          <w:ilvl w:val="1"/>
          <w:numId w:val="23"/>
        </w:numPr>
        <w:rPr>
          <w:rFonts w:ascii="Times New Roman" w:hAnsi="Times New Roman"/>
          <w:highlight w:val="none"/>
        </w:rPr>
      </w:pPr>
      <w:r>
        <w:rPr>
          <w:rFonts w:ascii="Times New Roman" w:hAnsi="Times New Roman"/>
          <w:highlight w:val="none"/>
        </w:rPr>
        <w:t>本</w:t>
      </w:r>
      <w:r>
        <w:rPr>
          <w:rFonts w:hint="eastAsia" w:ascii="Times New Roman" w:hAnsi="Times New Roman"/>
          <w:highlight w:val="none"/>
        </w:rPr>
        <w:t>技术规范书</w:t>
      </w:r>
      <w:r>
        <w:rPr>
          <w:rFonts w:ascii="Times New Roman" w:hAnsi="Times New Roman"/>
          <w:highlight w:val="none"/>
        </w:rPr>
        <w:t>提出的是最低限度的技术要求。凡本</w:t>
      </w:r>
      <w:r>
        <w:rPr>
          <w:rFonts w:hint="eastAsia" w:ascii="Times New Roman" w:hAnsi="Times New Roman"/>
          <w:highlight w:val="none"/>
        </w:rPr>
        <w:t>技术规范书</w:t>
      </w:r>
      <w:r>
        <w:rPr>
          <w:rFonts w:ascii="Times New Roman" w:hAnsi="Times New Roman"/>
          <w:highlight w:val="none"/>
        </w:rPr>
        <w:t>中未规定，但在相关设备的行业标准、国家标准或IEC标准中有规定的规范条文，投标方应按相关标准的最高技术要求执行。对国家有关安全、环保等强制性标准，必须满足其要求。</w:t>
      </w:r>
    </w:p>
    <w:p w14:paraId="5C9331C9">
      <w:pPr>
        <w:numPr>
          <w:ilvl w:val="1"/>
          <w:numId w:val="23"/>
        </w:numPr>
        <w:rPr>
          <w:rFonts w:ascii="Times New Roman" w:hAnsi="Times New Roman"/>
          <w:highlight w:val="none"/>
        </w:rPr>
      </w:pPr>
      <w:r>
        <w:rPr>
          <w:rFonts w:ascii="Times New Roman" w:hAnsi="Times New Roman"/>
          <w:highlight w:val="none"/>
        </w:rPr>
        <w:t>如果投标方没有以书面形式对本技术规范书的条文提出异议，则意味着投标方提供的设备完全符合本技术规范书的要求。如有异议，不管是多么微小，都应在投标文件中以“</w:t>
      </w:r>
      <w:r>
        <w:rPr>
          <w:rFonts w:hint="eastAsia" w:ascii="Times New Roman" w:hAnsi="Times New Roman"/>
          <w:highlight w:val="none"/>
        </w:rPr>
        <w:t>工艺</w:t>
      </w:r>
      <w:r>
        <w:rPr>
          <w:rFonts w:ascii="Times New Roman" w:hAnsi="Times New Roman"/>
          <w:highlight w:val="none"/>
        </w:rPr>
        <w:t>差异表”为标题的专门章节中加以详细描述。</w:t>
      </w:r>
    </w:p>
    <w:p w14:paraId="4CD2F594">
      <w:pPr>
        <w:numPr>
          <w:ilvl w:val="1"/>
          <w:numId w:val="23"/>
        </w:numPr>
        <w:rPr>
          <w:rFonts w:ascii="Times New Roman" w:hAnsi="Times New Roman"/>
          <w:highlight w:val="none"/>
        </w:rPr>
      </w:pPr>
      <w:r>
        <w:rPr>
          <w:rFonts w:ascii="Times New Roman" w:hAnsi="Times New Roman"/>
          <w:highlight w:val="none"/>
        </w:rPr>
        <w:t>本</w:t>
      </w:r>
      <w:r>
        <w:rPr>
          <w:rFonts w:hint="eastAsia" w:ascii="Times New Roman" w:hAnsi="Times New Roman"/>
          <w:highlight w:val="none"/>
        </w:rPr>
        <w:t>技术规范书</w:t>
      </w:r>
      <w:r>
        <w:rPr>
          <w:rFonts w:ascii="Times New Roman" w:hAnsi="Times New Roman"/>
          <w:highlight w:val="none"/>
        </w:rPr>
        <w:t>所使用的标准如遇与投标方所执行的标准不一致时，按技术要求较高的标准执行。</w:t>
      </w:r>
    </w:p>
    <w:p w14:paraId="0845D3EE">
      <w:pPr>
        <w:numPr>
          <w:ilvl w:val="1"/>
          <w:numId w:val="23"/>
        </w:numPr>
        <w:rPr>
          <w:rFonts w:ascii="Times New Roman" w:hAnsi="Times New Roman"/>
          <w:highlight w:val="none"/>
        </w:rPr>
      </w:pPr>
      <w:r>
        <w:rPr>
          <w:rFonts w:ascii="Times New Roman" w:hAnsi="Times New Roman"/>
          <w:highlight w:val="none"/>
        </w:rPr>
        <w:t>本</w:t>
      </w:r>
      <w:r>
        <w:rPr>
          <w:rFonts w:hint="eastAsia" w:ascii="Times New Roman" w:hAnsi="Times New Roman"/>
          <w:highlight w:val="none"/>
        </w:rPr>
        <w:t>技术规范书</w:t>
      </w:r>
      <w:r>
        <w:rPr>
          <w:rFonts w:ascii="Times New Roman" w:hAnsi="Times New Roman"/>
          <w:highlight w:val="none"/>
        </w:rPr>
        <w:t>经买、卖双方确认后作为订货合同的技术附件，与合同正文具有同等的法律效力。</w:t>
      </w:r>
    </w:p>
    <w:p w14:paraId="1019FFC5">
      <w:pPr>
        <w:numPr>
          <w:ilvl w:val="1"/>
          <w:numId w:val="23"/>
        </w:numPr>
        <w:rPr>
          <w:rFonts w:ascii="Times New Roman" w:hAnsi="Times New Roman"/>
          <w:highlight w:val="none"/>
        </w:rPr>
      </w:pPr>
      <w:r>
        <w:rPr>
          <w:rFonts w:ascii="Times New Roman" w:hAnsi="Times New Roman"/>
          <w:highlight w:val="none"/>
        </w:rPr>
        <w:t>本</w:t>
      </w:r>
      <w:r>
        <w:rPr>
          <w:rFonts w:hint="eastAsia" w:ascii="Times New Roman" w:hAnsi="Times New Roman"/>
          <w:highlight w:val="none"/>
        </w:rPr>
        <w:t>技术规范书</w:t>
      </w:r>
      <w:r>
        <w:rPr>
          <w:rFonts w:ascii="Times New Roman" w:hAnsi="Times New Roman"/>
          <w:highlight w:val="none"/>
        </w:rPr>
        <w:t>未尽事宜，由买、卖双方协商确定。</w:t>
      </w:r>
    </w:p>
    <w:p w14:paraId="1FCAA279">
      <w:pPr>
        <w:numPr>
          <w:ilvl w:val="1"/>
          <w:numId w:val="23"/>
        </w:numPr>
        <w:rPr>
          <w:rFonts w:ascii="Times New Roman" w:hAnsi="Times New Roman"/>
          <w:highlight w:val="none"/>
        </w:rPr>
      </w:pPr>
      <w:r>
        <w:rPr>
          <w:rFonts w:ascii="Times New Roman" w:hAnsi="Times New Roman"/>
          <w:highlight w:val="none"/>
        </w:rPr>
        <w:t>投标方在投标技术文件中应如实反映投标产品与本技术规范书的技术差异。如果投标方没有提出技术差异，而在执行合同的过程中，招标方发现投标方提供的产品与其投标技术文件的条文存在差异，招标方有权利要求退货，并追究投标方违约责任。</w:t>
      </w:r>
    </w:p>
    <w:p w14:paraId="169776A3">
      <w:pPr>
        <w:numPr>
          <w:ilvl w:val="1"/>
          <w:numId w:val="23"/>
        </w:numPr>
        <w:rPr>
          <w:rFonts w:ascii="Times New Roman" w:hAnsi="Times New Roman"/>
          <w:highlight w:val="none"/>
        </w:rPr>
      </w:pPr>
      <w:r>
        <w:rPr>
          <w:rFonts w:ascii="Times New Roman" w:hAnsi="Times New Roman"/>
          <w:highlight w:val="none"/>
        </w:rPr>
        <w:t>投标方应在投标技术部分按本</w:t>
      </w:r>
      <w:r>
        <w:rPr>
          <w:rFonts w:hint="eastAsia" w:ascii="Times New Roman" w:hAnsi="Times New Roman"/>
          <w:highlight w:val="none"/>
        </w:rPr>
        <w:t>技术规范书</w:t>
      </w:r>
      <w:r>
        <w:rPr>
          <w:rFonts w:ascii="Times New Roman" w:hAnsi="Times New Roman"/>
          <w:highlight w:val="none"/>
        </w:rPr>
        <w:t>的要求如实详细的填写投标设备的</w:t>
      </w:r>
      <w:r>
        <w:rPr>
          <w:rFonts w:hint="eastAsia" w:ascii="Times New Roman" w:hAnsi="Times New Roman"/>
          <w:highlight w:val="none"/>
        </w:rPr>
        <w:t>工艺</w:t>
      </w:r>
      <w:r>
        <w:rPr>
          <w:rFonts w:ascii="Times New Roman" w:hAnsi="Times New Roman"/>
          <w:highlight w:val="none"/>
        </w:rPr>
        <w:t>配置表。</w:t>
      </w:r>
    </w:p>
    <w:p w14:paraId="16F70CBD">
      <w:pPr>
        <w:numPr>
          <w:ilvl w:val="1"/>
          <w:numId w:val="23"/>
        </w:numPr>
        <w:rPr>
          <w:rFonts w:ascii="Times New Roman" w:hAnsi="Times New Roman"/>
          <w:highlight w:val="none"/>
        </w:rPr>
      </w:pPr>
      <w:r>
        <w:rPr>
          <w:rFonts w:ascii="Times New Roman" w:hAnsi="Times New Roman"/>
          <w:highlight w:val="none"/>
        </w:rPr>
        <w:t>投标方应充分理解本</w:t>
      </w:r>
      <w:r>
        <w:rPr>
          <w:rFonts w:hint="eastAsia" w:ascii="Times New Roman" w:hAnsi="Times New Roman"/>
          <w:highlight w:val="none"/>
        </w:rPr>
        <w:t>技术规范书</w:t>
      </w:r>
      <w:r>
        <w:rPr>
          <w:rFonts w:ascii="Times New Roman" w:hAnsi="Times New Roman"/>
          <w:highlight w:val="none"/>
        </w:rPr>
        <w:t>并按具体条款、格式要求填写投标的技术文件，如发现投标的技术文件条款、格式不符合本技术规范书的要求，则认为投标不严肃，在评标时将有不同程度的扣分。</w:t>
      </w:r>
    </w:p>
    <w:p w14:paraId="29276CEA">
      <w:pPr>
        <w:numPr>
          <w:ilvl w:val="1"/>
          <w:numId w:val="23"/>
        </w:numPr>
        <w:rPr>
          <w:rFonts w:ascii="Times New Roman" w:hAnsi="Times New Roman"/>
          <w:highlight w:val="none"/>
        </w:rPr>
      </w:pPr>
      <w:r>
        <w:rPr>
          <w:rFonts w:hint="eastAsia" w:ascii="Times New Roman" w:hAnsi="Times New Roman"/>
          <w:highlight w:val="none"/>
        </w:rPr>
        <w:tab/>
      </w:r>
      <w:r>
        <w:rPr>
          <w:rFonts w:hint="eastAsia" w:ascii="Times New Roman" w:hAnsi="Times New Roman"/>
          <w:highlight w:val="none"/>
        </w:rPr>
        <w:t>卫星应急通信装置的主控程序由招标方提供，由投标方完成主控板出厂测试后进行主控程序灌装工作。投标方其他零部件若有部分私有程序接口，需完全匹配招标方主控程序要求。若由于主控程序适配不成功导致招标方无法准时供货，进而造成的损失由投标方负全责，招标方有权向投标方进行索赔。主控板的软件接口要求详见技术规范书。主控程序由招标方与中标方签订合同后提供，中标方需履行资料保密责任。</w:t>
      </w:r>
    </w:p>
    <w:p w14:paraId="0634C461">
      <w:pPr>
        <w:numPr>
          <w:ilvl w:val="1"/>
          <w:numId w:val="23"/>
        </w:numPr>
        <w:rPr>
          <w:rFonts w:ascii="Times New Roman" w:hAnsi="Times New Roman"/>
          <w:highlight w:val="none"/>
        </w:rPr>
      </w:pPr>
      <w:r>
        <w:rPr>
          <w:rFonts w:ascii="Times New Roman" w:hAnsi="Times New Roman"/>
          <w:highlight w:val="none"/>
        </w:rPr>
        <w:t>投标方定制加工的设备需从硬件层面支撑技术规范书所提到的设备功能的实现。</w:t>
      </w:r>
    </w:p>
    <w:p w14:paraId="2F67971C">
      <w:pPr>
        <w:pStyle w:val="28"/>
        <w:numPr>
          <w:ilvl w:val="1"/>
          <w:numId w:val="23"/>
        </w:numPr>
        <w:adjustRightInd w:val="0"/>
        <w:snapToGrid w:val="0"/>
        <w:spacing w:line="400" w:lineRule="exact"/>
        <w:rPr>
          <w:rFonts w:ascii="Times New Roman" w:hAnsi="Times New Roman"/>
          <w:szCs w:val="22"/>
          <w:highlight w:val="none"/>
        </w:rPr>
      </w:pPr>
      <w:r>
        <w:rPr>
          <w:rFonts w:hint="eastAsia" w:ascii="Times New Roman" w:hAnsi="Times New Roman"/>
          <w:szCs w:val="22"/>
          <w:highlight w:val="none"/>
        </w:rPr>
        <w:t>本技术规范书中，凡标注“★”号的条款/指标为关键条款/指标，投标方必须给予高度重视，给出明确响应，如有偏离，将被视为对招标文件的非实质性响应，将导致其投标被视为无效。</w:t>
      </w:r>
    </w:p>
    <w:p w14:paraId="00088DD8">
      <w:pPr>
        <w:pStyle w:val="28"/>
        <w:numPr>
          <w:ilvl w:val="1"/>
          <w:numId w:val="23"/>
        </w:numPr>
        <w:adjustRightInd w:val="0"/>
        <w:snapToGrid w:val="0"/>
        <w:spacing w:line="400" w:lineRule="exact"/>
        <w:rPr>
          <w:rFonts w:ascii="Times New Roman" w:hAnsi="Times New Roman"/>
          <w:szCs w:val="22"/>
          <w:highlight w:val="none"/>
        </w:rPr>
      </w:pPr>
      <w:r>
        <w:rPr>
          <w:rFonts w:hint="eastAsia" w:ascii="Times New Roman" w:hAnsi="Times New Roman"/>
          <w:szCs w:val="22"/>
          <w:highlight w:val="none"/>
        </w:rPr>
        <w:t>投标人应出具承诺函，承诺不得使用美光公司产品（包括含有美光芯片的产品）投标，确保采购产品符合国家要求。</w:t>
      </w:r>
    </w:p>
    <w:p w14:paraId="6B1CBFD5">
      <w:pPr>
        <w:pStyle w:val="2"/>
        <w:tabs>
          <w:tab w:val="left" w:pos="425"/>
        </w:tabs>
        <w:spacing w:before="0" w:after="0" w:line="400" w:lineRule="exact"/>
        <w:rPr>
          <w:rFonts w:ascii="Times New Roman" w:hAnsi="Times New Roman" w:eastAsia="黑体"/>
          <w:sz w:val="21"/>
          <w:szCs w:val="21"/>
          <w:highlight w:val="none"/>
        </w:rPr>
      </w:pPr>
      <w:bookmarkStart w:id="14" w:name="_Toc27373"/>
      <w:bookmarkStart w:id="15" w:name="_Toc395186718"/>
      <w:bookmarkStart w:id="16" w:name="_Toc246216316"/>
      <w:bookmarkStart w:id="17" w:name="_Toc209"/>
      <w:bookmarkStart w:id="18" w:name="_Toc279695347"/>
      <w:bookmarkStart w:id="19" w:name="_Toc526001173"/>
      <w:bookmarkStart w:id="20" w:name="_Toc10936"/>
      <w:bookmarkStart w:id="21" w:name="_Toc112756677"/>
      <w:bookmarkStart w:id="22" w:name="_Toc276490890"/>
      <w:bookmarkStart w:id="23" w:name="_Toc292025342"/>
      <w:bookmarkStart w:id="24" w:name="_Toc276492358"/>
      <w:bookmarkStart w:id="25" w:name="_Toc271281204"/>
      <w:bookmarkStart w:id="26" w:name="_Toc25641"/>
      <w:bookmarkStart w:id="27" w:name="_Toc11109"/>
      <w:bookmarkStart w:id="28" w:name="_Toc155114607"/>
      <w:bookmarkStart w:id="29" w:name="_Toc241911995"/>
      <w:r>
        <w:rPr>
          <w:rFonts w:hint="eastAsia" w:ascii="Times New Roman" w:hAnsi="Times New Roman" w:eastAsia="黑体"/>
          <w:sz w:val="21"/>
          <w:szCs w:val="21"/>
          <w:highlight w:val="none"/>
        </w:rPr>
        <w:t>二、工作范围</w:t>
      </w:r>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0CC8D7D">
      <w:pPr>
        <w:pStyle w:val="3"/>
        <w:numPr>
          <w:ilvl w:val="255"/>
          <w:numId w:val="0"/>
        </w:numPr>
        <w:spacing w:before="0" w:after="0" w:line="400" w:lineRule="exact"/>
        <w:rPr>
          <w:rFonts w:ascii="Times New Roman" w:hAnsi="Times New Roman" w:eastAsia="黑体"/>
          <w:szCs w:val="21"/>
          <w:highlight w:val="none"/>
        </w:rPr>
      </w:pPr>
      <w:bookmarkStart w:id="30" w:name="_Toc526001174"/>
      <w:bookmarkStart w:id="31" w:name="_Toc395186720"/>
      <w:bookmarkStart w:id="32" w:name="_Toc292025344"/>
      <w:bookmarkStart w:id="33" w:name="_Toc505241143"/>
      <w:bookmarkStart w:id="34" w:name="_Toc6852"/>
      <w:r>
        <w:rPr>
          <w:rFonts w:ascii="Times New Roman" w:hAnsi="Times New Roman" w:eastAsia="黑体"/>
          <w:sz w:val="21"/>
          <w:szCs w:val="21"/>
          <w:highlight w:val="none"/>
        </w:rPr>
        <w:t>2.1 范围和界限</w:t>
      </w:r>
      <w:bookmarkEnd w:id="30"/>
      <w:bookmarkEnd w:id="31"/>
      <w:bookmarkEnd w:id="32"/>
      <w:bookmarkEnd w:id="33"/>
      <w:bookmarkEnd w:id="34"/>
    </w:p>
    <w:p w14:paraId="2E865292">
      <w:pPr>
        <w:numPr>
          <w:ilvl w:val="1"/>
          <w:numId w:val="24"/>
        </w:numPr>
        <w:spacing w:line="400" w:lineRule="exact"/>
        <w:jc w:val="left"/>
        <w:rPr>
          <w:rFonts w:ascii="Times New Roman" w:hAnsi="Times New Roman"/>
          <w:highlight w:val="none"/>
        </w:rPr>
      </w:pPr>
      <w:r>
        <w:rPr>
          <w:rFonts w:hint="eastAsia" w:ascii="Times New Roman" w:hAnsi="Times New Roman"/>
          <w:highlight w:val="none"/>
        </w:rPr>
        <w:t xml:space="preserve"> </w:t>
      </w:r>
      <w:r>
        <w:rPr>
          <w:rFonts w:ascii="Times New Roman" w:hAnsi="Times New Roman" w:eastAsiaTheme="minorEastAsia"/>
          <w:highlight w:val="none"/>
        </w:rPr>
        <w:t>本</w:t>
      </w:r>
      <w:r>
        <w:rPr>
          <w:rFonts w:hint="eastAsia" w:ascii="Times New Roman" w:hAnsi="Times New Roman" w:eastAsiaTheme="minorEastAsia"/>
          <w:highlight w:val="none"/>
        </w:rPr>
        <w:t>技术规范书</w:t>
      </w:r>
      <w:r>
        <w:rPr>
          <w:rFonts w:ascii="Times New Roman" w:hAnsi="Times New Roman" w:eastAsiaTheme="minorEastAsia"/>
          <w:highlight w:val="none"/>
        </w:rPr>
        <w:t>适应于</w:t>
      </w:r>
      <w:r>
        <w:rPr>
          <w:rFonts w:hint="eastAsia" w:ascii="Times New Roman" w:hAnsi="Times New Roman"/>
          <w:highlight w:val="none"/>
        </w:rPr>
        <w:t>适用于广东电力通信科技有限公司卫星应急通信装置整部件</w:t>
      </w:r>
      <w:r>
        <w:rPr>
          <w:rFonts w:ascii="Times New Roman" w:hAnsi="Times New Roman" w:eastAsiaTheme="minorEastAsia"/>
          <w:szCs w:val="21"/>
          <w:highlight w:val="none"/>
        </w:rPr>
        <w:t>及其附属设备的制造、装配、交付</w:t>
      </w:r>
      <w:r>
        <w:rPr>
          <w:rFonts w:hint="eastAsia" w:ascii="Times New Roman" w:hAnsi="Times New Roman" w:eastAsiaTheme="minorEastAsia"/>
          <w:szCs w:val="21"/>
          <w:highlight w:val="none"/>
        </w:rPr>
        <w:t>等</w:t>
      </w:r>
      <w:r>
        <w:rPr>
          <w:rFonts w:ascii="Times New Roman" w:hAnsi="Times New Roman" w:eastAsiaTheme="minorEastAsia"/>
          <w:szCs w:val="21"/>
          <w:highlight w:val="none"/>
        </w:rPr>
        <w:t>工作。</w:t>
      </w:r>
    </w:p>
    <w:p w14:paraId="7FEEA026">
      <w:pPr>
        <w:numPr>
          <w:ilvl w:val="1"/>
          <w:numId w:val="24"/>
        </w:numPr>
        <w:spacing w:line="400" w:lineRule="exact"/>
        <w:jc w:val="left"/>
        <w:rPr>
          <w:rFonts w:ascii="Times New Roman" w:hAnsi="Times New Roman"/>
          <w:highlight w:val="none"/>
        </w:rPr>
      </w:pPr>
      <w:r>
        <w:rPr>
          <w:rFonts w:hint="eastAsia" w:ascii="Times New Roman" w:hAnsi="Times New Roman"/>
          <w:highlight w:val="none"/>
        </w:rPr>
        <w:t xml:space="preserve"> 产品应适于</w:t>
      </w:r>
      <w:r>
        <w:rPr>
          <w:rFonts w:ascii="Times New Roman" w:hAnsi="Times New Roman"/>
          <w:highlight w:val="none"/>
        </w:rPr>
        <w:t>陆运、空运、水运(海运)</w:t>
      </w:r>
      <w:r>
        <w:rPr>
          <w:rFonts w:hint="eastAsia" w:ascii="Times New Roman" w:hAnsi="Times New Roman"/>
          <w:highlight w:val="none"/>
        </w:rPr>
        <w:t>，运输装卸按包装箱的标志进行操作。</w:t>
      </w:r>
    </w:p>
    <w:p w14:paraId="39515B1A">
      <w:pPr>
        <w:pStyle w:val="3"/>
        <w:numPr>
          <w:ilvl w:val="255"/>
          <w:numId w:val="0"/>
        </w:numPr>
        <w:spacing w:before="0" w:after="0" w:line="400" w:lineRule="exact"/>
        <w:rPr>
          <w:rFonts w:ascii="Times New Roman" w:hAnsi="Times New Roman" w:eastAsia="黑体"/>
          <w:sz w:val="24"/>
          <w:szCs w:val="24"/>
          <w:highlight w:val="none"/>
        </w:rPr>
      </w:pPr>
      <w:bookmarkStart w:id="35" w:name="_Toc505241144"/>
      <w:bookmarkStart w:id="36" w:name="_Toc526001175"/>
      <w:bookmarkStart w:id="37" w:name="_Toc292025345"/>
      <w:bookmarkStart w:id="38" w:name="_Toc395186721"/>
      <w:bookmarkStart w:id="39" w:name="_Toc10903"/>
      <w:r>
        <w:rPr>
          <w:rFonts w:ascii="Times New Roman" w:hAnsi="Times New Roman" w:eastAsia="黑体"/>
          <w:sz w:val="24"/>
          <w:szCs w:val="24"/>
          <w:highlight w:val="none"/>
        </w:rPr>
        <w:t>2.2 服务范围</w:t>
      </w:r>
      <w:bookmarkEnd w:id="35"/>
      <w:bookmarkEnd w:id="36"/>
      <w:bookmarkEnd w:id="37"/>
      <w:bookmarkEnd w:id="38"/>
      <w:bookmarkEnd w:id="39"/>
    </w:p>
    <w:p w14:paraId="7D10C888">
      <w:pPr>
        <w:numPr>
          <w:ilvl w:val="1"/>
          <w:numId w:val="25"/>
        </w:numPr>
        <w:tabs>
          <w:tab w:val="left" w:pos="142"/>
        </w:tabs>
        <w:spacing w:line="400" w:lineRule="exact"/>
        <w:jc w:val="left"/>
        <w:rPr>
          <w:rFonts w:ascii="Times New Roman" w:hAnsi="Times New Roman"/>
          <w:highlight w:val="none"/>
        </w:rPr>
      </w:pPr>
      <w:r>
        <w:rPr>
          <w:rFonts w:hint="eastAsia" w:ascii="Times New Roman" w:hAnsi="Times New Roman"/>
          <w:szCs w:val="21"/>
          <w:highlight w:val="none"/>
        </w:rPr>
        <w:t>投标方应按本标书的要求提供全新的、合格的</w:t>
      </w:r>
      <w:r>
        <w:rPr>
          <w:rFonts w:hint="eastAsia" w:ascii="Times New Roman" w:hAnsi="Times New Roman"/>
          <w:highlight w:val="none"/>
        </w:rPr>
        <w:t>卫星应急通信装置</w:t>
      </w:r>
      <w:r>
        <w:rPr>
          <w:rFonts w:hint="eastAsia" w:ascii="Times New Roman" w:hAnsi="Times New Roman"/>
          <w:szCs w:val="21"/>
          <w:highlight w:val="none"/>
        </w:rPr>
        <w:t>设备及其附属设备、备品备件、专用工具和仪器。投标方所提供的组件或附件如需向第三方外购时，投标方应对质量向招标方负责，并提供相应出厂和验收报告。</w:t>
      </w:r>
    </w:p>
    <w:p w14:paraId="1937D1BB">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供货范围</w:t>
      </w:r>
      <w:bookmarkStart w:id="40" w:name="_Toc283011667"/>
      <w:bookmarkStart w:id="41" w:name="_Toc282433715"/>
      <w:bookmarkStart w:id="42" w:name="_Toc283142589"/>
      <w:r>
        <w:rPr>
          <w:rFonts w:ascii="Times New Roman" w:hAnsi="Times New Roman"/>
          <w:szCs w:val="21"/>
          <w:highlight w:val="none"/>
        </w:rPr>
        <w:t>一览表</w:t>
      </w:r>
      <w:bookmarkEnd w:id="40"/>
      <w:bookmarkEnd w:id="41"/>
      <w:bookmarkEnd w:id="42"/>
    </w:p>
    <w:p w14:paraId="4D79A81D">
      <w:pPr>
        <w:pStyle w:val="87"/>
        <w:spacing w:line="400" w:lineRule="exact"/>
        <w:rPr>
          <w:rFonts w:ascii="Times New Roman" w:hAnsi="Times New Roman"/>
          <w:highlight w:val="none"/>
        </w:rPr>
      </w:pPr>
      <w:r>
        <w:rPr>
          <w:rFonts w:hint="eastAsia" w:ascii="Times New Roman" w:hAnsi="Times New Roman" w:eastAsia="宋体"/>
          <w:szCs w:val="21"/>
          <w:highlight w:val="none"/>
        </w:rPr>
        <w:t>投标方提供的</w:t>
      </w:r>
      <w:r>
        <w:rPr>
          <w:rFonts w:hint="eastAsia" w:ascii="Times New Roman" w:hAnsi="Times New Roman" w:eastAsia="宋体"/>
          <w:highlight w:val="none"/>
        </w:rPr>
        <w:t>卫星应急通信装置</w:t>
      </w:r>
      <w:r>
        <w:rPr>
          <w:rFonts w:hint="eastAsia" w:ascii="Times New Roman" w:hAnsi="Times New Roman"/>
          <w:highlight w:val="none"/>
        </w:rPr>
        <w:t>设备整部件</w:t>
      </w:r>
      <w:r>
        <w:rPr>
          <w:rFonts w:hint="eastAsia" w:ascii="Times New Roman" w:hAnsi="Times New Roman" w:eastAsia="宋体"/>
          <w:szCs w:val="21"/>
          <w:highlight w:val="none"/>
        </w:rPr>
        <w:t>的具体规格一览表见专用部分。投标方应如实填写“投标方保证”栏。</w:t>
      </w:r>
      <w:r>
        <w:rPr>
          <w:rFonts w:hint="eastAsia" w:ascii="Times New Roman" w:hAnsi="Times New Roman"/>
          <w:highlight w:val="none"/>
        </w:rPr>
        <w:t>投标方应向招标方提供必备的备品备件，要求提供的专用工具和仪器仪表应是新品，与设备同型号、同工艺。</w:t>
      </w:r>
    </w:p>
    <w:p w14:paraId="79AEDABD">
      <w:pPr>
        <w:ind w:firstLine="2835" w:firstLineChars="1350"/>
        <w:rPr>
          <w:rFonts w:ascii="Times New Roman" w:hAnsi="Times New Roman"/>
          <w:highlight w:val="none"/>
        </w:rPr>
      </w:pPr>
      <w:r>
        <w:rPr>
          <w:rFonts w:ascii="Times New Roman" w:hAnsi="Times New Roman"/>
          <w:highlight w:val="none"/>
        </w:rPr>
        <w:t>表2.1供货范围及设备需求一览表</w:t>
      </w:r>
    </w:p>
    <w:tbl>
      <w:tblPr>
        <w:tblStyle w:val="51"/>
        <w:tblW w:w="4994" w:type="pct"/>
        <w:tblInd w:w="0" w:type="dxa"/>
        <w:tblLayout w:type="autofit"/>
        <w:tblCellMar>
          <w:top w:w="0" w:type="dxa"/>
          <w:left w:w="108" w:type="dxa"/>
          <w:bottom w:w="0" w:type="dxa"/>
          <w:right w:w="108" w:type="dxa"/>
        </w:tblCellMar>
      </w:tblPr>
      <w:tblGrid>
        <w:gridCol w:w="769"/>
        <w:gridCol w:w="3349"/>
        <w:gridCol w:w="880"/>
        <w:gridCol w:w="2544"/>
        <w:gridCol w:w="2075"/>
      </w:tblGrid>
      <w:tr w14:paraId="15E09C15">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43204">
            <w:pPr>
              <w:widowControl/>
              <w:jc w:val="center"/>
              <w:textAlignment w:val="center"/>
              <w:rPr>
                <w:rFonts w:ascii="宋体" w:hAnsi="宋体" w:cs="宋体"/>
                <w:szCs w:val="21"/>
                <w:highlight w:val="none"/>
              </w:rPr>
            </w:pPr>
            <w:r>
              <w:rPr>
                <w:rFonts w:hint="eastAsia" w:ascii="宋体" w:hAnsi="宋体" w:cs="宋体"/>
                <w:kern w:val="0"/>
                <w:szCs w:val="21"/>
                <w:highlight w:val="none"/>
                <w:lang w:bidi="ar"/>
              </w:rPr>
              <w:t>序号</w:t>
            </w:r>
          </w:p>
        </w:tc>
        <w:tc>
          <w:tcPr>
            <w:tcW w:w="17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DA899">
            <w:pPr>
              <w:widowControl/>
              <w:jc w:val="center"/>
              <w:textAlignment w:val="center"/>
              <w:rPr>
                <w:rFonts w:ascii="宋体" w:hAnsi="宋体" w:cs="宋体"/>
                <w:szCs w:val="21"/>
                <w:highlight w:val="none"/>
              </w:rPr>
            </w:pPr>
            <w:r>
              <w:rPr>
                <w:rFonts w:hint="eastAsia" w:ascii="宋体" w:hAnsi="宋体" w:cs="宋体"/>
                <w:kern w:val="0"/>
                <w:szCs w:val="21"/>
                <w:highlight w:val="none"/>
                <w:lang w:bidi="ar"/>
              </w:rPr>
              <w:t>名称</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EB3B3">
            <w:pPr>
              <w:widowControl/>
              <w:jc w:val="center"/>
              <w:textAlignment w:val="center"/>
              <w:rPr>
                <w:rFonts w:ascii="宋体" w:hAnsi="宋体" w:cs="宋体"/>
                <w:szCs w:val="21"/>
                <w:highlight w:val="none"/>
              </w:rPr>
            </w:pPr>
            <w:r>
              <w:rPr>
                <w:rFonts w:hint="eastAsia" w:ascii="宋体" w:hAnsi="宋体" w:cs="宋体"/>
                <w:kern w:val="0"/>
                <w:szCs w:val="21"/>
                <w:highlight w:val="none"/>
                <w:lang w:bidi="ar"/>
              </w:rPr>
              <w:t>单位</w:t>
            </w:r>
          </w:p>
        </w:tc>
        <w:tc>
          <w:tcPr>
            <w:tcW w:w="1322" w:type="pct"/>
            <w:tcBorders>
              <w:top w:val="single" w:color="000000" w:sz="4" w:space="0"/>
              <w:left w:val="single" w:color="000000" w:sz="4" w:space="0"/>
              <w:bottom w:val="single" w:color="000000" w:sz="4" w:space="0"/>
              <w:right w:val="single" w:color="000000" w:sz="4" w:space="0"/>
            </w:tcBorders>
            <w:shd w:val="clear" w:color="auto" w:fill="auto"/>
          </w:tcPr>
          <w:p w14:paraId="76D6A768">
            <w:pPr>
              <w:widowControl/>
              <w:jc w:val="center"/>
              <w:textAlignment w:val="top"/>
              <w:rPr>
                <w:rFonts w:ascii="宋体" w:hAnsi="宋体" w:cs="宋体"/>
                <w:szCs w:val="21"/>
                <w:highlight w:val="none"/>
              </w:rPr>
            </w:pPr>
            <w:r>
              <w:rPr>
                <w:rFonts w:hint="eastAsia" w:ascii="宋体" w:hAnsi="宋体" w:cs="宋体"/>
                <w:kern w:val="0"/>
                <w:szCs w:val="21"/>
                <w:highlight w:val="none"/>
                <w:lang w:bidi="ar"/>
              </w:rPr>
              <w:t>投标方响应型式、规格</w:t>
            </w:r>
          </w:p>
        </w:tc>
        <w:tc>
          <w:tcPr>
            <w:tcW w:w="1078" w:type="pct"/>
            <w:tcBorders>
              <w:top w:val="single" w:color="000000" w:sz="4" w:space="0"/>
              <w:left w:val="single" w:color="000000" w:sz="4" w:space="0"/>
              <w:bottom w:val="single" w:color="000000" w:sz="4" w:space="0"/>
              <w:right w:val="single" w:color="000000" w:sz="4" w:space="0"/>
            </w:tcBorders>
            <w:shd w:val="clear" w:color="auto" w:fill="auto"/>
          </w:tcPr>
          <w:p w14:paraId="43772B83">
            <w:pPr>
              <w:widowControl/>
              <w:jc w:val="center"/>
              <w:textAlignment w:val="top"/>
              <w:rPr>
                <w:rFonts w:ascii="宋体" w:hAnsi="宋体" w:cs="宋体"/>
                <w:szCs w:val="21"/>
                <w:highlight w:val="none"/>
              </w:rPr>
            </w:pPr>
            <w:r>
              <w:rPr>
                <w:rFonts w:hint="eastAsia" w:ascii="宋体" w:hAnsi="宋体" w:cs="宋体"/>
                <w:kern w:val="0"/>
                <w:szCs w:val="21"/>
                <w:highlight w:val="none"/>
                <w:lang w:bidi="ar"/>
              </w:rPr>
              <w:t>投标方响应数量</w:t>
            </w:r>
          </w:p>
        </w:tc>
      </w:tr>
      <w:tr w14:paraId="1E1D9310">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97913">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1.1</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3ECA5155">
            <w:pPr>
              <w:widowControl/>
              <w:jc w:val="left"/>
              <w:textAlignment w:val="top"/>
              <w:rPr>
                <w:rFonts w:ascii="宋体" w:hAnsi="宋体" w:cs="宋体"/>
                <w:szCs w:val="21"/>
                <w:highlight w:val="none"/>
              </w:rPr>
            </w:pPr>
            <w:r>
              <w:rPr>
                <w:rFonts w:hint="eastAsia" w:ascii="宋体" w:hAnsi="宋体" w:cs="宋体"/>
                <w:szCs w:val="21"/>
                <w:highlight w:val="none"/>
              </w:rPr>
              <w:t>天通卫星通信终端-电源模块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59ED1AF6">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B1E1D">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1A326">
            <w:pPr>
              <w:jc w:val="center"/>
              <w:rPr>
                <w:rFonts w:ascii="宋体" w:hAnsi="宋体" w:cs="宋体"/>
                <w:szCs w:val="21"/>
                <w:highlight w:val="none"/>
              </w:rPr>
            </w:pPr>
          </w:p>
        </w:tc>
      </w:tr>
      <w:tr w14:paraId="63C81B80">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8D778">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1.2</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44D7D499">
            <w:pPr>
              <w:widowControl/>
              <w:jc w:val="left"/>
              <w:textAlignment w:val="top"/>
              <w:rPr>
                <w:rFonts w:ascii="宋体" w:hAnsi="宋体" w:cs="宋体"/>
                <w:szCs w:val="21"/>
                <w:highlight w:val="none"/>
              </w:rPr>
            </w:pPr>
            <w:r>
              <w:rPr>
                <w:rFonts w:hint="eastAsia" w:ascii="宋体" w:hAnsi="宋体" w:cs="宋体"/>
                <w:szCs w:val="21"/>
                <w:highlight w:val="none"/>
              </w:rPr>
              <w:t>天通卫星通信终端-核心处理组建</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3CE6A54E">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E9222">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A39C1">
            <w:pPr>
              <w:jc w:val="center"/>
              <w:rPr>
                <w:rFonts w:ascii="宋体" w:hAnsi="宋体" w:cs="宋体"/>
                <w:szCs w:val="21"/>
                <w:highlight w:val="none"/>
              </w:rPr>
            </w:pPr>
          </w:p>
        </w:tc>
      </w:tr>
      <w:tr w14:paraId="14224F79">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92730">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1.3</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43886F53">
            <w:pPr>
              <w:widowControl/>
              <w:jc w:val="left"/>
              <w:textAlignment w:val="top"/>
              <w:rPr>
                <w:rFonts w:ascii="宋体" w:hAnsi="宋体" w:cs="宋体"/>
                <w:szCs w:val="21"/>
                <w:highlight w:val="none"/>
              </w:rPr>
            </w:pPr>
            <w:r>
              <w:rPr>
                <w:rFonts w:hint="eastAsia" w:ascii="宋体" w:hAnsi="宋体" w:cs="宋体"/>
                <w:szCs w:val="21"/>
                <w:highlight w:val="none"/>
              </w:rPr>
              <w:t>天通卫星通信终端-通信模块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4EC5F283">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3F73D">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E80A3">
            <w:pPr>
              <w:jc w:val="center"/>
              <w:rPr>
                <w:rFonts w:ascii="宋体" w:hAnsi="宋体" w:cs="宋体"/>
                <w:szCs w:val="21"/>
                <w:highlight w:val="none"/>
              </w:rPr>
            </w:pPr>
          </w:p>
        </w:tc>
      </w:tr>
      <w:tr w14:paraId="47873EF2">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B8685">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1.4</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2E0965DB">
            <w:pPr>
              <w:widowControl/>
              <w:jc w:val="left"/>
              <w:textAlignment w:val="top"/>
              <w:rPr>
                <w:rFonts w:ascii="宋体" w:hAnsi="宋体" w:cs="宋体"/>
                <w:szCs w:val="21"/>
                <w:highlight w:val="none"/>
              </w:rPr>
            </w:pPr>
            <w:r>
              <w:rPr>
                <w:rFonts w:hint="eastAsia" w:ascii="宋体" w:hAnsi="宋体" w:cs="宋体"/>
                <w:szCs w:val="21"/>
                <w:highlight w:val="none"/>
              </w:rPr>
              <w:t>天通卫星通信终端-外壳</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0C3F6910">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4872A">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1B8BA">
            <w:pPr>
              <w:jc w:val="center"/>
              <w:rPr>
                <w:rFonts w:ascii="宋体" w:hAnsi="宋体" w:cs="宋体"/>
                <w:szCs w:val="21"/>
                <w:highlight w:val="none"/>
              </w:rPr>
            </w:pPr>
          </w:p>
        </w:tc>
      </w:tr>
      <w:tr w14:paraId="739D59DC">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A5757">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2.1</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705008E3">
            <w:pPr>
              <w:widowControl/>
              <w:jc w:val="left"/>
              <w:textAlignment w:val="top"/>
              <w:rPr>
                <w:rFonts w:ascii="宋体" w:hAnsi="宋体" w:cs="宋体"/>
                <w:szCs w:val="21"/>
                <w:highlight w:val="none"/>
              </w:rPr>
            </w:pPr>
            <w:r>
              <w:rPr>
                <w:rFonts w:hint="eastAsia" w:ascii="宋体" w:hAnsi="宋体" w:cs="宋体"/>
                <w:szCs w:val="21"/>
                <w:highlight w:val="none"/>
              </w:rPr>
              <w:t>天通卫星数据终端-电源模块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39C370FF">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8F71C">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C928D">
            <w:pPr>
              <w:jc w:val="center"/>
              <w:rPr>
                <w:rFonts w:ascii="宋体" w:hAnsi="宋体" w:cs="宋体"/>
                <w:szCs w:val="21"/>
                <w:highlight w:val="none"/>
              </w:rPr>
            </w:pPr>
          </w:p>
        </w:tc>
      </w:tr>
      <w:tr w14:paraId="2CC3AAFE">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8F6A4">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2.2</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746A7BBB">
            <w:pPr>
              <w:widowControl/>
              <w:jc w:val="left"/>
              <w:textAlignment w:val="top"/>
              <w:rPr>
                <w:rFonts w:ascii="宋体" w:hAnsi="宋体" w:cs="宋体"/>
                <w:szCs w:val="21"/>
                <w:highlight w:val="none"/>
              </w:rPr>
            </w:pPr>
            <w:r>
              <w:rPr>
                <w:rFonts w:hint="eastAsia" w:ascii="宋体" w:hAnsi="宋体" w:cs="宋体"/>
                <w:szCs w:val="21"/>
                <w:highlight w:val="none"/>
              </w:rPr>
              <w:t>天通卫星数据终端-核心处理组建</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3A1F2264">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4C99B">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C2A92">
            <w:pPr>
              <w:jc w:val="center"/>
              <w:rPr>
                <w:rFonts w:ascii="宋体" w:hAnsi="宋体" w:cs="宋体"/>
                <w:szCs w:val="21"/>
                <w:highlight w:val="none"/>
              </w:rPr>
            </w:pPr>
          </w:p>
        </w:tc>
      </w:tr>
      <w:tr w14:paraId="54415321">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9185B">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2.3</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5B478D27">
            <w:pPr>
              <w:widowControl/>
              <w:jc w:val="left"/>
              <w:textAlignment w:val="top"/>
              <w:rPr>
                <w:rFonts w:ascii="宋体" w:hAnsi="宋体" w:cs="宋体"/>
                <w:szCs w:val="21"/>
                <w:highlight w:val="none"/>
              </w:rPr>
            </w:pPr>
            <w:r>
              <w:rPr>
                <w:rFonts w:hint="eastAsia" w:ascii="宋体" w:hAnsi="宋体" w:cs="宋体"/>
                <w:szCs w:val="21"/>
                <w:highlight w:val="none"/>
              </w:rPr>
              <w:t>天通卫星数据终端-通信模块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1A646E6C">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AD0FC">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B50D8">
            <w:pPr>
              <w:jc w:val="center"/>
              <w:rPr>
                <w:rFonts w:ascii="宋体" w:hAnsi="宋体" w:cs="宋体"/>
                <w:szCs w:val="21"/>
                <w:highlight w:val="none"/>
              </w:rPr>
            </w:pPr>
          </w:p>
        </w:tc>
      </w:tr>
      <w:tr w14:paraId="1BFCC1DD">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8D8E5">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3.4</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2CDCBBF0">
            <w:pPr>
              <w:widowControl/>
              <w:jc w:val="left"/>
              <w:textAlignment w:val="top"/>
              <w:rPr>
                <w:rFonts w:ascii="宋体" w:hAnsi="宋体" w:cs="宋体"/>
                <w:szCs w:val="21"/>
                <w:highlight w:val="none"/>
              </w:rPr>
            </w:pPr>
            <w:r>
              <w:rPr>
                <w:rFonts w:hint="eastAsia" w:ascii="宋体" w:hAnsi="宋体" w:cs="宋体"/>
                <w:szCs w:val="21"/>
                <w:highlight w:val="none"/>
              </w:rPr>
              <w:t>天通卫星数据终端-外壳</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20F378E4">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43E46">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BF351">
            <w:pPr>
              <w:jc w:val="center"/>
              <w:rPr>
                <w:rFonts w:ascii="宋体" w:hAnsi="宋体" w:cs="宋体"/>
                <w:szCs w:val="21"/>
                <w:highlight w:val="none"/>
              </w:rPr>
            </w:pPr>
          </w:p>
        </w:tc>
      </w:tr>
      <w:tr w14:paraId="6CD3E017">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7439E">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3.1</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4E5F3E0D">
            <w:pPr>
              <w:widowControl/>
              <w:jc w:val="left"/>
              <w:textAlignment w:val="top"/>
              <w:rPr>
                <w:rFonts w:ascii="宋体" w:hAnsi="宋体" w:cs="宋体"/>
                <w:szCs w:val="21"/>
                <w:highlight w:val="none"/>
              </w:rPr>
            </w:pPr>
            <w:r>
              <w:rPr>
                <w:rFonts w:hint="eastAsia" w:ascii="宋体" w:hAnsi="宋体" w:cs="宋体"/>
                <w:szCs w:val="21"/>
                <w:highlight w:val="none"/>
              </w:rPr>
              <w:t>天通卫星接入终端室内机-电源模块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752232ED">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E4B53">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7C6E4">
            <w:pPr>
              <w:jc w:val="center"/>
              <w:rPr>
                <w:rFonts w:ascii="宋体" w:hAnsi="宋体" w:cs="宋体"/>
                <w:szCs w:val="21"/>
                <w:highlight w:val="none"/>
              </w:rPr>
            </w:pPr>
          </w:p>
        </w:tc>
      </w:tr>
      <w:tr w14:paraId="0D19D582">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CF6A1">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3.2</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3F0C5A19">
            <w:pPr>
              <w:widowControl/>
              <w:jc w:val="left"/>
              <w:textAlignment w:val="top"/>
              <w:rPr>
                <w:rFonts w:ascii="宋体" w:hAnsi="宋体" w:cs="宋体"/>
                <w:szCs w:val="21"/>
                <w:highlight w:val="none"/>
              </w:rPr>
            </w:pPr>
            <w:r>
              <w:rPr>
                <w:rFonts w:hint="eastAsia" w:ascii="宋体" w:hAnsi="宋体" w:cs="宋体"/>
                <w:szCs w:val="21"/>
                <w:highlight w:val="none"/>
              </w:rPr>
              <w:t>天通卫星接入终端室内机-核心处理组建</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4717DAAD">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4D015">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A797A">
            <w:pPr>
              <w:jc w:val="center"/>
              <w:rPr>
                <w:rFonts w:ascii="宋体" w:hAnsi="宋体" w:cs="宋体"/>
                <w:szCs w:val="21"/>
                <w:highlight w:val="none"/>
              </w:rPr>
            </w:pPr>
          </w:p>
        </w:tc>
      </w:tr>
      <w:tr w14:paraId="5DC96BAB">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026DB">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3.3</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08AF517C">
            <w:pPr>
              <w:widowControl/>
              <w:jc w:val="left"/>
              <w:textAlignment w:val="top"/>
              <w:rPr>
                <w:rFonts w:ascii="宋体" w:hAnsi="宋体" w:cs="宋体"/>
                <w:szCs w:val="21"/>
                <w:highlight w:val="none"/>
              </w:rPr>
            </w:pPr>
            <w:r>
              <w:rPr>
                <w:rFonts w:hint="eastAsia" w:ascii="宋体" w:hAnsi="宋体" w:cs="宋体"/>
                <w:szCs w:val="21"/>
                <w:highlight w:val="none"/>
              </w:rPr>
              <w:t>天通卫星接入终端室内机-通信模块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25A15B7A">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FD51D">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9EE21">
            <w:pPr>
              <w:jc w:val="center"/>
              <w:rPr>
                <w:rFonts w:ascii="宋体" w:hAnsi="宋体" w:cs="宋体"/>
                <w:szCs w:val="21"/>
                <w:highlight w:val="none"/>
              </w:rPr>
            </w:pPr>
          </w:p>
        </w:tc>
      </w:tr>
      <w:tr w14:paraId="4AF83E8A">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6C066">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3.4</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4DD02027">
            <w:pPr>
              <w:widowControl/>
              <w:jc w:val="left"/>
              <w:textAlignment w:val="top"/>
              <w:rPr>
                <w:rFonts w:ascii="宋体" w:hAnsi="宋体" w:cs="宋体"/>
                <w:szCs w:val="21"/>
                <w:highlight w:val="none"/>
              </w:rPr>
            </w:pPr>
            <w:r>
              <w:rPr>
                <w:rFonts w:hint="eastAsia" w:ascii="宋体" w:hAnsi="宋体" w:cs="宋体"/>
                <w:szCs w:val="21"/>
                <w:highlight w:val="none"/>
              </w:rPr>
              <w:t>天通卫星接入终端室内机-外壳</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316FE3E2">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74FBD">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E5E20">
            <w:pPr>
              <w:jc w:val="center"/>
              <w:rPr>
                <w:rFonts w:ascii="宋体" w:hAnsi="宋体" w:cs="宋体"/>
                <w:szCs w:val="21"/>
                <w:highlight w:val="none"/>
              </w:rPr>
            </w:pPr>
          </w:p>
        </w:tc>
      </w:tr>
    </w:tbl>
    <w:p w14:paraId="7044E20D">
      <w:pPr>
        <w:pStyle w:val="87"/>
        <w:spacing w:line="400" w:lineRule="exact"/>
        <w:rPr>
          <w:rFonts w:ascii="Times New Roman" w:hAnsi="Times New Roman"/>
          <w:highlight w:val="none"/>
        </w:rPr>
      </w:pPr>
    </w:p>
    <w:p w14:paraId="56B958CC">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投标方应协助招标方解决设备运行中出现的问题。</w:t>
      </w:r>
    </w:p>
    <w:p w14:paraId="03A720F3">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设备投运并稳定运行后，投标方和招标方（业主）双方应根据相关法律、法规和公司管理制度签署合同设备的验收证明书。该证明书共两份，双方各执一份。</w:t>
      </w:r>
    </w:p>
    <w:p w14:paraId="1A439D96">
      <w:pPr>
        <w:numPr>
          <w:ilvl w:val="1"/>
          <w:numId w:val="25"/>
        </w:numPr>
        <w:tabs>
          <w:tab w:val="left" w:pos="142"/>
        </w:tabs>
        <w:spacing w:line="400" w:lineRule="exact"/>
        <w:jc w:val="left"/>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t>如果技术指标一项或多项不能满足合同技术部分要求，</w:t>
      </w:r>
      <w:r>
        <w:rPr>
          <w:rFonts w:hint="eastAsia" w:ascii="Times New Roman" w:hAnsi="Times New Roman"/>
          <w:szCs w:val="21"/>
          <w:highlight w:val="none"/>
        </w:rPr>
        <w:t>买卖</w:t>
      </w:r>
      <w:r>
        <w:rPr>
          <w:rFonts w:ascii="Times New Roman" w:hAnsi="Times New Roman"/>
          <w:szCs w:val="21"/>
          <w:highlight w:val="none"/>
        </w:rPr>
        <w:t>双方共同分析原因，分清责任</w:t>
      </w:r>
      <w:r>
        <w:rPr>
          <w:rFonts w:hint="eastAsia" w:ascii="Times New Roman" w:hAnsi="Times New Roman"/>
          <w:szCs w:val="21"/>
          <w:highlight w:val="none"/>
        </w:rPr>
        <w:t>，如属制造方面的原因，或涉及索赔部分，按实际情况执行</w:t>
      </w:r>
      <w:r>
        <w:rPr>
          <w:rFonts w:ascii="Times New Roman" w:hAnsi="Times New Roman"/>
          <w:szCs w:val="21"/>
          <w:highlight w:val="none"/>
        </w:rPr>
        <w:t>。</w:t>
      </w:r>
    </w:p>
    <w:p w14:paraId="35E87755">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投标方应按</w:t>
      </w:r>
      <w:r>
        <w:rPr>
          <w:rFonts w:hint="eastAsia" w:ascii="Times New Roman" w:hAnsi="Times New Roman"/>
          <w:szCs w:val="21"/>
          <w:highlight w:val="none"/>
        </w:rPr>
        <w:t>招标方</w:t>
      </w:r>
      <w:r>
        <w:rPr>
          <w:rFonts w:ascii="Times New Roman" w:hAnsi="Times New Roman"/>
          <w:szCs w:val="21"/>
          <w:highlight w:val="none"/>
        </w:rPr>
        <w:t>技术规范进行</w:t>
      </w:r>
      <w:r>
        <w:rPr>
          <w:rFonts w:hint="eastAsia" w:ascii="Times New Roman" w:hAnsi="Times New Roman"/>
          <w:szCs w:val="21"/>
          <w:highlight w:val="none"/>
        </w:rPr>
        <w:t>供货设备的制造、装配、工厂试验、交付等工作</w:t>
      </w:r>
      <w:r>
        <w:rPr>
          <w:rFonts w:ascii="Times New Roman" w:hAnsi="Times New Roman"/>
          <w:szCs w:val="21"/>
          <w:highlight w:val="none"/>
        </w:rPr>
        <w:t>。</w:t>
      </w:r>
      <w:r>
        <w:rPr>
          <w:rFonts w:hint="eastAsia" w:ascii="Times New Roman" w:hAnsi="Times New Roman"/>
          <w:szCs w:val="21"/>
          <w:highlight w:val="none"/>
        </w:rPr>
        <w:t>并</w:t>
      </w:r>
      <w:r>
        <w:rPr>
          <w:rFonts w:ascii="Times New Roman" w:hAnsi="Times New Roman"/>
          <w:szCs w:val="21"/>
          <w:highlight w:val="none"/>
        </w:rPr>
        <w:t>负责所有供货设备的包装、运输到现场。</w:t>
      </w:r>
    </w:p>
    <w:p w14:paraId="0138EFBB">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除本标书供货范围外，投标方还应承担以下工作：</w:t>
      </w:r>
    </w:p>
    <w:p w14:paraId="16345950">
      <w:pPr>
        <w:pStyle w:val="28"/>
        <w:tabs>
          <w:tab w:val="left" w:pos="0"/>
          <w:tab w:val="left" w:pos="800"/>
        </w:tabs>
        <w:adjustRightInd w:val="0"/>
        <w:snapToGrid w:val="0"/>
        <w:spacing w:line="400" w:lineRule="exact"/>
        <w:ind w:left="420" w:leftChars="200"/>
        <w:rPr>
          <w:szCs w:val="21"/>
          <w:highlight w:val="none"/>
        </w:rPr>
      </w:pPr>
      <w:r>
        <w:rPr>
          <w:rFonts w:ascii="Calibri" w:hAnsi="Calibri" w:cs="Calibri"/>
          <w:b/>
          <w:bCs/>
          <w:szCs w:val="21"/>
          <w:highlight w:val="none"/>
        </w:rPr>
        <w:t>①</w:t>
      </w:r>
      <w:r>
        <w:rPr>
          <w:rFonts w:hint="eastAsia"/>
          <w:szCs w:val="21"/>
          <w:highlight w:val="none"/>
        </w:rPr>
        <w:t>投标方协助招标方处理调试投运过程中出现的问题，并提供相应的附件、备品备件、专用工具，做好销售服务工作。</w:t>
      </w:r>
    </w:p>
    <w:p w14:paraId="23E6C086">
      <w:pPr>
        <w:pStyle w:val="28"/>
        <w:tabs>
          <w:tab w:val="left" w:pos="0"/>
          <w:tab w:val="left" w:pos="800"/>
        </w:tabs>
        <w:adjustRightInd w:val="0"/>
        <w:snapToGrid w:val="0"/>
        <w:spacing w:line="400" w:lineRule="exact"/>
        <w:ind w:left="420" w:leftChars="200"/>
        <w:rPr>
          <w:szCs w:val="21"/>
          <w:highlight w:val="none"/>
        </w:rPr>
      </w:pPr>
      <w:r>
        <w:rPr>
          <w:rFonts w:ascii="Calibri" w:hAnsi="Calibri" w:cs="Calibri"/>
          <w:b/>
          <w:bCs/>
          <w:szCs w:val="21"/>
          <w:highlight w:val="none"/>
        </w:rPr>
        <w:t>②</w:t>
      </w:r>
      <w:r>
        <w:rPr>
          <w:szCs w:val="21"/>
          <w:highlight w:val="none"/>
        </w:rPr>
        <w:t>投标方负责按招标方要求进行设备包装、运送到招标方指定的地点，由此产生的费用由投标方承担。</w:t>
      </w:r>
    </w:p>
    <w:p w14:paraId="5D926440">
      <w:pPr>
        <w:pStyle w:val="28"/>
        <w:tabs>
          <w:tab w:val="left" w:pos="0"/>
          <w:tab w:val="left" w:pos="800"/>
        </w:tabs>
        <w:adjustRightInd w:val="0"/>
        <w:snapToGrid w:val="0"/>
        <w:spacing w:line="400" w:lineRule="exact"/>
        <w:ind w:left="420" w:leftChars="200"/>
        <w:rPr>
          <w:szCs w:val="21"/>
          <w:highlight w:val="none"/>
        </w:rPr>
      </w:pPr>
      <w:r>
        <w:rPr>
          <w:rFonts w:ascii="Calibri" w:hAnsi="Calibri" w:cs="Calibri"/>
          <w:b/>
          <w:bCs/>
          <w:szCs w:val="21"/>
          <w:highlight w:val="none"/>
        </w:rPr>
        <w:t>③</w:t>
      </w:r>
      <w:r>
        <w:rPr>
          <w:szCs w:val="21"/>
          <w:highlight w:val="none"/>
        </w:rPr>
        <w:t>投标方应对其采购的</w:t>
      </w:r>
      <w:r>
        <w:rPr>
          <w:rFonts w:hint="eastAsia"/>
          <w:szCs w:val="21"/>
          <w:highlight w:val="none"/>
        </w:rPr>
        <w:t>元器件、组件或附件</w:t>
      </w:r>
      <w:r>
        <w:rPr>
          <w:szCs w:val="21"/>
          <w:highlight w:val="none"/>
        </w:rPr>
        <w:t>质量、加工质量、出厂测试结果负责。</w:t>
      </w:r>
    </w:p>
    <w:p w14:paraId="63AC3A3B">
      <w:pPr>
        <w:pStyle w:val="28"/>
        <w:tabs>
          <w:tab w:val="left" w:pos="0"/>
          <w:tab w:val="left" w:pos="800"/>
        </w:tabs>
        <w:adjustRightInd w:val="0"/>
        <w:snapToGrid w:val="0"/>
        <w:spacing w:line="400" w:lineRule="exact"/>
        <w:ind w:left="420" w:leftChars="200"/>
        <w:rPr>
          <w:szCs w:val="21"/>
          <w:highlight w:val="none"/>
        </w:rPr>
      </w:pPr>
      <w:r>
        <w:rPr>
          <w:rFonts w:ascii="Calibri" w:hAnsi="Calibri" w:cs="Calibri"/>
          <w:b/>
          <w:bCs/>
          <w:szCs w:val="21"/>
          <w:highlight w:val="none"/>
        </w:rPr>
        <w:t>④</w:t>
      </w:r>
      <w:r>
        <w:rPr>
          <w:szCs w:val="21"/>
          <w:highlight w:val="none"/>
        </w:rPr>
        <w:t>投标方应承诺在质保期内根据最新国标、行标、企标的要求免费提供维修及更换服务。</w:t>
      </w:r>
    </w:p>
    <w:bookmarkEnd w:id="28"/>
    <w:bookmarkEnd w:id="29"/>
    <w:p w14:paraId="6798BE2F">
      <w:pPr>
        <w:pStyle w:val="2"/>
        <w:tabs>
          <w:tab w:val="left" w:pos="425"/>
        </w:tabs>
        <w:spacing w:before="0" w:after="0" w:line="400" w:lineRule="exact"/>
        <w:rPr>
          <w:rFonts w:ascii="Times New Roman" w:hAnsi="Times New Roman" w:eastAsia="黑体"/>
          <w:sz w:val="21"/>
          <w:szCs w:val="21"/>
          <w:highlight w:val="none"/>
        </w:rPr>
      </w:pPr>
      <w:bookmarkStart w:id="43" w:name="_Toc526001176"/>
      <w:bookmarkStart w:id="44" w:name="_Toc25187"/>
      <w:bookmarkStart w:id="45" w:name="_Toc395186722"/>
      <w:bookmarkStart w:id="46" w:name="_Toc292025346"/>
      <w:bookmarkStart w:id="47" w:name="_Toc3701"/>
      <w:bookmarkStart w:id="48" w:name="_Toc30382"/>
      <w:bookmarkStart w:id="49" w:name="_Toc31487"/>
      <w:bookmarkStart w:id="50" w:name="_Toc16569"/>
      <w:r>
        <w:rPr>
          <w:rFonts w:hint="eastAsia" w:ascii="Times New Roman" w:hAnsi="Times New Roman" w:eastAsia="黑体"/>
          <w:sz w:val="21"/>
          <w:szCs w:val="21"/>
          <w:highlight w:val="none"/>
        </w:rPr>
        <w:t>三、应遵循的主要标准</w:t>
      </w:r>
      <w:bookmarkEnd w:id="43"/>
      <w:bookmarkEnd w:id="44"/>
      <w:bookmarkEnd w:id="45"/>
      <w:bookmarkEnd w:id="46"/>
      <w:bookmarkEnd w:id="47"/>
      <w:bookmarkEnd w:id="48"/>
      <w:bookmarkEnd w:id="49"/>
      <w:bookmarkEnd w:id="50"/>
    </w:p>
    <w:p w14:paraId="258CC511">
      <w:pPr>
        <w:spacing w:line="400" w:lineRule="exact"/>
        <w:ind w:firstLine="420" w:firstLineChars="200"/>
        <w:rPr>
          <w:highlight w:val="none"/>
        </w:rPr>
      </w:pPr>
      <w:r>
        <w:rPr>
          <w:rFonts w:hint="eastAsia" w:ascii="Times New Roman" w:hAnsi="Times New Roman"/>
          <w:highlight w:val="none"/>
        </w:rPr>
        <w:t>除本技术规范特殊规定外，投标方所提供的设备均按规定的标准和规程的最新版本进行制造。如果这些标准内容有矛盾时，应按技术要求最高的条款执行或按双方商定的标准执行。如果投标方选用本技术规范书规定以外的标准时，则需提交这种替换标准供审查和分析。仅在投标方已证明替换标准相当或优于技术规范书规定的标准，并从招标方处获得书面的认可才能使用。提交供审查的标准应为中文版本。</w:t>
      </w:r>
    </w:p>
    <w:p w14:paraId="09A73404">
      <w:pPr>
        <w:pStyle w:val="2"/>
        <w:tabs>
          <w:tab w:val="left" w:pos="425"/>
        </w:tabs>
        <w:spacing w:before="0" w:after="0" w:line="400" w:lineRule="exact"/>
        <w:rPr>
          <w:rFonts w:ascii="Times New Roman" w:hAnsi="Times New Roman" w:eastAsia="黑体"/>
          <w:sz w:val="21"/>
          <w:szCs w:val="21"/>
          <w:highlight w:val="none"/>
        </w:rPr>
      </w:pPr>
      <w:bookmarkStart w:id="51" w:name="_Toc505241146"/>
      <w:bookmarkEnd w:id="51"/>
      <w:bookmarkStart w:id="52" w:name="_Toc505241147"/>
      <w:bookmarkEnd w:id="52"/>
      <w:bookmarkStart w:id="53" w:name="_Toc10028"/>
      <w:bookmarkStart w:id="54" w:name="_Toc526001177"/>
      <w:bookmarkStart w:id="55" w:name="_Toc4010"/>
      <w:bookmarkStart w:id="56" w:name="_Toc282993250"/>
      <w:bookmarkStart w:id="57" w:name="_Toc23329"/>
      <w:bookmarkStart w:id="58" w:name="_Toc292025347"/>
      <w:bookmarkStart w:id="59" w:name="_Toc17619"/>
      <w:bookmarkStart w:id="60" w:name="_Toc395186723"/>
      <w:bookmarkStart w:id="61" w:name="_Toc20269"/>
      <w:r>
        <w:rPr>
          <w:rFonts w:hint="eastAsia" w:ascii="Times New Roman" w:hAnsi="Times New Roman" w:eastAsia="黑体"/>
          <w:sz w:val="21"/>
          <w:szCs w:val="21"/>
          <w:highlight w:val="none"/>
        </w:rPr>
        <w:t>四、使用条件</w:t>
      </w:r>
      <w:bookmarkEnd w:id="53"/>
      <w:bookmarkEnd w:id="54"/>
      <w:bookmarkEnd w:id="55"/>
      <w:bookmarkEnd w:id="56"/>
      <w:bookmarkEnd w:id="57"/>
      <w:bookmarkEnd w:id="58"/>
      <w:bookmarkEnd w:id="59"/>
      <w:bookmarkEnd w:id="60"/>
      <w:bookmarkEnd w:id="61"/>
    </w:p>
    <w:p w14:paraId="55C00F0C">
      <w:pPr>
        <w:spacing w:line="276" w:lineRule="auto"/>
        <w:rPr>
          <w:rFonts w:ascii="宋体" w:hAnsi="宋体"/>
          <w:highlight w:val="none"/>
        </w:rPr>
      </w:pPr>
      <w:r>
        <w:rPr>
          <w:rFonts w:hint="eastAsia" w:ascii="宋体" w:hAnsi="宋体"/>
          <w:highlight w:val="none"/>
        </w:rPr>
        <w:t>（1）工作温度：-</w:t>
      </w:r>
      <w:r>
        <w:rPr>
          <w:rFonts w:hint="eastAsia" w:ascii="宋体" w:hAnsi="宋体"/>
          <w:highlight w:val="none"/>
          <w:lang w:val="en-US" w:eastAsia="zh-CN"/>
        </w:rPr>
        <w:t>2</w:t>
      </w:r>
      <w:r>
        <w:rPr>
          <w:rFonts w:hint="eastAsia" w:ascii="宋体" w:hAnsi="宋体"/>
          <w:highlight w:val="none"/>
        </w:rPr>
        <w:t>0℃～+</w:t>
      </w:r>
      <w:r>
        <w:rPr>
          <w:rFonts w:hint="eastAsia" w:ascii="宋体" w:hAnsi="宋体"/>
          <w:highlight w:val="none"/>
          <w:lang w:val="en-US" w:eastAsia="zh-CN"/>
        </w:rPr>
        <w:t>60</w:t>
      </w:r>
      <w:r>
        <w:rPr>
          <w:rFonts w:hint="eastAsia" w:ascii="宋体" w:hAnsi="宋体"/>
          <w:highlight w:val="none"/>
        </w:rPr>
        <w:t>℃。</w:t>
      </w:r>
      <w:bookmarkStart w:id="268" w:name="_GoBack"/>
      <w:bookmarkEnd w:id="268"/>
    </w:p>
    <w:p w14:paraId="150E4ED1">
      <w:pPr>
        <w:spacing w:line="276" w:lineRule="auto"/>
        <w:rPr>
          <w:rFonts w:ascii="宋体" w:hAnsi="宋体"/>
          <w:highlight w:val="none"/>
        </w:rPr>
      </w:pPr>
      <w:r>
        <w:rPr>
          <w:rFonts w:hint="eastAsia" w:ascii="宋体" w:hAnsi="宋体"/>
          <w:highlight w:val="none"/>
        </w:rPr>
        <w:t>（2）工作湿度：0～9</w:t>
      </w:r>
      <w:r>
        <w:rPr>
          <w:rFonts w:hint="eastAsia" w:ascii="宋体" w:hAnsi="宋体"/>
          <w:highlight w:val="none"/>
          <w:lang w:val="en-US" w:eastAsia="zh-CN"/>
        </w:rPr>
        <w:t>3</w:t>
      </w:r>
      <w:r>
        <w:rPr>
          <w:rFonts w:hint="eastAsia" w:ascii="宋体" w:hAnsi="宋体"/>
          <w:highlight w:val="none"/>
        </w:rPr>
        <w:t>%无凝结。</w:t>
      </w:r>
    </w:p>
    <w:p w14:paraId="3DE3C19A">
      <w:pPr>
        <w:pStyle w:val="2"/>
        <w:tabs>
          <w:tab w:val="left" w:pos="425"/>
        </w:tabs>
        <w:spacing w:before="0" w:after="0" w:line="400" w:lineRule="exact"/>
        <w:rPr>
          <w:rFonts w:ascii="Times New Roman" w:hAnsi="Times New Roman" w:eastAsia="黑体"/>
          <w:sz w:val="21"/>
          <w:szCs w:val="21"/>
          <w:highlight w:val="none"/>
        </w:rPr>
      </w:pPr>
      <w:bookmarkStart w:id="62" w:name="_Toc5437"/>
      <w:bookmarkStart w:id="63" w:name="_Toc3124"/>
      <w:bookmarkStart w:id="64" w:name="_Toc8312"/>
      <w:bookmarkStart w:id="65" w:name="_Toc2651"/>
      <w:bookmarkStart w:id="66" w:name="_Toc15484"/>
      <w:bookmarkStart w:id="67" w:name="_Toc450578849"/>
      <w:r>
        <w:rPr>
          <w:rFonts w:hint="eastAsia" w:ascii="Times New Roman" w:hAnsi="Times New Roman" w:eastAsia="黑体"/>
          <w:sz w:val="21"/>
          <w:szCs w:val="21"/>
          <w:highlight w:val="none"/>
        </w:rPr>
        <w:t>五 对投标方的要求</w:t>
      </w:r>
      <w:bookmarkEnd w:id="62"/>
      <w:bookmarkEnd w:id="63"/>
    </w:p>
    <w:p w14:paraId="76940671">
      <w:pPr>
        <w:pStyle w:val="3"/>
        <w:numPr>
          <w:ilvl w:val="255"/>
          <w:numId w:val="0"/>
        </w:numPr>
        <w:spacing w:before="0" w:after="0" w:line="400" w:lineRule="exact"/>
        <w:rPr>
          <w:rFonts w:ascii="Times New Roman" w:hAnsi="Times New Roman" w:eastAsia="黑体"/>
          <w:sz w:val="21"/>
          <w:szCs w:val="21"/>
          <w:highlight w:val="none"/>
        </w:rPr>
      </w:pPr>
      <w:bookmarkStart w:id="68" w:name="_Toc19241"/>
      <w:r>
        <w:rPr>
          <w:rFonts w:hint="eastAsia" w:ascii="Times New Roman" w:hAnsi="Times New Roman" w:eastAsia="黑体"/>
          <w:sz w:val="21"/>
          <w:szCs w:val="21"/>
          <w:highlight w:val="none"/>
        </w:rPr>
        <w:t>5.1对应标书要求</w:t>
      </w:r>
      <w:bookmarkEnd w:id="68"/>
    </w:p>
    <w:p w14:paraId="3FFEAAC2">
      <w:pPr>
        <w:snapToGrid w:val="0"/>
        <w:ind w:firstLine="420" w:firstLineChars="200"/>
        <w:rPr>
          <w:szCs w:val="21"/>
          <w:highlight w:val="none"/>
        </w:rPr>
      </w:pPr>
      <w:r>
        <w:rPr>
          <w:szCs w:val="21"/>
          <w:highlight w:val="none"/>
        </w:rPr>
        <w:t>投标方需</w:t>
      </w:r>
      <w:r>
        <w:rPr>
          <w:rFonts w:hint="eastAsia"/>
          <w:szCs w:val="21"/>
          <w:highlight w:val="none"/>
        </w:rPr>
        <w:t>根据本</w:t>
      </w:r>
      <w:r>
        <w:rPr>
          <w:szCs w:val="21"/>
          <w:highlight w:val="none"/>
        </w:rPr>
        <w:t>技术</w:t>
      </w:r>
      <w:r>
        <w:rPr>
          <w:rFonts w:hint="eastAsia"/>
          <w:szCs w:val="21"/>
          <w:highlight w:val="none"/>
        </w:rPr>
        <w:t>规范</w:t>
      </w:r>
      <w:r>
        <w:rPr>
          <w:szCs w:val="21"/>
          <w:highlight w:val="none"/>
        </w:rPr>
        <w:t>书</w:t>
      </w:r>
      <w:r>
        <w:rPr>
          <w:rFonts w:hint="eastAsia"/>
          <w:szCs w:val="21"/>
          <w:highlight w:val="none"/>
        </w:rPr>
        <w:t>的编排顺序，逐项给予响应并提出建议。</w:t>
      </w:r>
    </w:p>
    <w:p w14:paraId="3DB9ADCE">
      <w:pPr>
        <w:snapToGrid w:val="0"/>
        <w:ind w:firstLine="420" w:firstLineChars="200"/>
        <w:rPr>
          <w:szCs w:val="21"/>
          <w:highlight w:val="none"/>
        </w:rPr>
      </w:pPr>
      <w:r>
        <w:rPr>
          <w:rFonts w:hint="eastAsia"/>
          <w:szCs w:val="21"/>
          <w:highlight w:val="none"/>
        </w:rPr>
        <w:t>投标方对本</w:t>
      </w:r>
      <w:r>
        <w:rPr>
          <w:szCs w:val="21"/>
          <w:highlight w:val="none"/>
        </w:rPr>
        <w:t>技术</w:t>
      </w:r>
      <w:r>
        <w:rPr>
          <w:rFonts w:hint="eastAsia"/>
          <w:szCs w:val="21"/>
          <w:highlight w:val="none"/>
        </w:rPr>
        <w:t>规范</w:t>
      </w:r>
      <w:r>
        <w:rPr>
          <w:szCs w:val="21"/>
          <w:highlight w:val="none"/>
        </w:rPr>
        <w:t>书</w:t>
      </w:r>
      <w:r>
        <w:rPr>
          <w:rFonts w:hint="eastAsia"/>
          <w:szCs w:val="21"/>
          <w:highlight w:val="none"/>
        </w:rPr>
        <w:t>的某些部分如不能满足要求，应在应标书中提出说明，否则，招标方即认为投标方提供的设备可以满足本标书的要求。</w:t>
      </w:r>
    </w:p>
    <w:p w14:paraId="3AAE6D55">
      <w:pPr>
        <w:pStyle w:val="3"/>
        <w:numPr>
          <w:ilvl w:val="255"/>
          <w:numId w:val="0"/>
        </w:numPr>
        <w:spacing w:before="0" w:after="0" w:line="400" w:lineRule="exact"/>
        <w:rPr>
          <w:rFonts w:hint="eastAsia" w:ascii="Times New Roman" w:hAnsi="Times New Roman" w:eastAsia="黑体"/>
          <w:sz w:val="21"/>
          <w:szCs w:val="21"/>
          <w:highlight w:val="none"/>
        </w:rPr>
      </w:pPr>
      <w:bookmarkStart w:id="69" w:name="_Toc21289"/>
      <w:bookmarkStart w:id="70" w:name="_Toc24220"/>
      <w:r>
        <w:rPr>
          <w:rFonts w:hint="eastAsia" w:ascii="Times New Roman" w:hAnsi="Times New Roman" w:eastAsia="黑体"/>
          <w:sz w:val="21"/>
          <w:szCs w:val="21"/>
          <w:highlight w:val="none"/>
        </w:rPr>
        <w:t>5.2质量保证</w:t>
      </w:r>
      <w:bookmarkEnd w:id="69"/>
      <w:r>
        <w:rPr>
          <w:rFonts w:hint="eastAsia" w:ascii="Times New Roman" w:hAnsi="Times New Roman" w:eastAsia="黑体"/>
          <w:sz w:val="21"/>
          <w:szCs w:val="21"/>
          <w:highlight w:val="none"/>
        </w:rPr>
        <w:t>要求</w:t>
      </w:r>
      <w:bookmarkEnd w:id="70"/>
    </w:p>
    <w:p w14:paraId="6F7DCCDB">
      <w:pPr>
        <w:snapToGrid w:val="0"/>
        <w:ind w:firstLine="420" w:firstLineChars="200"/>
        <w:rPr>
          <w:szCs w:val="21"/>
          <w:highlight w:val="none"/>
        </w:rPr>
      </w:pPr>
      <w:r>
        <w:rPr>
          <w:rFonts w:hint="eastAsia"/>
          <w:szCs w:val="21"/>
          <w:highlight w:val="none"/>
        </w:rPr>
        <w:t>投标方应保证所提供的所有设备的质量均能满足招标要求，并提供相应供货台账供招标方参考。</w:t>
      </w:r>
    </w:p>
    <w:p w14:paraId="1F5D2E1D">
      <w:pPr>
        <w:snapToGrid w:val="0"/>
        <w:ind w:firstLine="420" w:firstLineChars="200"/>
        <w:rPr>
          <w:szCs w:val="21"/>
          <w:highlight w:val="none"/>
        </w:rPr>
      </w:pPr>
      <w:r>
        <w:rPr>
          <w:rFonts w:hint="eastAsia"/>
          <w:szCs w:val="21"/>
          <w:highlight w:val="none"/>
        </w:rPr>
        <w:t>投标方应保证所提供的所有设备及元器件应是新的。</w:t>
      </w:r>
    </w:p>
    <w:p w14:paraId="5CCB6C60">
      <w:pPr>
        <w:snapToGrid w:val="0"/>
        <w:ind w:firstLine="420" w:firstLineChars="200"/>
        <w:rPr>
          <w:szCs w:val="21"/>
          <w:highlight w:val="none"/>
        </w:rPr>
      </w:pPr>
      <w:r>
        <w:rPr>
          <w:rFonts w:hint="eastAsia"/>
          <w:szCs w:val="21"/>
          <w:highlight w:val="none"/>
        </w:rPr>
        <w:t>投标方应保证提供的所有备品备件必须是新的，且能够与原件相互更换，具有相同的规范、质量、材料和工艺要求。</w:t>
      </w:r>
    </w:p>
    <w:p w14:paraId="2AC67C30">
      <w:pPr>
        <w:pStyle w:val="3"/>
        <w:numPr>
          <w:ilvl w:val="255"/>
          <w:numId w:val="0"/>
        </w:numPr>
        <w:spacing w:before="0" w:after="0" w:line="400" w:lineRule="exact"/>
        <w:rPr>
          <w:rFonts w:hint="eastAsia" w:ascii="Times New Roman" w:hAnsi="Times New Roman" w:eastAsia="黑体"/>
          <w:sz w:val="21"/>
          <w:szCs w:val="21"/>
          <w:highlight w:val="none"/>
        </w:rPr>
      </w:pPr>
      <w:bookmarkStart w:id="71" w:name="_Toc224917847"/>
      <w:bookmarkStart w:id="72" w:name="_Toc440531591"/>
      <w:bookmarkStart w:id="73" w:name="_Toc533602797"/>
      <w:bookmarkStart w:id="74" w:name="_Toc3190"/>
      <w:bookmarkStart w:id="75" w:name="_Toc23548"/>
      <w:r>
        <w:rPr>
          <w:rFonts w:hint="eastAsia" w:ascii="Times New Roman" w:hAnsi="Times New Roman" w:eastAsia="黑体"/>
          <w:sz w:val="21"/>
          <w:szCs w:val="21"/>
          <w:highlight w:val="none"/>
        </w:rPr>
        <w:t>5.3进度保证</w:t>
      </w:r>
      <w:bookmarkEnd w:id="71"/>
      <w:bookmarkEnd w:id="72"/>
      <w:bookmarkEnd w:id="73"/>
      <w:bookmarkEnd w:id="74"/>
      <w:bookmarkEnd w:id="75"/>
    </w:p>
    <w:p w14:paraId="1AB29EE2">
      <w:pPr>
        <w:snapToGrid w:val="0"/>
        <w:ind w:firstLine="420" w:firstLineChars="200"/>
        <w:rPr>
          <w:szCs w:val="21"/>
          <w:highlight w:val="none"/>
        </w:rPr>
      </w:pPr>
      <w:r>
        <w:rPr>
          <w:rFonts w:hint="eastAsia"/>
          <w:szCs w:val="21"/>
          <w:highlight w:val="none"/>
        </w:rPr>
        <w:t>投标方应标时，必须向招标方提供生产计划时间表，包括供货数量、出厂验收时间、出厂时间、到货时间，所有时间以采购订单生效日为起点，以工作日为单位，招标方将根据实际采购情况在最终采购订单内确定供货时间表。</w:t>
      </w:r>
    </w:p>
    <w:p w14:paraId="625D6946">
      <w:pPr>
        <w:snapToGrid w:val="0"/>
        <w:ind w:firstLine="420" w:firstLineChars="200"/>
        <w:rPr>
          <w:szCs w:val="21"/>
          <w:highlight w:val="none"/>
        </w:rPr>
      </w:pPr>
      <w:r>
        <w:rPr>
          <w:rFonts w:hint="eastAsia"/>
          <w:szCs w:val="21"/>
          <w:highlight w:val="none"/>
        </w:rPr>
        <w:t>在生产阶段，投标方每周向招标方提交设备生产进度表。</w:t>
      </w:r>
    </w:p>
    <w:p w14:paraId="64C74D92">
      <w:pPr>
        <w:pStyle w:val="3"/>
        <w:numPr>
          <w:ilvl w:val="255"/>
          <w:numId w:val="0"/>
        </w:numPr>
        <w:spacing w:before="0" w:after="0" w:line="400" w:lineRule="exact"/>
        <w:rPr>
          <w:rFonts w:hint="eastAsia" w:ascii="Times New Roman" w:hAnsi="Times New Roman" w:eastAsia="黑体"/>
          <w:sz w:val="21"/>
          <w:szCs w:val="21"/>
          <w:highlight w:val="none"/>
        </w:rPr>
      </w:pPr>
      <w:bookmarkStart w:id="76" w:name="_Toc673"/>
      <w:r>
        <w:rPr>
          <w:rFonts w:hint="eastAsia" w:ascii="Times New Roman" w:hAnsi="Times New Roman" w:eastAsia="黑体"/>
          <w:sz w:val="21"/>
          <w:szCs w:val="21"/>
          <w:highlight w:val="none"/>
        </w:rPr>
        <w:t>5.4 资质要求</w:t>
      </w:r>
      <w:bookmarkEnd w:id="76"/>
    </w:p>
    <w:p w14:paraId="55DC548E">
      <w:pPr>
        <w:snapToGrid w:val="0"/>
        <w:ind w:firstLine="420" w:firstLineChars="200"/>
        <w:rPr>
          <w:szCs w:val="21"/>
          <w:highlight w:val="none"/>
        </w:rPr>
      </w:pPr>
      <w:r>
        <w:rPr>
          <w:rFonts w:hint="eastAsia"/>
          <w:szCs w:val="21"/>
          <w:highlight w:val="none"/>
        </w:rPr>
        <w:t>投标方需已通过且维持有效的ISO 9001质量管理体系认证。</w:t>
      </w:r>
    </w:p>
    <w:p w14:paraId="096BAF68">
      <w:pPr>
        <w:snapToGrid w:val="0"/>
        <w:ind w:firstLine="420" w:firstLineChars="200"/>
        <w:rPr>
          <w:szCs w:val="21"/>
          <w:highlight w:val="none"/>
        </w:rPr>
      </w:pPr>
      <w:r>
        <w:rPr>
          <w:rFonts w:hint="eastAsia"/>
          <w:szCs w:val="21"/>
          <w:highlight w:val="none"/>
        </w:rPr>
        <w:t>需拥有独立的质量检测实验室。</w:t>
      </w:r>
    </w:p>
    <w:p w14:paraId="0043393E">
      <w:pPr>
        <w:pStyle w:val="3"/>
        <w:numPr>
          <w:ilvl w:val="255"/>
          <w:numId w:val="0"/>
        </w:numPr>
        <w:spacing w:before="0" w:after="0" w:line="400" w:lineRule="exact"/>
        <w:rPr>
          <w:rFonts w:hint="eastAsia" w:ascii="Times New Roman" w:hAnsi="Times New Roman" w:eastAsia="黑体"/>
          <w:sz w:val="21"/>
          <w:szCs w:val="21"/>
          <w:highlight w:val="none"/>
        </w:rPr>
      </w:pPr>
      <w:bookmarkStart w:id="77" w:name="_Toc17548"/>
      <w:bookmarkStart w:id="78" w:name="_Toc8338"/>
      <w:r>
        <w:rPr>
          <w:rFonts w:hint="eastAsia" w:ascii="Times New Roman" w:hAnsi="Times New Roman" w:eastAsia="黑体"/>
          <w:sz w:val="21"/>
          <w:szCs w:val="21"/>
          <w:highlight w:val="none"/>
        </w:rPr>
        <w:t>5.5技术文件</w:t>
      </w:r>
      <w:bookmarkEnd w:id="64"/>
      <w:bookmarkEnd w:id="65"/>
      <w:bookmarkEnd w:id="66"/>
      <w:bookmarkEnd w:id="67"/>
      <w:bookmarkEnd w:id="77"/>
      <w:bookmarkEnd w:id="78"/>
    </w:p>
    <w:p w14:paraId="5C81C7FA">
      <w:pPr>
        <w:ind w:firstLine="420" w:firstLineChars="200"/>
        <w:rPr>
          <w:szCs w:val="21"/>
          <w:highlight w:val="none"/>
        </w:rPr>
      </w:pPr>
      <w:r>
        <w:rPr>
          <w:rFonts w:hint="eastAsia"/>
          <w:szCs w:val="21"/>
          <w:highlight w:val="none"/>
        </w:rPr>
        <w:t>投标方应严格按照招标方提供的生产资料（包括但不限于PCB设计文件、BOM清单、单板装配图、机壳加工图、整机生产作业指导书、生产过程记录表、整机检验作业指导书等）进行加工生产，具体生产工艺投标方可根据自身厂房、生产设备、检测设备进行适当调整，但应在批量生产前与招标方进行协商一致后进行。</w:t>
      </w:r>
    </w:p>
    <w:p w14:paraId="294021AD">
      <w:pPr>
        <w:ind w:firstLine="420" w:firstLineChars="200"/>
        <w:rPr>
          <w:szCs w:val="21"/>
          <w:highlight w:val="none"/>
        </w:rPr>
      </w:pPr>
      <w:r>
        <w:rPr>
          <w:rFonts w:hint="eastAsia"/>
          <w:szCs w:val="21"/>
          <w:highlight w:val="none"/>
        </w:rPr>
        <w:t>投标</w:t>
      </w:r>
      <w:r>
        <w:rPr>
          <w:szCs w:val="21"/>
          <w:highlight w:val="none"/>
        </w:rPr>
        <w:t>方在</w:t>
      </w:r>
      <w:r>
        <w:rPr>
          <w:rFonts w:hint="eastAsia"/>
          <w:szCs w:val="21"/>
          <w:highlight w:val="none"/>
        </w:rPr>
        <w:t>供货</w:t>
      </w:r>
      <w:r>
        <w:rPr>
          <w:szCs w:val="21"/>
          <w:highlight w:val="none"/>
        </w:rPr>
        <w:t>前应向</w:t>
      </w:r>
      <w:r>
        <w:rPr>
          <w:rFonts w:hint="eastAsia"/>
          <w:szCs w:val="21"/>
          <w:highlight w:val="none"/>
        </w:rPr>
        <w:t>招标</w:t>
      </w:r>
      <w:r>
        <w:rPr>
          <w:szCs w:val="21"/>
          <w:highlight w:val="none"/>
        </w:rPr>
        <w:t>方提供一般性资料，如</w:t>
      </w:r>
      <w:r>
        <w:rPr>
          <w:rFonts w:hint="eastAsia"/>
          <w:szCs w:val="21"/>
          <w:highlight w:val="none"/>
        </w:rPr>
        <w:t>出厂检测报告</w:t>
      </w:r>
      <w:r>
        <w:rPr>
          <w:szCs w:val="21"/>
          <w:highlight w:val="none"/>
        </w:rPr>
        <w:t>、</w:t>
      </w:r>
      <w:r>
        <w:rPr>
          <w:rFonts w:hint="eastAsia"/>
          <w:szCs w:val="21"/>
          <w:highlight w:val="none"/>
        </w:rPr>
        <w:t>装箱清单、易损耗品清单、产品</w:t>
      </w:r>
      <w:r>
        <w:rPr>
          <w:szCs w:val="21"/>
          <w:highlight w:val="none"/>
        </w:rPr>
        <w:t>说明书</w:t>
      </w:r>
      <w:r>
        <w:rPr>
          <w:rFonts w:hint="eastAsia"/>
          <w:szCs w:val="21"/>
          <w:highlight w:val="none"/>
        </w:rPr>
        <w:t>、产品维护手册、产品合格证</w:t>
      </w:r>
      <w:r>
        <w:rPr>
          <w:szCs w:val="21"/>
          <w:highlight w:val="none"/>
        </w:rPr>
        <w:t>和主要技术参数</w:t>
      </w:r>
      <w:r>
        <w:rPr>
          <w:rFonts w:hint="eastAsia"/>
          <w:szCs w:val="21"/>
          <w:highlight w:val="none"/>
        </w:rPr>
        <w:t>等</w:t>
      </w:r>
      <w:r>
        <w:rPr>
          <w:szCs w:val="21"/>
          <w:highlight w:val="none"/>
        </w:rPr>
        <w:t>。</w:t>
      </w:r>
    </w:p>
    <w:p w14:paraId="4525EA82">
      <w:pPr>
        <w:ind w:firstLine="420" w:firstLineChars="200"/>
        <w:rPr>
          <w:szCs w:val="21"/>
          <w:highlight w:val="none"/>
        </w:rPr>
      </w:pPr>
      <w:r>
        <w:rPr>
          <w:szCs w:val="21"/>
          <w:highlight w:val="none"/>
        </w:rPr>
        <w:t>在</w:t>
      </w:r>
      <w:r>
        <w:rPr>
          <w:rFonts w:hint="eastAsia"/>
          <w:szCs w:val="21"/>
          <w:highlight w:val="none"/>
        </w:rPr>
        <w:t>合同</w:t>
      </w:r>
      <w:r>
        <w:rPr>
          <w:szCs w:val="21"/>
          <w:highlight w:val="none"/>
        </w:rPr>
        <w:t>签订</w:t>
      </w:r>
      <w:r>
        <w:rPr>
          <w:rFonts w:hint="eastAsia"/>
          <w:szCs w:val="21"/>
          <w:highlight w:val="none"/>
        </w:rPr>
        <w:t xml:space="preserve">后7 </w:t>
      </w:r>
      <w:r>
        <w:rPr>
          <w:szCs w:val="21"/>
          <w:highlight w:val="none"/>
        </w:rPr>
        <w:t>天内，</w:t>
      </w:r>
      <w:r>
        <w:rPr>
          <w:rFonts w:hint="eastAsia"/>
          <w:szCs w:val="21"/>
          <w:highlight w:val="none"/>
        </w:rPr>
        <w:t>中标方</w:t>
      </w:r>
      <w:r>
        <w:rPr>
          <w:szCs w:val="21"/>
          <w:highlight w:val="none"/>
        </w:rPr>
        <w:t>向</w:t>
      </w:r>
      <w:r>
        <w:rPr>
          <w:rFonts w:hint="eastAsia"/>
          <w:szCs w:val="21"/>
          <w:highlight w:val="none"/>
        </w:rPr>
        <w:t>招标方</w:t>
      </w:r>
      <w:r>
        <w:rPr>
          <w:szCs w:val="21"/>
          <w:highlight w:val="none"/>
        </w:rPr>
        <w:t>提供下列</w:t>
      </w:r>
      <w:r>
        <w:rPr>
          <w:rFonts w:hint="eastAsia"/>
          <w:szCs w:val="21"/>
          <w:highlight w:val="none"/>
        </w:rPr>
        <w:t>文档</w:t>
      </w:r>
      <w:r>
        <w:rPr>
          <w:szCs w:val="21"/>
          <w:highlight w:val="none"/>
        </w:rPr>
        <w:t>资料2份：</w:t>
      </w:r>
    </w:p>
    <w:p w14:paraId="4940DB35">
      <w:pPr>
        <w:numPr>
          <w:ilvl w:val="0"/>
          <w:numId w:val="26"/>
        </w:numPr>
        <w:snapToGrid w:val="0"/>
        <w:ind w:left="851"/>
        <w:rPr>
          <w:szCs w:val="21"/>
          <w:highlight w:val="none"/>
        </w:rPr>
      </w:pPr>
      <w:r>
        <w:rPr>
          <w:rFonts w:hint="eastAsia"/>
          <w:szCs w:val="21"/>
          <w:highlight w:val="none"/>
        </w:rPr>
        <w:t>装置生产工艺及生产设备资料。</w:t>
      </w:r>
    </w:p>
    <w:p w14:paraId="23150ACE">
      <w:pPr>
        <w:numPr>
          <w:ilvl w:val="0"/>
          <w:numId w:val="26"/>
        </w:numPr>
        <w:snapToGrid w:val="0"/>
        <w:ind w:left="851"/>
        <w:rPr>
          <w:szCs w:val="21"/>
          <w:highlight w:val="none"/>
        </w:rPr>
      </w:pPr>
      <w:r>
        <w:rPr>
          <w:rFonts w:hint="eastAsia"/>
          <w:szCs w:val="21"/>
          <w:highlight w:val="none"/>
        </w:rPr>
        <w:t>装置检测报告。</w:t>
      </w:r>
    </w:p>
    <w:p w14:paraId="0C98BC50">
      <w:pPr>
        <w:pStyle w:val="2"/>
        <w:tabs>
          <w:tab w:val="left" w:pos="425"/>
        </w:tabs>
        <w:spacing w:before="0" w:after="0" w:line="400" w:lineRule="exact"/>
        <w:rPr>
          <w:rFonts w:ascii="Times New Roman" w:hAnsi="Times New Roman" w:eastAsia="黑体"/>
          <w:sz w:val="21"/>
          <w:szCs w:val="21"/>
          <w:highlight w:val="none"/>
        </w:rPr>
      </w:pPr>
      <w:bookmarkStart w:id="79" w:name="_Toc23609"/>
      <w:bookmarkStart w:id="80" w:name="_Toc32746"/>
      <w:bookmarkStart w:id="81" w:name="_Toc25835"/>
      <w:bookmarkStart w:id="82" w:name="_Toc28079"/>
      <w:bookmarkStart w:id="83" w:name="_Toc1682"/>
      <w:bookmarkStart w:id="84" w:name="_Toc356971357"/>
      <w:r>
        <w:rPr>
          <w:rFonts w:hint="eastAsia" w:ascii="Times New Roman" w:hAnsi="Times New Roman" w:eastAsia="黑体"/>
          <w:sz w:val="21"/>
          <w:szCs w:val="21"/>
          <w:highlight w:val="none"/>
        </w:rPr>
        <w:t>六 生产、标志、包装、运输、贮存</w:t>
      </w:r>
      <w:bookmarkEnd w:id="79"/>
      <w:bookmarkEnd w:id="80"/>
      <w:bookmarkEnd w:id="81"/>
      <w:bookmarkEnd w:id="82"/>
      <w:bookmarkEnd w:id="83"/>
    </w:p>
    <w:p w14:paraId="288132AE">
      <w:pPr>
        <w:pStyle w:val="3"/>
        <w:numPr>
          <w:ilvl w:val="255"/>
          <w:numId w:val="0"/>
        </w:numPr>
        <w:spacing w:before="0" w:after="0" w:line="400" w:lineRule="exact"/>
        <w:rPr>
          <w:rFonts w:hint="eastAsia" w:ascii="Times New Roman" w:hAnsi="Times New Roman" w:eastAsia="黑体"/>
          <w:sz w:val="21"/>
          <w:szCs w:val="21"/>
          <w:highlight w:val="none"/>
        </w:rPr>
      </w:pPr>
      <w:bookmarkStart w:id="85" w:name="_Toc15277"/>
      <w:bookmarkStart w:id="86" w:name="_Toc29896"/>
      <w:r>
        <w:rPr>
          <w:rFonts w:hint="eastAsia" w:ascii="Times New Roman" w:hAnsi="Times New Roman" w:eastAsia="黑体"/>
          <w:sz w:val="21"/>
          <w:szCs w:val="21"/>
          <w:highlight w:val="none"/>
        </w:rPr>
        <w:t>6.1生产</w:t>
      </w:r>
      <w:bookmarkEnd w:id="85"/>
      <w:bookmarkEnd w:id="86"/>
    </w:p>
    <w:p w14:paraId="3FBCCDA9">
      <w:pPr>
        <w:numPr>
          <w:ilvl w:val="0"/>
          <w:numId w:val="27"/>
        </w:numPr>
        <w:autoSpaceDE w:val="0"/>
        <w:autoSpaceDN w:val="0"/>
        <w:textAlignment w:val="bottom"/>
        <w:rPr>
          <w:szCs w:val="21"/>
          <w:highlight w:val="none"/>
        </w:rPr>
      </w:pPr>
      <w:r>
        <w:rPr>
          <w:rFonts w:hint="eastAsia" w:ascii="宋体" w:hAnsi="宋体"/>
          <w:highlight w:val="none"/>
        </w:rPr>
        <w:t>投标方应对产品生产加工质量、出厂测试结果负责。若因生产加工、出厂测试等生产加工环节出现产品质量问题，由此造成的损失由投标方完全负责</w:t>
      </w:r>
      <w:r>
        <w:rPr>
          <w:highlight w:val="none"/>
        </w:rPr>
        <w:t>。</w:t>
      </w:r>
    </w:p>
    <w:p w14:paraId="6DF738E7">
      <w:pPr>
        <w:numPr>
          <w:ilvl w:val="0"/>
          <w:numId w:val="27"/>
        </w:numPr>
        <w:autoSpaceDE w:val="0"/>
        <w:autoSpaceDN w:val="0"/>
        <w:textAlignment w:val="bottom"/>
        <w:rPr>
          <w:szCs w:val="21"/>
          <w:highlight w:val="none"/>
        </w:rPr>
      </w:pPr>
      <w:r>
        <w:rPr>
          <w:rFonts w:hint="eastAsia" w:ascii="宋体" w:hAnsi="宋体"/>
          <w:highlight w:val="none"/>
        </w:rPr>
        <w:t>投标方应配合招标方进行供应商现场考察，现场考察中发现的问题应按期整改</w:t>
      </w:r>
      <w:r>
        <w:rPr>
          <w:highlight w:val="none"/>
        </w:rPr>
        <w:t>。</w:t>
      </w:r>
    </w:p>
    <w:p w14:paraId="020DCC52">
      <w:pPr>
        <w:numPr>
          <w:ilvl w:val="0"/>
          <w:numId w:val="27"/>
        </w:numPr>
        <w:autoSpaceDE w:val="0"/>
        <w:autoSpaceDN w:val="0"/>
        <w:textAlignment w:val="bottom"/>
        <w:rPr>
          <w:szCs w:val="21"/>
          <w:highlight w:val="none"/>
        </w:rPr>
      </w:pPr>
      <w:r>
        <w:rPr>
          <w:rFonts w:hint="eastAsia" w:ascii="宋体" w:hAnsi="宋体"/>
          <w:highlight w:val="none"/>
        </w:rPr>
        <w:t>投标方应按照招标方要求无偿配合进行产成品的首件验收、批次送样抽检。未经招标方书面沟通不得实施物料变更、技术方案调整等任何改变产品性能指标的工作，一经发现招标方有权暂停下发生产订单或终止合同</w:t>
      </w:r>
      <w:r>
        <w:rPr>
          <w:highlight w:val="none"/>
        </w:rPr>
        <w:t>。</w:t>
      </w:r>
    </w:p>
    <w:p w14:paraId="61632EC5">
      <w:pPr>
        <w:numPr>
          <w:ilvl w:val="0"/>
          <w:numId w:val="27"/>
        </w:numPr>
        <w:autoSpaceDE w:val="0"/>
        <w:autoSpaceDN w:val="0"/>
        <w:textAlignment w:val="bottom"/>
        <w:rPr>
          <w:szCs w:val="21"/>
          <w:highlight w:val="none"/>
        </w:rPr>
      </w:pPr>
      <w:r>
        <w:rPr>
          <w:rFonts w:hint="eastAsia" w:ascii="宋体" w:hAnsi="宋体"/>
          <w:highlight w:val="none"/>
        </w:rPr>
        <w:t>投标方最终交付物为采购清单中的最终产成品，包含但不限于出厂测试</w:t>
      </w:r>
      <w:r>
        <w:rPr>
          <w:highlight w:val="none"/>
        </w:rPr>
        <w:t>。</w:t>
      </w:r>
    </w:p>
    <w:p w14:paraId="34B5CBAE">
      <w:pPr>
        <w:numPr>
          <w:ilvl w:val="0"/>
          <w:numId w:val="27"/>
        </w:numPr>
        <w:autoSpaceDE w:val="0"/>
        <w:autoSpaceDN w:val="0"/>
        <w:textAlignment w:val="bottom"/>
        <w:rPr>
          <w:szCs w:val="21"/>
          <w:highlight w:val="none"/>
        </w:rPr>
      </w:pPr>
      <w:r>
        <w:rPr>
          <w:rFonts w:hint="eastAsia" w:ascii="宋体" w:hAnsi="宋体"/>
          <w:highlight w:val="none"/>
        </w:rPr>
        <w:t>质保期内由于现场非人为破坏的产品质量问题，投标方应负责提供不</w:t>
      </w:r>
      <w:r>
        <w:rPr>
          <w:rFonts w:ascii="Times New Roman" w:hAnsi="Times New Roman"/>
          <w:highlight w:val="none"/>
        </w:rPr>
        <w:t>低于2%的返厂维修服务，不收取任何服务费用，招标方仅提供客供物料；质保期内由于生产加工测试未按照招标方要求执行造成的产品质量问题，投标方负责承担100%返厂维</w:t>
      </w:r>
      <w:r>
        <w:rPr>
          <w:rFonts w:hint="eastAsia" w:ascii="宋体" w:hAnsi="宋体"/>
          <w:highlight w:val="none"/>
        </w:rPr>
        <w:t>修服务，不收取任何服务费用，投标方提供全部物料</w:t>
      </w:r>
      <w:r>
        <w:rPr>
          <w:highlight w:val="none"/>
        </w:rPr>
        <w:t>。</w:t>
      </w:r>
    </w:p>
    <w:p w14:paraId="51EF9451">
      <w:pPr>
        <w:numPr>
          <w:ilvl w:val="0"/>
          <w:numId w:val="27"/>
        </w:numPr>
        <w:autoSpaceDE w:val="0"/>
        <w:autoSpaceDN w:val="0"/>
        <w:textAlignment w:val="bottom"/>
        <w:rPr>
          <w:szCs w:val="21"/>
          <w:highlight w:val="none"/>
        </w:rPr>
      </w:pPr>
      <w:r>
        <w:rPr>
          <w:rFonts w:hint="eastAsia" w:ascii="宋体" w:hAnsi="宋体"/>
          <w:highlight w:val="none"/>
        </w:rPr>
        <w:t>投标方应按照以上要求在生产过程中严格落实，如经发现违反上述要求且收到两次整改通知仍不整改的，招标方有权暂停下发生产订单或终止合同</w:t>
      </w:r>
      <w:r>
        <w:rPr>
          <w:highlight w:val="none"/>
        </w:rPr>
        <w:t>。</w:t>
      </w:r>
    </w:p>
    <w:p w14:paraId="3A3EFDE3">
      <w:pPr>
        <w:pStyle w:val="3"/>
        <w:numPr>
          <w:ilvl w:val="255"/>
          <w:numId w:val="0"/>
        </w:numPr>
        <w:spacing w:before="0" w:after="0" w:line="400" w:lineRule="exact"/>
        <w:rPr>
          <w:rFonts w:hint="eastAsia" w:ascii="Times New Roman" w:hAnsi="Times New Roman" w:eastAsia="黑体"/>
          <w:sz w:val="21"/>
          <w:szCs w:val="21"/>
          <w:highlight w:val="none"/>
        </w:rPr>
      </w:pPr>
      <w:bookmarkStart w:id="87" w:name="_Toc30683"/>
      <w:bookmarkStart w:id="88" w:name="_Toc13628"/>
      <w:bookmarkStart w:id="89" w:name="_Toc15268"/>
      <w:bookmarkStart w:id="90" w:name="_Toc27259"/>
      <w:r>
        <w:rPr>
          <w:rFonts w:hint="eastAsia" w:ascii="Times New Roman" w:hAnsi="Times New Roman" w:eastAsia="黑体"/>
          <w:sz w:val="21"/>
          <w:szCs w:val="21"/>
          <w:highlight w:val="none"/>
        </w:rPr>
        <w:t>6.2标志</w:t>
      </w:r>
      <w:bookmarkEnd w:id="87"/>
      <w:bookmarkEnd w:id="88"/>
      <w:bookmarkEnd w:id="89"/>
      <w:bookmarkEnd w:id="90"/>
    </w:p>
    <w:p w14:paraId="28A4092C">
      <w:pPr>
        <w:pStyle w:val="358"/>
        <w:numPr>
          <w:ilvl w:val="0"/>
          <w:numId w:val="28"/>
        </w:numPr>
        <w:ind w:firstLineChars="0"/>
        <w:rPr>
          <w:highlight w:val="none"/>
        </w:rPr>
      </w:pPr>
      <w:r>
        <w:rPr>
          <w:highlight w:val="none"/>
        </w:rPr>
        <w:t>铭牌</w:t>
      </w:r>
    </w:p>
    <w:p w14:paraId="014764B1">
      <w:pPr>
        <w:pStyle w:val="125"/>
        <w:ind w:firstLine="420" w:firstLineChars="200"/>
        <w:rPr>
          <w:highlight w:val="none"/>
        </w:rPr>
      </w:pPr>
      <w:r>
        <w:rPr>
          <w:highlight w:val="none"/>
        </w:rPr>
        <w:t>每台装置及主要部件应有明晰的铭牌，铭牌内容</w:t>
      </w:r>
      <w:r>
        <w:rPr>
          <w:rFonts w:hint="eastAsia"/>
          <w:highlight w:val="none"/>
        </w:rPr>
        <w:t>不限于</w:t>
      </w:r>
      <w:r>
        <w:rPr>
          <w:highlight w:val="none"/>
        </w:rPr>
        <w:t>如下：</w:t>
      </w:r>
    </w:p>
    <w:p w14:paraId="45014F9D">
      <w:pPr>
        <w:numPr>
          <w:ilvl w:val="0"/>
          <w:numId w:val="29"/>
        </w:numPr>
        <w:autoSpaceDE w:val="0"/>
        <w:autoSpaceDN w:val="0"/>
        <w:textAlignment w:val="bottom"/>
        <w:rPr>
          <w:szCs w:val="21"/>
          <w:highlight w:val="none"/>
        </w:rPr>
      </w:pPr>
      <w:r>
        <w:rPr>
          <w:highlight w:val="none"/>
        </w:rPr>
        <w:t>装置型号。</w:t>
      </w:r>
    </w:p>
    <w:p w14:paraId="3767E889">
      <w:pPr>
        <w:numPr>
          <w:ilvl w:val="0"/>
          <w:numId w:val="29"/>
        </w:numPr>
        <w:autoSpaceDE w:val="0"/>
        <w:autoSpaceDN w:val="0"/>
        <w:textAlignment w:val="bottom"/>
        <w:rPr>
          <w:szCs w:val="21"/>
          <w:highlight w:val="none"/>
        </w:rPr>
      </w:pPr>
      <w:r>
        <w:rPr>
          <w:highlight w:val="none"/>
        </w:rPr>
        <w:t>产品（装置及部件）全称。</w:t>
      </w:r>
    </w:p>
    <w:p w14:paraId="7DA2690D">
      <w:pPr>
        <w:numPr>
          <w:ilvl w:val="0"/>
          <w:numId w:val="29"/>
        </w:numPr>
        <w:autoSpaceDE w:val="0"/>
        <w:autoSpaceDN w:val="0"/>
        <w:textAlignment w:val="bottom"/>
        <w:rPr>
          <w:szCs w:val="21"/>
          <w:highlight w:val="none"/>
        </w:rPr>
      </w:pPr>
      <w:r>
        <w:rPr>
          <w:rFonts w:hint="eastAsia"/>
          <w:highlight w:val="none"/>
        </w:rPr>
        <w:t>产品额定电压</w:t>
      </w:r>
      <w:r>
        <w:rPr>
          <w:highlight w:val="none"/>
        </w:rPr>
        <w:t>。</w:t>
      </w:r>
    </w:p>
    <w:p w14:paraId="77B7A614">
      <w:pPr>
        <w:numPr>
          <w:ilvl w:val="0"/>
          <w:numId w:val="29"/>
        </w:numPr>
        <w:autoSpaceDE w:val="0"/>
        <w:autoSpaceDN w:val="0"/>
        <w:textAlignment w:val="bottom"/>
        <w:rPr>
          <w:szCs w:val="21"/>
          <w:highlight w:val="none"/>
        </w:rPr>
      </w:pPr>
      <w:r>
        <w:rPr>
          <w:highlight w:val="none"/>
        </w:rPr>
        <w:t>制造厂全称及商标。</w:t>
      </w:r>
    </w:p>
    <w:p w14:paraId="3DCEB2C0">
      <w:pPr>
        <w:numPr>
          <w:ilvl w:val="0"/>
          <w:numId w:val="29"/>
        </w:numPr>
        <w:autoSpaceDE w:val="0"/>
        <w:autoSpaceDN w:val="0"/>
        <w:textAlignment w:val="bottom"/>
        <w:rPr>
          <w:szCs w:val="21"/>
          <w:highlight w:val="none"/>
        </w:rPr>
      </w:pPr>
      <w:r>
        <w:rPr>
          <w:rFonts w:hint="eastAsia"/>
          <w:highlight w:val="none"/>
        </w:rPr>
        <w:t>产品编号</w:t>
      </w:r>
      <w:r>
        <w:rPr>
          <w:highlight w:val="none"/>
        </w:rPr>
        <w:t>。</w:t>
      </w:r>
    </w:p>
    <w:p w14:paraId="3DAFA30B">
      <w:pPr>
        <w:numPr>
          <w:ilvl w:val="0"/>
          <w:numId w:val="29"/>
        </w:numPr>
        <w:autoSpaceDE w:val="0"/>
        <w:autoSpaceDN w:val="0"/>
        <w:textAlignment w:val="bottom"/>
        <w:rPr>
          <w:szCs w:val="21"/>
          <w:highlight w:val="none"/>
        </w:rPr>
      </w:pPr>
      <w:r>
        <w:rPr>
          <w:rFonts w:hint="eastAsia"/>
          <w:highlight w:val="none"/>
        </w:rPr>
        <w:t>产品制造年月</w:t>
      </w:r>
      <w:r>
        <w:rPr>
          <w:highlight w:val="none"/>
        </w:rPr>
        <w:t>。</w:t>
      </w:r>
    </w:p>
    <w:p w14:paraId="63E042B0">
      <w:pPr>
        <w:pStyle w:val="3"/>
        <w:numPr>
          <w:ilvl w:val="255"/>
          <w:numId w:val="0"/>
        </w:numPr>
        <w:spacing w:before="0" w:after="0" w:line="400" w:lineRule="exact"/>
        <w:rPr>
          <w:rFonts w:hint="eastAsia" w:ascii="Times New Roman" w:hAnsi="Times New Roman" w:eastAsia="黑体"/>
          <w:sz w:val="21"/>
          <w:szCs w:val="21"/>
          <w:highlight w:val="none"/>
        </w:rPr>
      </w:pPr>
      <w:bookmarkStart w:id="91" w:name="_Toc9134"/>
      <w:bookmarkStart w:id="92" w:name="_Toc6924"/>
      <w:bookmarkStart w:id="93" w:name="_Toc11319"/>
      <w:bookmarkStart w:id="94" w:name="_Toc13737"/>
      <w:bookmarkStart w:id="95" w:name="_Toc9617"/>
      <w:r>
        <w:rPr>
          <w:rFonts w:hint="eastAsia" w:ascii="Times New Roman" w:hAnsi="Times New Roman" w:eastAsia="黑体"/>
          <w:sz w:val="21"/>
          <w:szCs w:val="21"/>
          <w:highlight w:val="none"/>
        </w:rPr>
        <w:t>6.3包装</w:t>
      </w:r>
      <w:bookmarkEnd w:id="91"/>
      <w:bookmarkEnd w:id="92"/>
      <w:bookmarkEnd w:id="93"/>
      <w:bookmarkEnd w:id="94"/>
      <w:bookmarkEnd w:id="95"/>
    </w:p>
    <w:p w14:paraId="7A81A87E">
      <w:pPr>
        <w:pStyle w:val="358"/>
        <w:numPr>
          <w:ilvl w:val="0"/>
          <w:numId w:val="30"/>
        </w:numPr>
        <w:ind w:firstLineChars="0"/>
        <w:rPr>
          <w:highlight w:val="none"/>
        </w:rPr>
      </w:pPr>
      <w:r>
        <w:rPr>
          <w:highlight w:val="none"/>
        </w:rPr>
        <w:t>产品包装前的检查</w:t>
      </w:r>
    </w:p>
    <w:p w14:paraId="608B3FF5">
      <w:pPr>
        <w:widowControl/>
        <w:numPr>
          <w:ilvl w:val="0"/>
          <w:numId w:val="31"/>
        </w:numPr>
        <w:jc w:val="left"/>
        <w:rPr>
          <w:szCs w:val="21"/>
          <w:highlight w:val="none"/>
        </w:rPr>
      </w:pPr>
      <w:r>
        <w:rPr>
          <w:szCs w:val="21"/>
          <w:highlight w:val="none"/>
        </w:rPr>
        <w:t>产品的</w:t>
      </w:r>
      <w:r>
        <w:rPr>
          <w:rFonts w:hint="eastAsia"/>
          <w:szCs w:val="21"/>
          <w:highlight w:val="none"/>
        </w:rPr>
        <w:t>装箱清单、易损耗品清单、产品</w:t>
      </w:r>
      <w:r>
        <w:rPr>
          <w:szCs w:val="21"/>
          <w:highlight w:val="none"/>
        </w:rPr>
        <w:t>说明书</w:t>
      </w:r>
      <w:r>
        <w:rPr>
          <w:rFonts w:hint="eastAsia"/>
          <w:szCs w:val="21"/>
          <w:highlight w:val="none"/>
        </w:rPr>
        <w:t>、产品使用手册、产品维护手册等。</w:t>
      </w:r>
    </w:p>
    <w:p w14:paraId="6960CDD5">
      <w:pPr>
        <w:widowControl/>
        <w:numPr>
          <w:ilvl w:val="0"/>
          <w:numId w:val="31"/>
        </w:numPr>
        <w:jc w:val="left"/>
        <w:rPr>
          <w:szCs w:val="21"/>
          <w:highlight w:val="none"/>
        </w:rPr>
      </w:pPr>
      <w:r>
        <w:rPr>
          <w:szCs w:val="21"/>
          <w:highlight w:val="none"/>
        </w:rPr>
        <w:t>产品外观无损伤</w:t>
      </w:r>
      <w:r>
        <w:rPr>
          <w:rFonts w:hint="eastAsia"/>
          <w:szCs w:val="21"/>
          <w:highlight w:val="none"/>
        </w:rPr>
        <w:t>。</w:t>
      </w:r>
    </w:p>
    <w:p w14:paraId="795611D8">
      <w:pPr>
        <w:widowControl/>
        <w:numPr>
          <w:ilvl w:val="0"/>
          <w:numId w:val="31"/>
        </w:numPr>
        <w:jc w:val="left"/>
        <w:rPr>
          <w:szCs w:val="21"/>
          <w:highlight w:val="none"/>
        </w:rPr>
      </w:pPr>
      <w:r>
        <w:rPr>
          <w:szCs w:val="21"/>
          <w:highlight w:val="none"/>
        </w:rPr>
        <w:t>产品表面无灰尘。</w:t>
      </w:r>
    </w:p>
    <w:p w14:paraId="32D0B2C7">
      <w:pPr>
        <w:pStyle w:val="358"/>
        <w:numPr>
          <w:ilvl w:val="0"/>
          <w:numId w:val="30"/>
        </w:numPr>
        <w:ind w:firstLineChars="0"/>
        <w:rPr>
          <w:highlight w:val="none"/>
        </w:rPr>
      </w:pPr>
      <w:r>
        <w:rPr>
          <w:highlight w:val="none"/>
        </w:rPr>
        <w:t>包装的一般要求</w:t>
      </w:r>
    </w:p>
    <w:p w14:paraId="51B94960">
      <w:pPr>
        <w:pStyle w:val="125"/>
        <w:ind w:firstLine="420" w:firstLineChars="200"/>
        <w:rPr>
          <w:highlight w:val="none"/>
        </w:rPr>
      </w:pPr>
      <w:r>
        <w:rPr>
          <w:highlight w:val="none"/>
        </w:rPr>
        <w:t>产品应有内包装和外包装，包装应有防尘、防雨、防水、防潮、防振等措施。</w:t>
      </w:r>
    </w:p>
    <w:p w14:paraId="75D08F2A">
      <w:pPr>
        <w:pStyle w:val="3"/>
        <w:numPr>
          <w:ilvl w:val="255"/>
          <w:numId w:val="0"/>
        </w:numPr>
        <w:spacing w:before="0" w:after="0" w:line="400" w:lineRule="exact"/>
        <w:rPr>
          <w:rFonts w:hint="eastAsia" w:ascii="Times New Roman" w:hAnsi="Times New Roman" w:eastAsia="黑体"/>
          <w:sz w:val="21"/>
          <w:szCs w:val="21"/>
          <w:highlight w:val="none"/>
        </w:rPr>
      </w:pPr>
      <w:bookmarkStart w:id="96" w:name="_Toc24974"/>
      <w:bookmarkStart w:id="97" w:name="_Toc5932"/>
      <w:bookmarkStart w:id="98" w:name="_Toc8984"/>
      <w:bookmarkStart w:id="99" w:name="_Toc11947"/>
      <w:bookmarkStart w:id="100" w:name="_Toc18481"/>
      <w:r>
        <w:rPr>
          <w:rFonts w:hint="eastAsia" w:ascii="Times New Roman" w:hAnsi="Times New Roman" w:eastAsia="黑体"/>
          <w:sz w:val="21"/>
          <w:szCs w:val="21"/>
          <w:highlight w:val="none"/>
        </w:rPr>
        <w:t>6.4运输</w:t>
      </w:r>
      <w:bookmarkEnd w:id="96"/>
      <w:bookmarkEnd w:id="97"/>
      <w:bookmarkEnd w:id="98"/>
      <w:bookmarkEnd w:id="99"/>
      <w:bookmarkEnd w:id="100"/>
    </w:p>
    <w:p w14:paraId="6ACA96F5">
      <w:pPr>
        <w:widowControl/>
        <w:numPr>
          <w:ilvl w:val="0"/>
          <w:numId w:val="32"/>
        </w:numPr>
        <w:jc w:val="left"/>
        <w:rPr>
          <w:szCs w:val="21"/>
          <w:highlight w:val="none"/>
        </w:rPr>
      </w:pPr>
      <w:r>
        <w:rPr>
          <w:rFonts w:hint="eastAsia"/>
          <w:szCs w:val="21"/>
          <w:highlight w:val="none"/>
        </w:rPr>
        <w:t>投标方负责按招标方要求进行设备包装、运送到招标方指定地点，由此产生的费用由投标方承担。投标方需保留发货照片、物流单据及运输路径供招标方不定期查询。</w:t>
      </w:r>
    </w:p>
    <w:p w14:paraId="22AF3F95">
      <w:pPr>
        <w:widowControl/>
        <w:numPr>
          <w:ilvl w:val="0"/>
          <w:numId w:val="32"/>
        </w:numPr>
        <w:jc w:val="left"/>
        <w:rPr>
          <w:szCs w:val="21"/>
          <w:highlight w:val="none"/>
        </w:rPr>
      </w:pPr>
      <w:r>
        <w:rPr>
          <w:rFonts w:hint="eastAsia" w:ascii="宋体" w:hAnsi="宋体"/>
          <w:highlight w:val="none"/>
        </w:rPr>
        <w:t>投标方应按照要求使用招标方信息系统或通过双方系统互联方式录入生产、质量和物流数据，所需的配套使用的硬件设备由招标方自行采购</w:t>
      </w:r>
      <w:r>
        <w:rPr>
          <w:rFonts w:hint="eastAsia"/>
          <w:szCs w:val="21"/>
          <w:highlight w:val="none"/>
        </w:rPr>
        <w:t>。</w:t>
      </w:r>
    </w:p>
    <w:p w14:paraId="35D8DF3D">
      <w:pPr>
        <w:widowControl/>
        <w:numPr>
          <w:ilvl w:val="0"/>
          <w:numId w:val="32"/>
        </w:numPr>
        <w:jc w:val="left"/>
        <w:rPr>
          <w:szCs w:val="21"/>
          <w:highlight w:val="none"/>
        </w:rPr>
      </w:pPr>
      <w:r>
        <w:rPr>
          <w:rFonts w:hint="eastAsia" w:ascii="宋体" w:hAnsi="宋体"/>
          <w:highlight w:val="none"/>
        </w:rPr>
        <w:t>产品应适用于陆运、空运、水（海）运，按运输装卸包装箱上的标准进行操作，在运输中应直立放置， 不许倒置、侧放，并按照招标方要求运送至指定仓库或指定地点（一般指卸货点</w:t>
      </w:r>
      <w:r>
        <w:rPr>
          <w:rFonts w:ascii="Times New Roman" w:hAnsi="Times New Roman"/>
          <w:highlight w:val="none"/>
        </w:rPr>
        <w:t>50</w:t>
      </w:r>
      <w:r>
        <w:rPr>
          <w:rFonts w:hint="eastAsia" w:ascii="宋体" w:hAnsi="宋体"/>
          <w:highlight w:val="none"/>
        </w:rPr>
        <w:t>米以内的仓库或指定地点，不包含吊装至工程现场等非装卸货以外的其他工作）</w:t>
      </w:r>
      <w:r>
        <w:rPr>
          <w:rFonts w:hint="eastAsia"/>
          <w:szCs w:val="21"/>
          <w:highlight w:val="none"/>
        </w:rPr>
        <w:t>。</w:t>
      </w:r>
    </w:p>
    <w:p w14:paraId="02376CB9">
      <w:pPr>
        <w:pStyle w:val="3"/>
        <w:numPr>
          <w:ilvl w:val="255"/>
          <w:numId w:val="0"/>
        </w:numPr>
        <w:spacing w:before="0" w:after="0" w:line="400" w:lineRule="exact"/>
        <w:rPr>
          <w:rFonts w:hint="eastAsia" w:ascii="Times New Roman" w:hAnsi="Times New Roman" w:eastAsia="黑体"/>
          <w:sz w:val="21"/>
          <w:szCs w:val="21"/>
          <w:highlight w:val="none"/>
        </w:rPr>
      </w:pPr>
      <w:bookmarkStart w:id="101" w:name="_Toc18890"/>
      <w:bookmarkStart w:id="102" w:name="_Toc31238"/>
      <w:bookmarkStart w:id="103" w:name="_Toc27485"/>
      <w:bookmarkStart w:id="104" w:name="_Toc12594"/>
      <w:bookmarkStart w:id="105" w:name="_Toc11098"/>
      <w:r>
        <w:rPr>
          <w:rFonts w:hint="eastAsia" w:ascii="Times New Roman" w:hAnsi="Times New Roman" w:eastAsia="黑体"/>
          <w:sz w:val="21"/>
          <w:szCs w:val="21"/>
          <w:highlight w:val="none"/>
        </w:rPr>
        <w:t>6.5贮存</w:t>
      </w:r>
      <w:bookmarkEnd w:id="101"/>
      <w:bookmarkEnd w:id="102"/>
      <w:bookmarkEnd w:id="103"/>
      <w:bookmarkEnd w:id="104"/>
      <w:bookmarkEnd w:id="105"/>
    </w:p>
    <w:p w14:paraId="783D134E">
      <w:pPr>
        <w:pStyle w:val="125"/>
        <w:ind w:firstLine="420" w:firstLineChars="200"/>
        <w:rPr>
          <w:highlight w:val="none"/>
        </w:rPr>
      </w:pPr>
      <w:r>
        <w:rPr>
          <w:rFonts w:hint="eastAsia"/>
          <w:highlight w:val="none"/>
        </w:rPr>
        <w:t>投标方应设立单独仓库区域对招标方的物料和产成品进行分类管控，并按照甲方要求粘贴标签，包装好的装置应存贮在环境温度为</w:t>
      </w:r>
      <w:r>
        <w:rPr>
          <w:rFonts w:ascii="Times New Roman" w:hAnsi="Times New Roman" w:cs="Times New Roman"/>
          <w:highlight w:val="none"/>
        </w:rPr>
        <w:t>–25℃～+55℃、相对湿度不大于85</w:t>
      </w:r>
      <w:r>
        <w:rPr>
          <w:rFonts w:hint="eastAsia" w:ascii="Times New Roman" w:hAnsi="Times New Roman" w:cs="Times New Roman"/>
          <w:highlight w:val="none"/>
        </w:rPr>
        <w:t>%</w:t>
      </w:r>
      <w:r>
        <w:rPr>
          <w:rFonts w:ascii="Times New Roman" w:hAnsi="Times New Roman" w:cs="Times New Roman"/>
          <w:highlight w:val="none"/>
        </w:rPr>
        <w:t>的</w:t>
      </w:r>
      <w:r>
        <w:rPr>
          <w:rFonts w:hint="eastAsia"/>
          <w:highlight w:val="none"/>
        </w:rPr>
        <w:t>库房内，室内无酸、碱、盐及腐蚀性、爆炸性气体，不受灰尘雨雪的侵蚀，投标方应按照招标方要求进行产品包装</w:t>
      </w:r>
      <w:r>
        <w:rPr>
          <w:highlight w:val="none"/>
        </w:rPr>
        <w:t>。</w:t>
      </w:r>
    </w:p>
    <w:p w14:paraId="5B330DE7">
      <w:pPr>
        <w:pStyle w:val="3"/>
        <w:numPr>
          <w:ilvl w:val="255"/>
          <w:numId w:val="0"/>
        </w:numPr>
        <w:spacing w:before="0" w:after="0" w:line="400" w:lineRule="exact"/>
        <w:rPr>
          <w:rFonts w:hint="eastAsia" w:ascii="Times New Roman" w:hAnsi="Times New Roman" w:eastAsia="黑体"/>
          <w:sz w:val="21"/>
          <w:szCs w:val="21"/>
          <w:highlight w:val="none"/>
        </w:rPr>
      </w:pPr>
      <w:bookmarkStart w:id="106" w:name="_Toc17986"/>
      <w:bookmarkStart w:id="107" w:name="_Toc3248"/>
      <w:r>
        <w:rPr>
          <w:rFonts w:hint="eastAsia" w:ascii="Times New Roman" w:hAnsi="Times New Roman" w:eastAsia="黑体"/>
          <w:sz w:val="21"/>
          <w:szCs w:val="21"/>
          <w:highlight w:val="none"/>
        </w:rPr>
        <w:t>6.6交货时间和地点</w:t>
      </w:r>
      <w:bookmarkEnd w:id="106"/>
      <w:bookmarkEnd w:id="107"/>
    </w:p>
    <w:bookmarkEnd w:id="84"/>
    <w:p w14:paraId="177ECC10">
      <w:pPr>
        <w:pStyle w:val="125"/>
        <w:ind w:firstLine="420" w:firstLineChars="200"/>
        <w:rPr>
          <w:highlight w:val="none"/>
        </w:rPr>
      </w:pPr>
      <w:bookmarkStart w:id="108" w:name="_Toc297836968"/>
      <w:bookmarkEnd w:id="108"/>
      <w:bookmarkStart w:id="109" w:name="_Toc297646210"/>
      <w:bookmarkEnd w:id="109"/>
      <w:bookmarkStart w:id="110" w:name="_Toc28983"/>
      <w:bookmarkEnd w:id="110"/>
      <w:bookmarkStart w:id="111" w:name="_Toc25489"/>
      <w:bookmarkEnd w:id="111"/>
      <w:bookmarkStart w:id="112" w:name="_Toc4963"/>
      <w:bookmarkEnd w:id="112"/>
      <w:bookmarkStart w:id="113" w:name="_Toc22150"/>
      <w:bookmarkEnd w:id="113"/>
      <w:bookmarkStart w:id="114" w:name="_Toc297836970"/>
      <w:bookmarkEnd w:id="114"/>
      <w:bookmarkStart w:id="115" w:name="_Toc30773"/>
      <w:bookmarkEnd w:id="115"/>
      <w:bookmarkStart w:id="116" w:name="_Toc18304"/>
      <w:bookmarkEnd w:id="116"/>
      <w:bookmarkStart w:id="117" w:name="_Toc23269"/>
      <w:bookmarkEnd w:id="117"/>
      <w:bookmarkStart w:id="118" w:name="_Toc6737"/>
      <w:bookmarkEnd w:id="118"/>
      <w:bookmarkStart w:id="119" w:name="_Toc297836969"/>
      <w:bookmarkEnd w:id="119"/>
      <w:bookmarkStart w:id="120" w:name="_Toc297838435"/>
      <w:bookmarkEnd w:id="120"/>
      <w:bookmarkStart w:id="121" w:name="_Toc15633"/>
      <w:bookmarkEnd w:id="121"/>
      <w:bookmarkStart w:id="122" w:name="_Toc519015836"/>
      <w:bookmarkEnd w:id="122"/>
      <w:bookmarkStart w:id="123" w:name="_Toc25563"/>
      <w:bookmarkEnd w:id="123"/>
      <w:bookmarkStart w:id="124" w:name="_Toc297646209"/>
      <w:bookmarkEnd w:id="124"/>
      <w:bookmarkStart w:id="125" w:name="_Toc7798"/>
      <w:bookmarkEnd w:id="125"/>
      <w:bookmarkStart w:id="126" w:name="_Toc30618"/>
      <w:bookmarkEnd w:id="126"/>
      <w:bookmarkStart w:id="127" w:name="_Toc11464"/>
      <w:bookmarkEnd w:id="127"/>
      <w:bookmarkStart w:id="128" w:name="_Toc458786537"/>
      <w:bookmarkEnd w:id="128"/>
      <w:bookmarkStart w:id="129" w:name="_Toc23772"/>
      <w:bookmarkEnd w:id="129"/>
      <w:bookmarkStart w:id="130" w:name="_Toc454984013"/>
      <w:bookmarkEnd w:id="130"/>
      <w:bookmarkStart w:id="131" w:name="_Toc24553"/>
      <w:bookmarkEnd w:id="131"/>
      <w:bookmarkStart w:id="132" w:name="_Toc297646213"/>
      <w:bookmarkEnd w:id="132"/>
      <w:bookmarkStart w:id="133" w:name="_Toc29458"/>
      <w:bookmarkEnd w:id="133"/>
      <w:bookmarkStart w:id="134" w:name="_Toc3318"/>
      <w:bookmarkEnd w:id="134"/>
      <w:bookmarkStart w:id="135" w:name="_Toc297646211"/>
      <w:bookmarkEnd w:id="135"/>
      <w:bookmarkStart w:id="136" w:name="_Toc29468"/>
      <w:bookmarkEnd w:id="136"/>
      <w:bookmarkStart w:id="137" w:name="_Toc27836"/>
      <w:bookmarkEnd w:id="137"/>
      <w:bookmarkStart w:id="138" w:name="_Toc23170"/>
      <w:bookmarkEnd w:id="138"/>
      <w:bookmarkStart w:id="139" w:name="_Toc17554"/>
      <w:bookmarkEnd w:id="139"/>
      <w:bookmarkStart w:id="140" w:name="_Toc515551851"/>
      <w:bookmarkEnd w:id="140"/>
      <w:bookmarkStart w:id="141" w:name="_Toc297851442"/>
      <w:bookmarkEnd w:id="141"/>
      <w:bookmarkStart w:id="142" w:name="_Toc14631"/>
      <w:bookmarkEnd w:id="142"/>
      <w:bookmarkStart w:id="143" w:name="_Toc297851441"/>
      <w:bookmarkEnd w:id="143"/>
      <w:bookmarkStart w:id="144" w:name="_Toc25142"/>
      <w:bookmarkEnd w:id="144"/>
      <w:bookmarkStart w:id="145" w:name="_Toc519015837"/>
      <w:bookmarkEnd w:id="145"/>
      <w:bookmarkStart w:id="146" w:name="_Toc20246"/>
      <w:bookmarkEnd w:id="146"/>
      <w:bookmarkStart w:id="147" w:name="_Toc18270"/>
      <w:bookmarkEnd w:id="147"/>
      <w:bookmarkStart w:id="148" w:name="_Toc518071980"/>
      <w:bookmarkEnd w:id="148"/>
      <w:bookmarkStart w:id="149" w:name="_Toc297851443"/>
      <w:bookmarkEnd w:id="149"/>
      <w:bookmarkStart w:id="150" w:name="_Toc519017022"/>
      <w:bookmarkEnd w:id="150"/>
      <w:bookmarkStart w:id="151" w:name="_Toc297838432"/>
      <w:bookmarkEnd w:id="151"/>
      <w:bookmarkStart w:id="152" w:name="_Toc297836971"/>
      <w:bookmarkEnd w:id="152"/>
      <w:bookmarkStart w:id="153" w:name="_Toc520327026"/>
      <w:bookmarkEnd w:id="153"/>
      <w:bookmarkStart w:id="154" w:name="_Toc297838433"/>
      <w:bookmarkEnd w:id="154"/>
      <w:bookmarkStart w:id="155" w:name="_Toc297646212"/>
      <w:bookmarkEnd w:id="155"/>
      <w:bookmarkStart w:id="156" w:name="_Toc297838431"/>
      <w:bookmarkEnd w:id="156"/>
      <w:bookmarkStart w:id="157" w:name="_Toc519017023"/>
      <w:bookmarkEnd w:id="157"/>
      <w:bookmarkStart w:id="158" w:name="_Toc18803"/>
      <w:bookmarkEnd w:id="158"/>
      <w:bookmarkStart w:id="159" w:name="_Toc297851444"/>
      <w:bookmarkEnd w:id="159"/>
      <w:bookmarkStart w:id="160" w:name="_Toc520327025"/>
      <w:bookmarkEnd w:id="160"/>
      <w:bookmarkStart w:id="161" w:name="_Toc297836972"/>
      <w:bookmarkEnd w:id="161"/>
      <w:bookmarkStart w:id="162" w:name="_Toc297851445"/>
      <w:bookmarkEnd w:id="162"/>
      <w:bookmarkStart w:id="163" w:name="_Toc297838434"/>
      <w:bookmarkEnd w:id="163"/>
      <w:bookmarkStart w:id="164" w:name="_Toc28105"/>
      <w:bookmarkEnd w:id="164"/>
      <w:r>
        <w:rPr>
          <w:rFonts w:hint="eastAsia"/>
          <w:highlight w:val="none"/>
        </w:rPr>
        <w:t>交货时间：签订合同后且收到采购订单之日起，30个日历日内满足交货条件。</w:t>
      </w:r>
    </w:p>
    <w:p w14:paraId="721BAAB1">
      <w:pPr>
        <w:pStyle w:val="125"/>
        <w:ind w:firstLine="420" w:firstLineChars="200"/>
        <w:rPr>
          <w:highlight w:val="none"/>
        </w:rPr>
      </w:pPr>
      <w:r>
        <w:rPr>
          <w:rFonts w:hint="eastAsia"/>
          <w:highlight w:val="none"/>
        </w:rPr>
        <w:t>交货地点：广东电力通信科技有限公司指定地点。</w:t>
      </w:r>
    </w:p>
    <w:p w14:paraId="290EFD11">
      <w:pPr>
        <w:pStyle w:val="125"/>
        <w:rPr>
          <w:highlight w:val="none"/>
        </w:rPr>
      </w:pPr>
      <w:r>
        <w:rPr>
          <w:rFonts w:hint="eastAsia"/>
          <w:highlight w:val="none"/>
        </w:rPr>
        <w:t>送样：签订合同后且收到采购订单之日起7日需将样机送广东电力通信科技</w:t>
      </w:r>
      <w:r>
        <w:rPr>
          <w:rFonts w:hint="eastAsia" w:ascii="Times New Roman" w:hAnsi="Times New Roman"/>
          <w:highlight w:val="none"/>
        </w:rPr>
        <w:t>有限公司检验。</w:t>
      </w:r>
    </w:p>
    <w:p w14:paraId="7093934B">
      <w:pPr>
        <w:pStyle w:val="3"/>
        <w:numPr>
          <w:ilvl w:val="255"/>
          <w:numId w:val="0"/>
        </w:numPr>
        <w:spacing w:before="0" w:after="0" w:line="400" w:lineRule="exact"/>
        <w:rPr>
          <w:rFonts w:hint="eastAsia" w:ascii="Times New Roman" w:hAnsi="Times New Roman" w:eastAsia="黑体"/>
          <w:sz w:val="21"/>
          <w:szCs w:val="21"/>
          <w:highlight w:val="none"/>
        </w:rPr>
      </w:pPr>
      <w:bookmarkStart w:id="165" w:name="_Toc17514"/>
      <w:r>
        <w:rPr>
          <w:rFonts w:hint="eastAsia" w:ascii="Times New Roman" w:hAnsi="Times New Roman" w:eastAsia="黑体"/>
          <w:sz w:val="21"/>
          <w:szCs w:val="21"/>
          <w:highlight w:val="none"/>
        </w:rPr>
        <w:t>6.7售后服务</w:t>
      </w:r>
      <w:bookmarkEnd w:id="165"/>
    </w:p>
    <w:p w14:paraId="6054FBAF">
      <w:pPr>
        <w:pStyle w:val="125"/>
        <w:ind w:firstLine="420" w:firstLineChars="200"/>
        <w:rPr>
          <w:highlight w:val="none"/>
        </w:rPr>
      </w:pPr>
      <w:r>
        <w:rPr>
          <w:rFonts w:hint="eastAsia"/>
          <w:highlight w:val="none"/>
        </w:rPr>
        <w:t>提供整部件7年免费质保期</w:t>
      </w:r>
      <w:r>
        <w:rPr>
          <w:highlight w:val="none"/>
        </w:rPr>
        <w:t>。</w:t>
      </w:r>
    </w:p>
    <w:p w14:paraId="20C0A5E8">
      <w:pPr>
        <w:pStyle w:val="125"/>
        <w:ind w:firstLine="420" w:firstLineChars="200"/>
        <w:rPr>
          <w:highlight w:val="none"/>
        </w:rPr>
      </w:pPr>
      <w:r>
        <w:rPr>
          <w:highlight w:val="none"/>
        </w:rPr>
        <w:t>质量保证期内供应商应至少提供以下服务：备件供应</w:t>
      </w:r>
      <w:r>
        <w:rPr>
          <w:rFonts w:hint="eastAsia"/>
          <w:highlight w:val="none"/>
        </w:rPr>
        <w:t>等，</w:t>
      </w:r>
      <w:r>
        <w:rPr>
          <w:highlight w:val="none"/>
        </w:rPr>
        <w:t>期间所产生费用均由供应商负担。</w:t>
      </w:r>
    </w:p>
    <w:p w14:paraId="6EA53846">
      <w:pPr>
        <w:pStyle w:val="125"/>
        <w:ind w:firstLine="420" w:firstLineChars="200"/>
        <w:rPr>
          <w:highlight w:val="none"/>
        </w:rPr>
      </w:pPr>
      <w:r>
        <w:rPr>
          <w:highlight w:val="none"/>
        </w:rPr>
        <w:t>备品备件在质量保证期内应由供应商免费提供；质量保证期外有偿提供且价格不高于原</w:t>
      </w:r>
      <w:r>
        <w:rPr>
          <w:rFonts w:hint="eastAsia"/>
          <w:highlight w:val="none"/>
        </w:rPr>
        <w:t>货物</w:t>
      </w:r>
      <w:r>
        <w:rPr>
          <w:highlight w:val="none"/>
        </w:rPr>
        <w:t>合同中相应</w:t>
      </w:r>
      <w:r>
        <w:rPr>
          <w:rFonts w:hint="eastAsia"/>
          <w:highlight w:val="none"/>
        </w:rPr>
        <w:t>货物</w:t>
      </w:r>
      <w:r>
        <w:rPr>
          <w:highlight w:val="none"/>
        </w:rPr>
        <w:t>的价格。备品备件应为与检定系统所使用一致的产品或经招标方同意的替用品。</w:t>
      </w:r>
    </w:p>
    <w:p w14:paraId="5DB458CE">
      <w:pPr>
        <w:pStyle w:val="125"/>
        <w:ind w:firstLine="420" w:firstLineChars="200"/>
        <w:rPr>
          <w:highlight w:val="none"/>
        </w:rPr>
      </w:pPr>
      <w:r>
        <w:rPr>
          <w:highlight w:val="none"/>
        </w:rPr>
        <w:t>所有备品备件应为全新产品，与已经安装设备的相应部件能够互换，具有相同的技术协议和相同的规格、材质、制造工艺，并采取防尘、防潮、防止损坏等措施。</w:t>
      </w:r>
    </w:p>
    <w:p w14:paraId="33D5D5B0">
      <w:pPr>
        <w:pStyle w:val="125"/>
        <w:ind w:firstLine="420" w:firstLineChars="200"/>
        <w:rPr>
          <w:highlight w:val="none"/>
        </w:rPr>
      </w:pPr>
      <w:r>
        <w:rPr>
          <w:rFonts w:hint="eastAsia"/>
          <w:highlight w:val="none"/>
        </w:rPr>
        <w:t>质保期满后，招标方可根据实际需要选择附表A “延保服务内容”中的维保方式，投标方应按附表A “延保服务内容”，提供设备质保期结束后相应的详细服务方案及报价。</w:t>
      </w:r>
    </w:p>
    <w:p w14:paraId="5349FDBB">
      <w:pPr>
        <w:pStyle w:val="125"/>
        <w:ind w:firstLine="420" w:firstLineChars="200"/>
        <w:rPr>
          <w:highlight w:val="none"/>
        </w:rPr>
      </w:pPr>
    </w:p>
    <w:p w14:paraId="79054E49">
      <w:pPr>
        <w:pStyle w:val="125"/>
        <w:ind w:firstLine="420" w:firstLineChars="200"/>
        <w:rPr>
          <w:highlight w:val="none"/>
        </w:rPr>
      </w:pPr>
    </w:p>
    <w:p w14:paraId="276DFD65">
      <w:pPr>
        <w:widowControl/>
        <w:spacing w:line="240" w:lineRule="auto"/>
        <w:jc w:val="left"/>
        <w:rPr>
          <w:rFonts w:ascii="Times New Roman" w:hAnsi="Times New Roman"/>
          <w:b/>
          <w:bCs/>
          <w:kern w:val="44"/>
          <w:sz w:val="44"/>
          <w:szCs w:val="44"/>
          <w:highlight w:val="none"/>
        </w:rPr>
      </w:pPr>
      <w:r>
        <w:rPr>
          <w:highlight w:val="none"/>
        </w:rPr>
        <w:br w:type="page"/>
      </w:r>
    </w:p>
    <w:p w14:paraId="3B88B81B">
      <w:pPr>
        <w:pStyle w:val="2"/>
        <w:jc w:val="center"/>
        <w:rPr>
          <w:b/>
          <w:bCs/>
          <w:highlight w:val="none"/>
        </w:rPr>
      </w:pPr>
      <w:bookmarkStart w:id="166" w:name="_Toc21881"/>
      <w:r>
        <w:rPr>
          <w:rFonts w:hint="eastAsia"/>
          <w:b/>
          <w:bCs/>
          <w:highlight w:val="none"/>
        </w:rPr>
        <w:t>广东电力通信科技有限公司2025-2026年</w:t>
      </w:r>
      <w:r>
        <w:rPr>
          <w:rFonts w:hint="eastAsia"/>
          <w:b/>
          <w:bCs/>
          <w:highlight w:val="none"/>
          <w:lang w:val="en-US" w:eastAsia="zh-CN"/>
        </w:rPr>
        <w:t>天通</w:t>
      </w:r>
      <w:r>
        <w:rPr>
          <w:rFonts w:hint="eastAsia"/>
          <w:b/>
          <w:bCs/>
          <w:highlight w:val="none"/>
        </w:rPr>
        <w:t>卫星应急通信装置整部件委托制造服务技术规范书</w:t>
      </w:r>
      <w:bookmarkEnd w:id="166"/>
    </w:p>
    <w:p w14:paraId="6C71BE50">
      <w:pPr>
        <w:pStyle w:val="2"/>
        <w:jc w:val="center"/>
        <w:rPr>
          <w:highlight w:val="none"/>
        </w:rPr>
      </w:pPr>
      <w:bookmarkStart w:id="167" w:name="_Toc22345"/>
      <w:r>
        <w:rPr>
          <w:rFonts w:hint="eastAsia"/>
          <w:highlight w:val="none"/>
        </w:rPr>
        <w:t>（专用部分）</w:t>
      </w:r>
      <w:bookmarkEnd w:id="167"/>
    </w:p>
    <w:p w14:paraId="72ABBE55">
      <w:pPr>
        <w:pStyle w:val="2"/>
        <w:numPr>
          <w:ilvl w:val="0"/>
          <w:numId w:val="33"/>
        </w:numPr>
        <w:tabs>
          <w:tab w:val="left" w:pos="425"/>
        </w:tabs>
        <w:spacing w:before="0" w:after="0" w:line="360" w:lineRule="auto"/>
        <w:ind w:firstLine="0"/>
        <w:rPr>
          <w:rFonts w:ascii="黑体" w:hAnsi="黑体" w:eastAsia="黑体" w:cs="黑体"/>
          <w:sz w:val="30"/>
          <w:szCs w:val="30"/>
          <w:highlight w:val="none"/>
        </w:rPr>
      </w:pPr>
      <w:bookmarkStart w:id="168" w:name="_Toc505002871"/>
      <w:bookmarkEnd w:id="168"/>
      <w:bookmarkStart w:id="169" w:name="_Toc505241152"/>
      <w:bookmarkEnd w:id="169"/>
      <w:bookmarkStart w:id="170" w:name="_Toc22992"/>
      <w:r>
        <w:rPr>
          <w:rFonts w:hint="eastAsia" w:ascii="黑体" w:hAnsi="黑体" w:eastAsia="黑体" w:cs="黑体"/>
          <w:sz w:val="30"/>
          <w:szCs w:val="30"/>
          <w:highlight w:val="none"/>
        </w:rPr>
        <w:t>装置技术要求</w:t>
      </w:r>
      <w:bookmarkEnd w:id="170"/>
    </w:p>
    <w:p w14:paraId="1FE5B018">
      <w:pPr>
        <w:pStyle w:val="3"/>
        <w:numPr>
          <w:ilvl w:val="255"/>
          <w:numId w:val="0"/>
        </w:numPr>
        <w:spacing w:before="0" w:after="0" w:line="400" w:lineRule="exact"/>
        <w:rPr>
          <w:rFonts w:ascii="Times New Roman" w:hAnsi="Times New Roman" w:eastAsia="黑体"/>
          <w:sz w:val="24"/>
          <w:szCs w:val="24"/>
          <w:highlight w:val="none"/>
        </w:rPr>
      </w:pPr>
      <w:bookmarkStart w:id="171" w:name="_Toc1408"/>
      <w:r>
        <w:rPr>
          <w:rFonts w:hint="eastAsia" w:ascii="Times New Roman" w:hAnsi="Times New Roman" w:eastAsia="黑体"/>
          <w:sz w:val="24"/>
          <w:szCs w:val="24"/>
          <w:highlight w:val="none"/>
        </w:rPr>
        <w:t>1</w:t>
      </w:r>
      <w:r>
        <w:rPr>
          <w:rFonts w:ascii="Times New Roman" w:hAnsi="Times New Roman" w:eastAsia="黑体"/>
          <w:sz w:val="24"/>
          <w:szCs w:val="24"/>
          <w:highlight w:val="none"/>
        </w:rPr>
        <w:t>.</w:t>
      </w:r>
      <w:r>
        <w:rPr>
          <w:rFonts w:hint="eastAsia" w:ascii="Times New Roman" w:hAnsi="Times New Roman" w:eastAsia="黑体"/>
          <w:sz w:val="24"/>
          <w:szCs w:val="24"/>
          <w:highlight w:val="none"/>
          <w:lang w:val="en-US" w:eastAsia="zh-CN"/>
        </w:rPr>
        <w:t>1</w:t>
      </w:r>
      <w:r>
        <w:rPr>
          <w:rFonts w:hint="eastAsia" w:ascii="Times New Roman" w:hAnsi="Times New Roman" w:eastAsia="黑体"/>
          <w:sz w:val="24"/>
          <w:szCs w:val="24"/>
          <w:highlight w:val="none"/>
        </w:rPr>
        <w:t>天通卫星通信终端</w:t>
      </w:r>
      <w:bookmarkEnd w:id="171"/>
    </w:p>
    <w:p w14:paraId="7A4413D3">
      <w:pPr>
        <w:pStyle w:val="125"/>
        <w:ind w:firstLine="482" w:firstLineChars="200"/>
        <w:jc w:val="left"/>
        <w:rPr>
          <w:sz w:val="24"/>
          <w:szCs w:val="24"/>
          <w:highlight w:val="none"/>
        </w:rPr>
      </w:pPr>
      <w:r>
        <w:rPr>
          <w:rFonts w:hint="eastAsia"/>
          <w:b/>
          <w:bCs/>
          <w:sz w:val="24"/>
          <w:szCs w:val="24"/>
          <w:highlight w:val="none"/>
        </w:rPr>
        <w:t>天通卫星通信终端</w:t>
      </w:r>
      <w:r>
        <w:rPr>
          <w:rFonts w:hint="eastAsia"/>
          <w:sz w:val="24"/>
          <w:szCs w:val="24"/>
          <w:highlight w:val="none"/>
        </w:rPr>
        <w:t>整部件其技术参数除应满足国家和行业相关标准外，还应满足</w:t>
      </w:r>
      <w:r>
        <w:rPr>
          <w:rFonts w:hint="eastAsia"/>
          <w:highlight w:val="none"/>
        </w:rPr>
        <w:t>以下</w:t>
      </w:r>
      <w:r>
        <w:rPr>
          <w:rFonts w:hint="eastAsia"/>
          <w:sz w:val="24"/>
          <w:szCs w:val="24"/>
          <w:highlight w:val="none"/>
        </w:rPr>
        <w:t>要求。</w:t>
      </w:r>
    </w:p>
    <w:p w14:paraId="62702BCE">
      <w:pPr>
        <w:pStyle w:val="5"/>
        <w:rPr>
          <w:rFonts w:ascii="Times New Roman" w:hAnsi="Times New Roman"/>
          <w:sz w:val="21"/>
          <w:szCs w:val="21"/>
          <w:highlight w:val="none"/>
        </w:rPr>
      </w:pPr>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1</w:t>
      </w:r>
      <w:r>
        <w:rPr>
          <w:rFonts w:ascii="Times New Roman" w:hAnsi="Times New Roman"/>
          <w:sz w:val="21"/>
          <w:szCs w:val="21"/>
          <w:highlight w:val="none"/>
        </w:rPr>
        <w:t>.</w:t>
      </w:r>
      <w:r>
        <w:rPr>
          <w:rFonts w:hint="eastAsia" w:ascii="Times New Roman" w:hAnsi="Times New Roman"/>
          <w:sz w:val="21"/>
          <w:szCs w:val="21"/>
          <w:highlight w:val="none"/>
        </w:rPr>
        <w:t>1电源模块</w:t>
      </w:r>
    </w:p>
    <w:p w14:paraId="30F5D914">
      <w:pPr>
        <w:pStyle w:val="125"/>
        <w:ind w:firstLine="420" w:firstLineChars="200"/>
        <w:rPr>
          <w:highlight w:val="none"/>
        </w:rPr>
      </w:pPr>
      <w:r>
        <w:rPr>
          <w:rFonts w:hint="eastAsia"/>
          <w:highlight w:val="none"/>
        </w:rPr>
        <w:t>技术参数：</w:t>
      </w:r>
    </w:p>
    <w:p w14:paraId="2559DB39">
      <w:pPr>
        <w:pStyle w:val="125"/>
        <w:numPr>
          <w:ilvl w:val="0"/>
          <w:numId w:val="34"/>
        </w:numPr>
        <w:rPr>
          <w:highlight w:val="none"/>
        </w:rPr>
      </w:pPr>
      <w:r>
        <w:rPr>
          <w:rFonts w:hint="eastAsia"/>
          <w:b/>
          <w:highlight w:val="none"/>
        </w:rPr>
        <w:t>★</w:t>
      </w:r>
      <w:r>
        <w:rPr>
          <w:rFonts w:hint="eastAsia"/>
          <w:highlight w:val="none"/>
        </w:rPr>
        <w:t>采用内置电池，电池不可拆卸；</w:t>
      </w:r>
    </w:p>
    <w:p w14:paraId="5857696C">
      <w:pPr>
        <w:pStyle w:val="125"/>
        <w:numPr>
          <w:ilvl w:val="0"/>
          <w:numId w:val="34"/>
        </w:numPr>
        <w:rPr>
          <w:highlight w:val="none"/>
        </w:rPr>
      </w:pPr>
      <w:r>
        <w:rPr>
          <w:rFonts w:hint="eastAsia"/>
          <w:b/>
          <w:highlight w:val="none"/>
        </w:rPr>
        <w:t>★</w:t>
      </w:r>
      <w:r>
        <w:rPr>
          <w:rFonts w:hint="eastAsia"/>
          <w:highlight w:val="none"/>
        </w:rPr>
        <w:t>电池容量≥等效8000mAh（</w:t>
      </w:r>
      <w:r>
        <w:rPr>
          <w:rFonts w:hint="eastAsia"/>
          <w:bCs/>
          <w:highlight w:val="none"/>
        </w:rPr>
        <w:t>3.8V</w:t>
      </w:r>
      <w:r>
        <w:rPr>
          <w:rFonts w:hint="eastAsia"/>
          <w:highlight w:val="none"/>
        </w:rPr>
        <w:t>）；</w:t>
      </w:r>
    </w:p>
    <w:p w14:paraId="6777439E">
      <w:pPr>
        <w:pStyle w:val="125"/>
        <w:numPr>
          <w:ilvl w:val="0"/>
          <w:numId w:val="34"/>
        </w:numPr>
        <w:rPr>
          <w:highlight w:val="none"/>
        </w:rPr>
      </w:pPr>
      <w:r>
        <w:rPr>
          <w:rFonts w:hint="eastAsia"/>
          <w:b/>
          <w:highlight w:val="none"/>
        </w:rPr>
        <w:t>★</w:t>
      </w:r>
      <w:r>
        <w:rPr>
          <w:rFonts w:hint="eastAsia"/>
          <w:highlight w:val="none"/>
        </w:rPr>
        <w:t>待机时长≥160小时，通话时长≥10小时；</w:t>
      </w:r>
    </w:p>
    <w:p w14:paraId="649C20CF">
      <w:pPr>
        <w:pStyle w:val="125"/>
        <w:numPr>
          <w:ilvl w:val="0"/>
          <w:numId w:val="34"/>
        </w:numPr>
        <w:rPr>
          <w:highlight w:val="none"/>
        </w:rPr>
      </w:pPr>
      <w:r>
        <w:rPr>
          <w:rFonts w:hint="eastAsia"/>
          <w:highlight w:val="none"/>
        </w:rPr>
        <w:t>供电电压：5V/2A输出；</w:t>
      </w:r>
    </w:p>
    <w:p w14:paraId="6C783FFB">
      <w:pPr>
        <w:pStyle w:val="125"/>
        <w:numPr>
          <w:ilvl w:val="0"/>
          <w:numId w:val="34"/>
        </w:numPr>
        <w:rPr>
          <w:highlight w:val="none"/>
        </w:rPr>
      </w:pPr>
      <w:r>
        <w:rPr>
          <w:rFonts w:hint="eastAsia"/>
          <w:highlight w:val="none"/>
        </w:rPr>
        <w:t>供电方式：220V适配器供电；</w:t>
      </w:r>
    </w:p>
    <w:p w14:paraId="003395E7">
      <w:pPr>
        <w:pStyle w:val="125"/>
        <w:numPr>
          <w:ilvl w:val="0"/>
          <w:numId w:val="34"/>
        </w:numPr>
        <w:rPr>
          <w:highlight w:val="none"/>
        </w:rPr>
      </w:pPr>
      <w:r>
        <w:rPr>
          <w:rFonts w:hint="eastAsia"/>
          <w:b/>
          <w:highlight w:val="none"/>
        </w:rPr>
        <w:t>★</w:t>
      </w:r>
      <w:r>
        <w:rPr>
          <w:rFonts w:hint="eastAsia"/>
          <w:highlight w:val="none"/>
        </w:rPr>
        <w:t>电源接口：</w:t>
      </w:r>
      <w:r>
        <w:rPr>
          <w:rFonts w:hint="eastAsia"/>
          <w:szCs w:val="24"/>
          <w:highlight w:val="none"/>
        </w:rPr>
        <w:t>TYPE-C；</w:t>
      </w:r>
    </w:p>
    <w:p w14:paraId="3E9CD532">
      <w:pPr>
        <w:pStyle w:val="125"/>
        <w:ind w:left="420"/>
        <w:rPr>
          <w:highlight w:val="none"/>
        </w:rPr>
      </w:pPr>
    </w:p>
    <w:p w14:paraId="50A29824">
      <w:pPr>
        <w:pStyle w:val="5"/>
        <w:rPr>
          <w:rFonts w:ascii="Times New Roman" w:hAnsi="Times New Roman"/>
          <w:sz w:val="21"/>
          <w:szCs w:val="21"/>
          <w:highlight w:val="none"/>
        </w:rPr>
      </w:pPr>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1</w:t>
      </w:r>
      <w:r>
        <w:rPr>
          <w:rFonts w:ascii="Times New Roman" w:hAnsi="Times New Roman"/>
          <w:sz w:val="21"/>
          <w:szCs w:val="21"/>
          <w:highlight w:val="none"/>
        </w:rPr>
        <w:t>.</w:t>
      </w:r>
      <w:r>
        <w:rPr>
          <w:rFonts w:hint="eastAsia" w:ascii="Times New Roman" w:hAnsi="Times New Roman"/>
          <w:sz w:val="21"/>
          <w:szCs w:val="21"/>
          <w:highlight w:val="none"/>
        </w:rPr>
        <w:t>2核心处理组件</w:t>
      </w:r>
    </w:p>
    <w:p w14:paraId="20C23B55">
      <w:pPr>
        <w:pStyle w:val="125"/>
        <w:ind w:firstLine="420" w:firstLineChars="200"/>
        <w:rPr>
          <w:highlight w:val="none"/>
        </w:rPr>
      </w:pPr>
      <w:r>
        <w:rPr>
          <w:rFonts w:hint="eastAsia"/>
          <w:highlight w:val="none"/>
        </w:rPr>
        <w:t>技术参数：</w:t>
      </w:r>
    </w:p>
    <w:p w14:paraId="32F8D859">
      <w:pPr>
        <w:pStyle w:val="125"/>
        <w:numPr>
          <w:ilvl w:val="0"/>
          <w:numId w:val="35"/>
        </w:numPr>
        <w:rPr>
          <w:highlight w:val="none"/>
          <w:lang w:val="zh-CN"/>
        </w:rPr>
      </w:pPr>
      <w:r>
        <w:rPr>
          <w:rFonts w:hint="eastAsia"/>
          <w:highlight w:val="none"/>
        </w:rPr>
        <w:t>处理器：不低于</w:t>
      </w:r>
      <w:r>
        <w:rPr>
          <w:rFonts w:hint="eastAsia"/>
          <w:bCs/>
          <w:highlight w:val="none"/>
        </w:rPr>
        <w:t>四核，主频≥1.1GHz；</w:t>
      </w:r>
    </w:p>
    <w:p w14:paraId="0867FA50">
      <w:pPr>
        <w:pStyle w:val="125"/>
        <w:numPr>
          <w:ilvl w:val="0"/>
          <w:numId w:val="35"/>
        </w:numPr>
        <w:rPr>
          <w:highlight w:val="none"/>
          <w:lang w:val="zh-CN"/>
        </w:rPr>
      </w:pPr>
      <w:r>
        <w:rPr>
          <w:rFonts w:hint="eastAsia"/>
          <w:highlight w:val="none"/>
          <w:lang w:val="zh-CN"/>
        </w:rPr>
        <w:t>运行内存</w:t>
      </w:r>
      <w:r>
        <w:rPr>
          <w:rFonts w:hint="eastAsia"/>
          <w:bCs/>
          <w:highlight w:val="none"/>
        </w:rPr>
        <w:t>≥</w:t>
      </w:r>
      <w:r>
        <w:rPr>
          <w:rFonts w:hint="eastAsia"/>
          <w:highlight w:val="none"/>
          <w:lang w:val="zh-CN"/>
        </w:rPr>
        <w:t>1GB RAM；</w:t>
      </w:r>
    </w:p>
    <w:p w14:paraId="6F798726">
      <w:pPr>
        <w:pStyle w:val="125"/>
        <w:numPr>
          <w:ilvl w:val="0"/>
          <w:numId w:val="35"/>
        </w:numPr>
        <w:rPr>
          <w:highlight w:val="none"/>
          <w:lang w:val="zh-CN"/>
        </w:rPr>
      </w:pPr>
      <w:r>
        <w:rPr>
          <w:rFonts w:hint="eastAsia"/>
          <w:highlight w:val="none"/>
          <w:lang w:val="zh-CN"/>
        </w:rPr>
        <w:t>机身内存</w:t>
      </w:r>
      <w:r>
        <w:rPr>
          <w:rFonts w:hint="eastAsia"/>
          <w:bCs/>
          <w:highlight w:val="none"/>
        </w:rPr>
        <w:t>≥</w:t>
      </w:r>
      <w:r>
        <w:rPr>
          <w:rFonts w:hint="eastAsia"/>
          <w:highlight w:val="none"/>
          <w:lang w:val="zh-CN"/>
        </w:rPr>
        <w:t>8GB ROM ；</w:t>
      </w:r>
    </w:p>
    <w:p w14:paraId="3F84B5F6">
      <w:pPr>
        <w:pStyle w:val="125"/>
        <w:numPr>
          <w:ilvl w:val="0"/>
          <w:numId w:val="35"/>
        </w:numPr>
        <w:rPr>
          <w:highlight w:val="none"/>
          <w:lang w:val="zh-CN"/>
        </w:rPr>
      </w:pPr>
      <w:r>
        <w:rPr>
          <w:rFonts w:hint="eastAsia"/>
          <w:b/>
          <w:highlight w:val="none"/>
        </w:rPr>
        <w:t>★</w:t>
      </w:r>
      <w:r>
        <w:rPr>
          <w:rFonts w:hint="eastAsia"/>
          <w:highlight w:val="none"/>
        </w:rPr>
        <w:t>需</w:t>
      </w:r>
      <w:r>
        <w:rPr>
          <w:rFonts w:hint="eastAsia"/>
          <w:highlight w:val="none"/>
          <w:lang w:val="zh-CN"/>
        </w:rPr>
        <w:t>支持SOS一键求救功能，</w:t>
      </w:r>
      <w:r>
        <w:rPr>
          <w:rFonts w:hint="eastAsia"/>
          <w:highlight w:val="none"/>
        </w:rPr>
        <w:t>具备</w:t>
      </w:r>
      <w:r>
        <w:rPr>
          <w:rFonts w:hint="eastAsia"/>
          <w:highlight w:val="none"/>
          <w:lang w:val="zh-CN"/>
        </w:rPr>
        <w:t>SOS物理按键，</w:t>
      </w:r>
      <w:r>
        <w:rPr>
          <w:rFonts w:hint="eastAsia"/>
          <w:highlight w:val="none"/>
        </w:rPr>
        <w:t>可向指定号码发送短信位置信息；</w:t>
      </w:r>
    </w:p>
    <w:p w14:paraId="10F3FAE5">
      <w:pPr>
        <w:pStyle w:val="125"/>
        <w:numPr>
          <w:ilvl w:val="0"/>
          <w:numId w:val="35"/>
        </w:numPr>
        <w:rPr>
          <w:highlight w:val="none"/>
        </w:rPr>
      </w:pPr>
      <w:r>
        <w:rPr>
          <w:rFonts w:hint="eastAsia"/>
          <w:highlight w:val="none"/>
        </w:rPr>
        <w:t>需支持智能设备安装天通猫APP通过wifi无线连接使用；</w:t>
      </w:r>
    </w:p>
    <w:p w14:paraId="7BD2B363">
      <w:pPr>
        <w:pStyle w:val="125"/>
        <w:numPr>
          <w:ilvl w:val="0"/>
          <w:numId w:val="35"/>
        </w:numPr>
        <w:rPr>
          <w:highlight w:val="none"/>
        </w:rPr>
      </w:pPr>
      <w:r>
        <w:rPr>
          <w:rFonts w:hint="eastAsia"/>
          <w:highlight w:val="none"/>
        </w:rPr>
        <w:t>天通猫APP支持IOS、Android、鸿蒙系统安装；</w:t>
      </w:r>
    </w:p>
    <w:p w14:paraId="263A5B60">
      <w:pPr>
        <w:pStyle w:val="125"/>
        <w:numPr>
          <w:ilvl w:val="0"/>
          <w:numId w:val="35"/>
        </w:numPr>
        <w:rPr>
          <w:highlight w:val="none"/>
        </w:rPr>
      </w:pPr>
      <w:r>
        <w:rPr>
          <w:rFonts w:hint="eastAsia"/>
          <w:highlight w:val="none"/>
          <w:lang w:val="zh-CN"/>
        </w:rPr>
        <w:t>支持</w:t>
      </w:r>
      <w:r>
        <w:rPr>
          <w:rFonts w:hint="eastAsia"/>
          <w:highlight w:val="none"/>
        </w:rPr>
        <w:t>不少于</w:t>
      </w:r>
      <w:r>
        <w:rPr>
          <w:rFonts w:hint="eastAsia"/>
          <w:highlight w:val="none"/>
          <w:lang w:val="zh-CN"/>
        </w:rPr>
        <w:t>8位用户</w:t>
      </w:r>
      <w:r>
        <w:rPr>
          <w:rFonts w:hint="eastAsia"/>
          <w:highlight w:val="none"/>
        </w:rPr>
        <w:t>连接天通设备卫星热点</w:t>
      </w:r>
      <w:r>
        <w:rPr>
          <w:rFonts w:hint="eastAsia"/>
          <w:highlight w:val="none"/>
          <w:lang w:val="zh-CN"/>
        </w:rPr>
        <w:t>；</w:t>
      </w:r>
    </w:p>
    <w:p w14:paraId="17BE3D50">
      <w:pPr>
        <w:pStyle w:val="125"/>
        <w:numPr>
          <w:ilvl w:val="0"/>
          <w:numId w:val="35"/>
        </w:numPr>
        <w:rPr>
          <w:highlight w:val="none"/>
        </w:rPr>
      </w:pPr>
      <w:r>
        <w:rPr>
          <w:rFonts w:hint="eastAsia"/>
          <w:sz w:val="18"/>
          <w:szCs w:val="18"/>
          <w:highlight w:val="none"/>
        </w:rPr>
        <w:t>Wifi热点覆盖范围不低于20米（无遮挡）；</w:t>
      </w:r>
    </w:p>
    <w:p w14:paraId="58A4EBA6">
      <w:pPr>
        <w:pStyle w:val="125"/>
        <w:ind w:firstLine="420" w:firstLineChars="200"/>
        <w:rPr>
          <w:highlight w:val="none"/>
        </w:rPr>
      </w:pPr>
    </w:p>
    <w:p w14:paraId="70AFCBB3">
      <w:pPr>
        <w:pStyle w:val="5"/>
        <w:rPr>
          <w:rFonts w:ascii="Times New Roman" w:hAnsi="Times New Roman"/>
          <w:sz w:val="21"/>
          <w:szCs w:val="21"/>
          <w:highlight w:val="none"/>
        </w:rPr>
      </w:pPr>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1</w:t>
      </w:r>
      <w:r>
        <w:rPr>
          <w:rFonts w:ascii="Times New Roman" w:hAnsi="Times New Roman"/>
          <w:sz w:val="21"/>
          <w:szCs w:val="21"/>
          <w:highlight w:val="none"/>
        </w:rPr>
        <w:t>.</w:t>
      </w:r>
      <w:r>
        <w:rPr>
          <w:rFonts w:hint="eastAsia" w:ascii="Times New Roman" w:hAnsi="Times New Roman"/>
          <w:sz w:val="21"/>
          <w:szCs w:val="21"/>
          <w:highlight w:val="none"/>
        </w:rPr>
        <w:t>3通信模块</w:t>
      </w:r>
    </w:p>
    <w:p w14:paraId="5D655501">
      <w:pPr>
        <w:pStyle w:val="125"/>
        <w:ind w:firstLine="420" w:firstLineChars="200"/>
        <w:rPr>
          <w:highlight w:val="none"/>
        </w:rPr>
      </w:pPr>
      <w:r>
        <w:rPr>
          <w:rFonts w:hint="eastAsia"/>
          <w:highlight w:val="none"/>
        </w:rPr>
        <w:t>技术参数：</w:t>
      </w:r>
    </w:p>
    <w:p w14:paraId="7B83CC93">
      <w:pPr>
        <w:pStyle w:val="125"/>
        <w:numPr>
          <w:ilvl w:val="0"/>
          <w:numId w:val="36"/>
        </w:numPr>
        <w:rPr>
          <w:highlight w:val="none"/>
          <w:lang w:val="zh-CN"/>
        </w:rPr>
      </w:pPr>
      <w:r>
        <w:rPr>
          <w:rFonts w:hint="eastAsia"/>
          <w:b/>
          <w:highlight w:val="none"/>
        </w:rPr>
        <w:t>★</w:t>
      </w:r>
      <w:r>
        <w:rPr>
          <w:rFonts w:hint="eastAsia"/>
          <w:highlight w:val="none"/>
          <w:lang w:val="zh-CN"/>
        </w:rPr>
        <w:t>支持中国自主研发的天通卫星移动通信网络的话音、短信功能；</w:t>
      </w:r>
    </w:p>
    <w:p w14:paraId="0E657E53">
      <w:pPr>
        <w:pStyle w:val="125"/>
        <w:numPr>
          <w:ilvl w:val="0"/>
          <w:numId w:val="36"/>
        </w:numPr>
        <w:rPr>
          <w:highlight w:val="none"/>
          <w:lang w:val="zh-CN"/>
        </w:rPr>
      </w:pPr>
      <w:r>
        <w:rPr>
          <w:rFonts w:hint="eastAsia"/>
          <w:b/>
          <w:highlight w:val="none"/>
        </w:rPr>
        <w:t>★</w:t>
      </w:r>
      <w:r>
        <w:rPr>
          <w:rFonts w:hint="eastAsia"/>
          <w:highlight w:val="none"/>
          <w:lang w:val="zh-CN"/>
        </w:rPr>
        <w:t>天通工作频率需支持上行：1980-2010MHz，下行：2170-2200MHz；</w:t>
      </w:r>
    </w:p>
    <w:p w14:paraId="02C8AF32">
      <w:pPr>
        <w:pStyle w:val="125"/>
        <w:numPr>
          <w:ilvl w:val="0"/>
          <w:numId w:val="36"/>
        </w:numPr>
        <w:rPr>
          <w:highlight w:val="none"/>
          <w:lang w:val="zh-CN"/>
        </w:rPr>
      </w:pPr>
      <w:r>
        <w:rPr>
          <w:rFonts w:hint="eastAsia"/>
          <w:b/>
          <w:highlight w:val="none"/>
        </w:rPr>
        <w:t>★</w:t>
      </w:r>
      <w:r>
        <w:rPr>
          <w:rFonts w:hint="eastAsia"/>
          <w:highlight w:val="none"/>
          <w:lang w:val="zh-CN"/>
        </w:rPr>
        <w:t>卫星话音速率支持1.2kbps/2.4kbps/4kbps；</w:t>
      </w:r>
    </w:p>
    <w:p w14:paraId="656DCF94">
      <w:pPr>
        <w:pStyle w:val="125"/>
        <w:numPr>
          <w:ilvl w:val="0"/>
          <w:numId w:val="36"/>
        </w:numPr>
        <w:rPr>
          <w:highlight w:val="none"/>
          <w:lang w:val="zh-CN"/>
        </w:rPr>
      </w:pPr>
      <w:r>
        <w:rPr>
          <w:rFonts w:hint="eastAsia"/>
          <w:highlight w:val="none"/>
        </w:rPr>
        <w:t>需</w:t>
      </w:r>
      <w:r>
        <w:rPr>
          <w:rFonts w:hint="eastAsia"/>
          <w:highlight w:val="none"/>
          <w:lang w:val="zh-CN"/>
        </w:rPr>
        <w:t>支持4FF标准SIM卡；</w:t>
      </w:r>
    </w:p>
    <w:p w14:paraId="5130961B">
      <w:pPr>
        <w:pStyle w:val="125"/>
        <w:numPr>
          <w:ilvl w:val="0"/>
          <w:numId w:val="36"/>
        </w:numPr>
        <w:rPr>
          <w:highlight w:val="none"/>
          <w:lang w:val="zh-CN"/>
        </w:rPr>
      </w:pPr>
      <w:r>
        <w:rPr>
          <w:rFonts w:hint="eastAsia"/>
          <w:highlight w:val="none"/>
        </w:rPr>
        <w:t>内置全向天线；全向天线顶点增益≥4.2dBi；Theta (土45 度内)≥1.5dBi；</w:t>
      </w:r>
    </w:p>
    <w:p w14:paraId="678E9FBA">
      <w:pPr>
        <w:pStyle w:val="125"/>
        <w:numPr>
          <w:ilvl w:val="0"/>
          <w:numId w:val="36"/>
        </w:numPr>
        <w:rPr>
          <w:highlight w:val="none"/>
          <w:lang w:val="zh-CN"/>
        </w:rPr>
      </w:pPr>
      <w:r>
        <w:rPr>
          <w:rFonts w:hint="eastAsia"/>
          <w:b/>
          <w:highlight w:val="none"/>
        </w:rPr>
        <w:t>★</w:t>
      </w:r>
      <w:r>
        <w:rPr>
          <w:rFonts w:hint="eastAsia"/>
          <w:highlight w:val="none"/>
          <w:lang w:val="zh-CN"/>
        </w:rPr>
        <w:t>支持</w:t>
      </w:r>
      <w:r>
        <w:rPr>
          <w:rFonts w:hint="eastAsia"/>
          <w:highlight w:val="none"/>
        </w:rPr>
        <w:t>单北斗定位</w:t>
      </w:r>
      <w:r>
        <w:rPr>
          <w:rFonts w:hint="eastAsia"/>
          <w:highlight w:val="none"/>
          <w:lang w:val="zh-CN"/>
        </w:rPr>
        <w:t>功能；</w:t>
      </w:r>
    </w:p>
    <w:p w14:paraId="053A7285">
      <w:pPr>
        <w:pStyle w:val="125"/>
        <w:ind w:firstLine="420" w:firstLineChars="200"/>
        <w:rPr>
          <w:highlight w:val="none"/>
        </w:rPr>
      </w:pPr>
    </w:p>
    <w:p w14:paraId="5DF6477D">
      <w:pPr>
        <w:pStyle w:val="5"/>
        <w:rPr>
          <w:rFonts w:ascii="Times New Roman" w:hAnsi="Times New Roman"/>
          <w:sz w:val="21"/>
          <w:szCs w:val="21"/>
          <w:highlight w:val="none"/>
        </w:rPr>
      </w:pPr>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1</w:t>
      </w:r>
      <w:r>
        <w:rPr>
          <w:rFonts w:ascii="Times New Roman" w:hAnsi="Times New Roman"/>
          <w:sz w:val="21"/>
          <w:szCs w:val="21"/>
          <w:highlight w:val="none"/>
        </w:rPr>
        <w:t>.</w:t>
      </w:r>
      <w:r>
        <w:rPr>
          <w:rFonts w:hint="eastAsia" w:ascii="Times New Roman" w:hAnsi="Times New Roman"/>
          <w:sz w:val="21"/>
          <w:szCs w:val="21"/>
          <w:highlight w:val="none"/>
        </w:rPr>
        <w:t>4外壳</w:t>
      </w:r>
    </w:p>
    <w:p w14:paraId="0F8D72B2">
      <w:pPr>
        <w:pStyle w:val="125"/>
        <w:ind w:firstLine="420" w:firstLineChars="200"/>
        <w:rPr>
          <w:highlight w:val="none"/>
        </w:rPr>
      </w:pPr>
      <w:r>
        <w:rPr>
          <w:rFonts w:hint="eastAsia"/>
          <w:highlight w:val="none"/>
        </w:rPr>
        <w:t>技术参数：</w:t>
      </w:r>
    </w:p>
    <w:p w14:paraId="661FDBE4">
      <w:pPr>
        <w:pStyle w:val="125"/>
        <w:numPr>
          <w:ilvl w:val="0"/>
          <w:numId w:val="37"/>
        </w:numPr>
        <w:rPr>
          <w:highlight w:val="none"/>
        </w:rPr>
      </w:pPr>
      <w:r>
        <w:rPr>
          <w:rFonts w:hint="eastAsia"/>
          <w:b/>
          <w:highlight w:val="none"/>
        </w:rPr>
        <w:t>★</w:t>
      </w:r>
      <w:r>
        <w:rPr>
          <w:rFonts w:hint="eastAsia"/>
          <w:highlight w:val="none"/>
        </w:rPr>
        <w:t>一体化设计，集成天通卫星模块、电池、内置全向天线等模块，即开即用；</w:t>
      </w:r>
    </w:p>
    <w:p w14:paraId="46518B77">
      <w:pPr>
        <w:pStyle w:val="125"/>
        <w:numPr>
          <w:ilvl w:val="0"/>
          <w:numId w:val="37"/>
        </w:numPr>
        <w:rPr>
          <w:highlight w:val="none"/>
        </w:rPr>
      </w:pPr>
      <w:r>
        <w:rPr>
          <w:rFonts w:hint="eastAsia"/>
          <w:highlight w:val="none"/>
        </w:rPr>
        <w:t>工作温度：-20℃～+55℃；</w:t>
      </w:r>
    </w:p>
    <w:p w14:paraId="21B7B5B2">
      <w:pPr>
        <w:pStyle w:val="125"/>
        <w:numPr>
          <w:ilvl w:val="0"/>
          <w:numId w:val="37"/>
        </w:numPr>
        <w:rPr>
          <w:highlight w:val="none"/>
        </w:rPr>
      </w:pPr>
      <w:r>
        <w:rPr>
          <w:rFonts w:hint="eastAsia"/>
          <w:highlight w:val="none"/>
        </w:rPr>
        <w:t>贮存温度：-30℃～+70℃；</w:t>
      </w:r>
    </w:p>
    <w:p w14:paraId="6F812B21">
      <w:pPr>
        <w:pStyle w:val="125"/>
        <w:numPr>
          <w:ilvl w:val="0"/>
          <w:numId w:val="37"/>
        </w:numPr>
        <w:rPr>
          <w:highlight w:val="none"/>
        </w:rPr>
      </w:pPr>
      <w:r>
        <w:rPr>
          <w:rFonts w:hint="eastAsia"/>
          <w:highlight w:val="none"/>
        </w:rPr>
        <w:t>防护等级：≥IP68；</w:t>
      </w:r>
    </w:p>
    <w:p w14:paraId="6DCD0A4D">
      <w:pPr>
        <w:pStyle w:val="125"/>
        <w:numPr>
          <w:ilvl w:val="0"/>
          <w:numId w:val="37"/>
        </w:numPr>
        <w:rPr>
          <w:highlight w:val="none"/>
        </w:rPr>
      </w:pPr>
      <w:r>
        <w:rPr>
          <w:rFonts w:hint="eastAsia"/>
          <w:highlight w:val="none"/>
        </w:rPr>
        <w:t>整机重量：≤380g；</w:t>
      </w:r>
    </w:p>
    <w:p w14:paraId="47B640B4">
      <w:pPr>
        <w:pStyle w:val="125"/>
        <w:numPr>
          <w:ilvl w:val="0"/>
          <w:numId w:val="37"/>
        </w:numPr>
        <w:rPr>
          <w:highlight w:val="none"/>
        </w:rPr>
      </w:pPr>
      <w:r>
        <w:rPr>
          <w:rFonts w:hint="eastAsia"/>
          <w:highlight w:val="none"/>
        </w:rPr>
        <w:t>整机尺寸：≤</w:t>
      </w:r>
      <w:r>
        <w:rPr>
          <w:rFonts w:hint="eastAsia"/>
          <w:bCs/>
          <w:highlight w:val="none"/>
        </w:rPr>
        <w:t>120*120*48(mm) （包含天线）</w:t>
      </w:r>
      <w:r>
        <w:rPr>
          <w:rFonts w:hint="eastAsia"/>
          <w:highlight w:val="none"/>
        </w:rPr>
        <w:t>；</w:t>
      </w:r>
    </w:p>
    <w:p w14:paraId="138E8B69">
      <w:pPr>
        <w:pStyle w:val="125"/>
        <w:numPr>
          <w:ilvl w:val="0"/>
          <w:numId w:val="37"/>
        </w:numPr>
        <w:rPr>
          <w:highlight w:val="none"/>
        </w:rPr>
      </w:pPr>
      <w:r>
        <w:rPr>
          <w:rFonts w:hint="eastAsia"/>
          <w:b/>
          <w:highlight w:val="none"/>
        </w:rPr>
        <w:t>★</w:t>
      </w:r>
      <w:r>
        <w:rPr>
          <w:rFonts w:hint="eastAsia"/>
          <w:highlight w:val="none"/>
        </w:rPr>
        <w:t>底部具有磁吸底座，可吸附车顶使用；</w:t>
      </w:r>
    </w:p>
    <w:p w14:paraId="76E28D11">
      <w:pPr>
        <w:pStyle w:val="125"/>
        <w:numPr>
          <w:ilvl w:val="0"/>
          <w:numId w:val="37"/>
        </w:numPr>
        <w:rPr>
          <w:highlight w:val="none"/>
        </w:rPr>
      </w:pPr>
      <w:r>
        <w:rPr>
          <w:rFonts w:hint="eastAsia"/>
          <w:highlight w:val="none"/>
        </w:rPr>
        <w:t>结构图：</w:t>
      </w:r>
    </w:p>
    <w:p w14:paraId="4F735941">
      <w:pPr>
        <w:pStyle w:val="125"/>
        <w:ind w:firstLine="440" w:firstLineChars="200"/>
        <w:jc w:val="center"/>
        <w:rPr>
          <w:highlight w:val="none"/>
        </w:rPr>
      </w:pPr>
      <w:r>
        <w:rPr>
          <w:rFonts w:hint="eastAsia"/>
          <w:sz w:val="22"/>
          <w:szCs w:val="22"/>
          <w:highlight w:val="none"/>
        </w:rPr>
        <w:drawing>
          <wp:inline distT="0" distB="0" distL="114300" distR="114300">
            <wp:extent cx="5074285" cy="2375535"/>
            <wp:effectExtent l="0" t="0" r="635" b="1905"/>
            <wp:docPr id="11" name="图片 1" descr="1649674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1649674606(1)"/>
                    <pic:cNvPicPr>
                      <a:picLocks noChangeAspect="1"/>
                    </pic:cNvPicPr>
                  </pic:nvPicPr>
                  <pic:blipFill>
                    <a:blip r:embed="rId13"/>
                    <a:stretch>
                      <a:fillRect/>
                    </a:stretch>
                  </pic:blipFill>
                  <pic:spPr>
                    <a:xfrm>
                      <a:off x="0" y="0"/>
                      <a:ext cx="5074285" cy="2375535"/>
                    </a:xfrm>
                    <a:prstGeom prst="rect">
                      <a:avLst/>
                    </a:prstGeom>
                    <a:noFill/>
                    <a:ln>
                      <a:noFill/>
                    </a:ln>
                  </pic:spPr>
                </pic:pic>
              </a:graphicData>
            </a:graphic>
          </wp:inline>
        </w:drawing>
      </w:r>
    </w:p>
    <w:p w14:paraId="55960B18">
      <w:pPr>
        <w:pStyle w:val="125"/>
        <w:ind w:firstLine="420" w:firstLineChars="200"/>
        <w:jc w:val="center"/>
        <w:rPr>
          <w:highlight w:val="none"/>
        </w:rPr>
      </w:pPr>
      <w:r>
        <w:rPr>
          <w:rFonts w:hint="eastAsia"/>
          <w:highlight w:val="none"/>
        </w:rPr>
        <w:drawing>
          <wp:inline distT="0" distB="0" distL="114300" distR="114300">
            <wp:extent cx="4259580" cy="6461760"/>
            <wp:effectExtent l="0" t="0" r="7620" b="0"/>
            <wp:docPr id="12"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icPr>
                  <pic:blipFill>
                    <a:blip r:embed="rId14"/>
                    <a:stretch>
                      <a:fillRect/>
                    </a:stretch>
                  </pic:blipFill>
                  <pic:spPr>
                    <a:xfrm>
                      <a:off x="0" y="0"/>
                      <a:ext cx="4259580" cy="6461760"/>
                    </a:xfrm>
                    <a:prstGeom prst="rect">
                      <a:avLst/>
                    </a:prstGeom>
                  </pic:spPr>
                </pic:pic>
              </a:graphicData>
            </a:graphic>
          </wp:inline>
        </w:drawing>
      </w:r>
    </w:p>
    <w:p w14:paraId="765CA8AC">
      <w:pPr>
        <w:rPr>
          <w:highlight w:val="none"/>
        </w:rPr>
      </w:pPr>
      <w:r>
        <w:rPr>
          <w:rFonts w:hint="eastAsia"/>
          <w:b/>
          <w:highlight w:val="none"/>
        </w:rPr>
        <w:t>★投标人应承诺其严格按照此外形结构进行设计生产</w:t>
      </w:r>
    </w:p>
    <w:p w14:paraId="3BD89490">
      <w:pPr>
        <w:rPr>
          <w:highlight w:val="none"/>
        </w:rPr>
      </w:pPr>
    </w:p>
    <w:p w14:paraId="43078C2E">
      <w:pPr>
        <w:pStyle w:val="3"/>
        <w:numPr>
          <w:ilvl w:val="255"/>
          <w:numId w:val="0"/>
        </w:numPr>
        <w:spacing w:before="0" w:after="0" w:line="400" w:lineRule="exact"/>
        <w:rPr>
          <w:rFonts w:ascii="Times New Roman" w:hAnsi="Times New Roman" w:eastAsia="黑体"/>
          <w:sz w:val="24"/>
          <w:szCs w:val="24"/>
          <w:highlight w:val="none"/>
        </w:rPr>
      </w:pPr>
      <w:bookmarkStart w:id="172" w:name="_Toc18194"/>
      <w:r>
        <w:rPr>
          <w:rFonts w:hint="eastAsia" w:ascii="Times New Roman" w:hAnsi="Times New Roman" w:eastAsia="黑体"/>
          <w:sz w:val="24"/>
          <w:szCs w:val="24"/>
          <w:highlight w:val="none"/>
        </w:rPr>
        <w:t>1</w:t>
      </w:r>
      <w:r>
        <w:rPr>
          <w:rFonts w:ascii="Times New Roman" w:hAnsi="Times New Roman" w:eastAsia="黑体"/>
          <w:sz w:val="24"/>
          <w:szCs w:val="24"/>
          <w:highlight w:val="none"/>
        </w:rPr>
        <w:t>.</w:t>
      </w:r>
      <w:r>
        <w:rPr>
          <w:rFonts w:hint="eastAsia" w:ascii="Times New Roman" w:hAnsi="Times New Roman" w:eastAsia="黑体"/>
          <w:sz w:val="24"/>
          <w:szCs w:val="24"/>
          <w:highlight w:val="none"/>
          <w:lang w:val="en-US" w:eastAsia="zh-CN"/>
        </w:rPr>
        <w:t>2</w:t>
      </w:r>
      <w:r>
        <w:rPr>
          <w:rFonts w:hint="eastAsia" w:ascii="Times New Roman" w:hAnsi="Times New Roman" w:eastAsia="黑体"/>
          <w:sz w:val="24"/>
          <w:szCs w:val="24"/>
          <w:highlight w:val="none"/>
        </w:rPr>
        <w:t>天通卫星数据终端</w:t>
      </w:r>
      <w:bookmarkEnd w:id="172"/>
    </w:p>
    <w:p w14:paraId="607F7358">
      <w:pPr>
        <w:pStyle w:val="125"/>
        <w:ind w:firstLine="480" w:firstLineChars="200"/>
        <w:jc w:val="left"/>
        <w:rPr>
          <w:sz w:val="24"/>
          <w:szCs w:val="24"/>
          <w:highlight w:val="none"/>
        </w:rPr>
      </w:pPr>
      <w:r>
        <w:rPr>
          <w:rFonts w:hint="eastAsia"/>
          <w:sz w:val="24"/>
          <w:szCs w:val="24"/>
          <w:highlight w:val="none"/>
        </w:rPr>
        <w:t>天通卫星数据终端整部件其技术参数除应满足国家和行业相关标准外，还应满足</w:t>
      </w:r>
      <w:r>
        <w:rPr>
          <w:rFonts w:hint="eastAsia"/>
          <w:highlight w:val="none"/>
        </w:rPr>
        <w:t>以下</w:t>
      </w:r>
      <w:r>
        <w:rPr>
          <w:rFonts w:hint="eastAsia"/>
          <w:sz w:val="24"/>
          <w:szCs w:val="24"/>
          <w:highlight w:val="none"/>
        </w:rPr>
        <w:t>要求。</w:t>
      </w:r>
    </w:p>
    <w:p w14:paraId="394DBFB8">
      <w:pPr>
        <w:pStyle w:val="5"/>
        <w:rPr>
          <w:rFonts w:ascii="Times New Roman" w:hAnsi="Times New Roman"/>
          <w:sz w:val="21"/>
          <w:szCs w:val="21"/>
          <w:highlight w:val="none"/>
        </w:rPr>
      </w:pPr>
      <w:bookmarkStart w:id="173" w:name="_Toc210779326"/>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2</w:t>
      </w:r>
      <w:r>
        <w:rPr>
          <w:rFonts w:ascii="Times New Roman" w:hAnsi="Times New Roman"/>
          <w:sz w:val="21"/>
          <w:szCs w:val="21"/>
          <w:highlight w:val="none"/>
        </w:rPr>
        <w:t>.</w:t>
      </w:r>
      <w:r>
        <w:rPr>
          <w:rFonts w:hint="eastAsia" w:ascii="Times New Roman" w:hAnsi="Times New Roman"/>
          <w:sz w:val="21"/>
          <w:szCs w:val="21"/>
          <w:highlight w:val="none"/>
        </w:rPr>
        <w:t>1电源模块</w:t>
      </w:r>
      <w:bookmarkEnd w:id="173"/>
    </w:p>
    <w:p w14:paraId="1FD8E57F">
      <w:pPr>
        <w:pStyle w:val="125"/>
        <w:ind w:firstLine="420" w:firstLineChars="200"/>
        <w:rPr>
          <w:highlight w:val="none"/>
        </w:rPr>
      </w:pPr>
      <w:r>
        <w:rPr>
          <w:rFonts w:hint="eastAsia"/>
          <w:highlight w:val="none"/>
        </w:rPr>
        <w:t>技术参数：</w:t>
      </w:r>
    </w:p>
    <w:p w14:paraId="7FDB6E98">
      <w:pPr>
        <w:pStyle w:val="125"/>
        <w:numPr>
          <w:ilvl w:val="0"/>
          <w:numId w:val="38"/>
        </w:numPr>
        <w:rPr>
          <w:highlight w:val="none"/>
        </w:rPr>
      </w:pPr>
      <w:r>
        <w:rPr>
          <w:rFonts w:hint="eastAsia"/>
          <w:b/>
          <w:highlight w:val="none"/>
        </w:rPr>
        <w:t>★</w:t>
      </w:r>
      <w:r>
        <w:rPr>
          <w:rFonts w:hint="eastAsia"/>
          <w:highlight w:val="none"/>
        </w:rPr>
        <w:t>采用内置电池，电池不可拆卸；</w:t>
      </w:r>
    </w:p>
    <w:p w14:paraId="0DF9EB96">
      <w:pPr>
        <w:pStyle w:val="125"/>
        <w:numPr>
          <w:ilvl w:val="0"/>
          <w:numId w:val="38"/>
        </w:numPr>
        <w:rPr>
          <w:highlight w:val="none"/>
        </w:rPr>
      </w:pPr>
      <w:r>
        <w:rPr>
          <w:rFonts w:hint="eastAsia"/>
          <w:b/>
          <w:highlight w:val="none"/>
        </w:rPr>
        <w:t>★</w:t>
      </w:r>
      <w:r>
        <w:rPr>
          <w:rFonts w:hint="eastAsia"/>
          <w:highlight w:val="none"/>
        </w:rPr>
        <w:t>电池容量≥等效10000mAh（</w:t>
      </w:r>
      <w:r>
        <w:rPr>
          <w:rFonts w:hint="eastAsia"/>
          <w:bCs/>
          <w:highlight w:val="none"/>
        </w:rPr>
        <w:t>3.8V</w:t>
      </w:r>
      <w:r>
        <w:rPr>
          <w:rFonts w:hint="eastAsia"/>
          <w:highlight w:val="none"/>
        </w:rPr>
        <w:t>）；</w:t>
      </w:r>
    </w:p>
    <w:p w14:paraId="7D07FD65">
      <w:pPr>
        <w:pStyle w:val="125"/>
        <w:numPr>
          <w:ilvl w:val="0"/>
          <w:numId w:val="38"/>
        </w:numPr>
        <w:rPr>
          <w:highlight w:val="none"/>
        </w:rPr>
      </w:pPr>
      <w:r>
        <w:rPr>
          <w:rFonts w:hint="eastAsia"/>
          <w:b/>
          <w:highlight w:val="none"/>
        </w:rPr>
        <w:t>★</w:t>
      </w:r>
      <w:r>
        <w:rPr>
          <w:rFonts w:hint="eastAsia"/>
          <w:highlight w:val="none"/>
        </w:rPr>
        <w:t>待机时长≥160小时，通话时长≥10小时；</w:t>
      </w:r>
    </w:p>
    <w:p w14:paraId="68B77FD7">
      <w:pPr>
        <w:pStyle w:val="125"/>
        <w:numPr>
          <w:ilvl w:val="0"/>
          <w:numId w:val="38"/>
        </w:numPr>
        <w:rPr>
          <w:highlight w:val="none"/>
        </w:rPr>
      </w:pPr>
      <w:r>
        <w:rPr>
          <w:rFonts w:hint="eastAsia"/>
          <w:highlight w:val="none"/>
        </w:rPr>
        <w:t>供电电压：12V/4A输出；</w:t>
      </w:r>
    </w:p>
    <w:p w14:paraId="0CD1CC97">
      <w:pPr>
        <w:pStyle w:val="125"/>
        <w:numPr>
          <w:ilvl w:val="0"/>
          <w:numId w:val="38"/>
        </w:numPr>
        <w:rPr>
          <w:highlight w:val="none"/>
        </w:rPr>
      </w:pPr>
      <w:r>
        <w:rPr>
          <w:rFonts w:hint="eastAsia"/>
          <w:highlight w:val="none"/>
        </w:rPr>
        <w:t>供电方式：220V适配器供电；</w:t>
      </w:r>
    </w:p>
    <w:p w14:paraId="7BF49496">
      <w:pPr>
        <w:pStyle w:val="125"/>
        <w:numPr>
          <w:ilvl w:val="0"/>
          <w:numId w:val="38"/>
        </w:numPr>
        <w:rPr>
          <w:highlight w:val="none"/>
        </w:rPr>
      </w:pPr>
      <w:r>
        <w:rPr>
          <w:rFonts w:hint="eastAsia"/>
          <w:highlight w:val="none"/>
        </w:rPr>
        <w:t>接口：具备航插口，可扩展DC供电接口，</w:t>
      </w:r>
      <w:r>
        <w:rPr>
          <w:rFonts w:hint="eastAsia"/>
          <w:bCs/>
          <w:highlight w:val="none"/>
        </w:rPr>
        <w:t>以太网接口、二线话接口；</w:t>
      </w:r>
    </w:p>
    <w:p w14:paraId="357534EB">
      <w:pPr>
        <w:pStyle w:val="5"/>
        <w:rPr>
          <w:rFonts w:ascii="Times New Roman" w:hAnsi="Times New Roman"/>
          <w:sz w:val="21"/>
          <w:szCs w:val="21"/>
          <w:highlight w:val="none"/>
        </w:rPr>
      </w:pPr>
      <w:bookmarkStart w:id="174" w:name="_Toc210779327"/>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2</w:t>
      </w:r>
      <w:r>
        <w:rPr>
          <w:rFonts w:ascii="Times New Roman" w:hAnsi="Times New Roman"/>
          <w:sz w:val="21"/>
          <w:szCs w:val="21"/>
          <w:highlight w:val="none"/>
        </w:rPr>
        <w:t>.</w:t>
      </w:r>
      <w:r>
        <w:rPr>
          <w:rFonts w:hint="eastAsia" w:ascii="Times New Roman" w:hAnsi="Times New Roman"/>
          <w:sz w:val="21"/>
          <w:szCs w:val="21"/>
          <w:highlight w:val="none"/>
        </w:rPr>
        <w:t>2核心处理组件</w:t>
      </w:r>
      <w:bookmarkEnd w:id="174"/>
    </w:p>
    <w:p w14:paraId="19AC33DD">
      <w:pPr>
        <w:pStyle w:val="125"/>
        <w:ind w:firstLine="420" w:firstLineChars="200"/>
        <w:rPr>
          <w:highlight w:val="none"/>
        </w:rPr>
      </w:pPr>
      <w:r>
        <w:rPr>
          <w:rFonts w:hint="eastAsia"/>
          <w:highlight w:val="none"/>
        </w:rPr>
        <w:t>技术参数：</w:t>
      </w:r>
    </w:p>
    <w:p w14:paraId="2DFF8BF4">
      <w:pPr>
        <w:pStyle w:val="125"/>
        <w:numPr>
          <w:ilvl w:val="0"/>
          <w:numId w:val="39"/>
        </w:numPr>
        <w:rPr>
          <w:highlight w:val="none"/>
          <w:lang w:val="zh-CN"/>
        </w:rPr>
      </w:pPr>
      <w:r>
        <w:rPr>
          <w:rFonts w:hint="eastAsia"/>
          <w:highlight w:val="none"/>
        </w:rPr>
        <w:t>处理器：不低于</w:t>
      </w:r>
      <w:r>
        <w:rPr>
          <w:rFonts w:hint="eastAsia"/>
          <w:bCs/>
          <w:highlight w:val="none"/>
        </w:rPr>
        <w:t>四核，主频≥1.1GHz；</w:t>
      </w:r>
    </w:p>
    <w:p w14:paraId="2BD8C9C1">
      <w:pPr>
        <w:pStyle w:val="125"/>
        <w:numPr>
          <w:ilvl w:val="0"/>
          <w:numId w:val="39"/>
        </w:numPr>
        <w:rPr>
          <w:highlight w:val="none"/>
          <w:lang w:val="zh-CN"/>
        </w:rPr>
      </w:pPr>
      <w:r>
        <w:rPr>
          <w:rFonts w:hint="eastAsia"/>
          <w:highlight w:val="none"/>
          <w:lang w:val="zh-CN"/>
        </w:rPr>
        <w:t>运行内存</w:t>
      </w:r>
      <w:r>
        <w:rPr>
          <w:rFonts w:hint="eastAsia"/>
          <w:bCs/>
          <w:highlight w:val="none"/>
        </w:rPr>
        <w:t>≥</w:t>
      </w:r>
      <w:r>
        <w:rPr>
          <w:rFonts w:hint="eastAsia"/>
          <w:highlight w:val="none"/>
        </w:rPr>
        <w:t>2</w:t>
      </w:r>
      <w:r>
        <w:rPr>
          <w:rFonts w:hint="eastAsia"/>
          <w:highlight w:val="none"/>
          <w:lang w:val="zh-CN"/>
        </w:rPr>
        <w:t>GB RAM；</w:t>
      </w:r>
    </w:p>
    <w:p w14:paraId="439650A1">
      <w:pPr>
        <w:pStyle w:val="125"/>
        <w:numPr>
          <w:ilvl w:val="0"/>
          <w:numId w:val="39"/>
        </w:numPr>
        <w:rPr>
          <w:highlight w:val="none"/>
          <w:lang w:val="zh-CN"/>
        </w:rPr>
      </w:pPr>
      <w:r>
        <w:rPr>
          <w:rFonts w:hint="eastAsia"/>
          <w:highlight w:val="none"/>
          <w:lang w:val="zh-CN"/>
        </w:rPr>
        <w:t>机身内存</w:t>
      </w:r>
      <w:r>
        <w:rPr>
          <w:rFonts w:hint="eastAsia"/>
          <w:bCs/>
          <w:highlight w:val="none"/>
        </w:rPr>
        <w:t>≥</w:t>
      </w:r>
      <w:r>
        <w:rPr>
          <w:rFonts w:hint="eastAsia"/>
          <w:highlight w:val="none"/>
        </w:rPr>
        <w:t>16</w:t>
      </w:r>
      <w:r>
        <w:rPr>
          <w:rFonts w:hint="eastAsia"/>
          <w:highlight w:val="none"/>
          <w:lang w:val="zh-CN"/>
        </w:rPr>
        <w:t>GB ROM ；</w:t>
      </w:r>
    </w:p>
    <w:p w14:paraId="0135CA01">
      <w:pPr>
        <w:pStyle w:val="125"/>
        <w:numPr>
          <w:ilvl w:val="0"/>
          <w:numId w:val="39"/>
        </w:numPr>
        <w:rPr>
          <w:highlight w:val="none"/>
          <w:lang w:val="zh-CN"/>
        </w:rPr>
      </w:pPr>
      <w:r>
        <w:rPr>
          <w:rFonts w:hint="eastAsia"/>
          <w:b/>
          <w:highlight w:val="none"/>
        </w:rPr>
        <w:t>★</w:t>
      </w:r>
      <w:r>
        <w:rPr>
          <w:rFonts w:hint="eastAsia"/>
          <w:highlight w:val="none"/>
        </w:rPr>
        <w:t>需</w:t>
      </w:r>
      <w:r>
        <w:rPr>
          <w:rFonts w:hint="eastAsia"/>
          <w:highlight w:val="none"/>
          <w:lang w:val="zh-CN"/>
        </w:rPr>
        <w:t>支持SOS一键求救功能，</w:t>
      </w:r>
      <w:r>
        <w:rPr>
          <w:rFonts w:hint="eastAsia"/>
          <w:highlight w:val="none"/>
        </w:rPr>
        <w:t>具备</w:t>
      </w:r>
      <w:r>
        <w:rPr>
          <w:rFonts w:hint="eastAsia"/>
          <w:highlight w:val="none"/>
          <w:lang w:val="zh-CN"/>
        </w:rPr>
        <w:t>SOS物理按键，</w:t>
      </w:r>
      <w:r>
        <w:rPr>
          <w:rFonts w:hint="eastAsia"/>
          <w:highlight w:val="none"/>
        </w:rPr>
        <w:t>可向指定号码发送短信位置信息；</w:t>
      </w:r>
    </w:p>
    <w:p w14:paraId="1B6872AC">
      <w:pPr>
        <w:pStyle w:val="125"/>
        <w:numPr>
          <w:ilvl w:val="0"/>
          <w:numId w:val="39"/>
        </w:numPr>
        <w:rPr>
          <w:highlight w:val="none"/>
        </w:rPr>
      </w:pPr>
      <w:r>
        <w:rPr>
          <w:rFonts w:hint="eastAsia"/>
          <w:b/>
          <w:highlight w:val="none"/>
        </w:rPr>
        <w:t>★</w:t>
      </w:r>
      <w:r>
        <w:rPr>
          <w:rFonts w:hint="eastAsia"/>
          <w:highlight w:val="none"/>
        </w:rPr>
        <w:t>需支持智能设备安装天通猫APP通过wifi无线连接使用；</w:t>
      </w:r>
    </w:p>
    <w:p w14:paraId="49A5B8B6">
      <w:pPr>
        <w:pStyle w:val="125"/>
        <w:numPr>
          <w:ilvl w:val="0"/>
          <w:numId w:val="39"/>
        </w:numPr>
        <w:rPr>
          <w:highlight w:val="none"/>
        </w:rPr>
      </w:pPr>
      <w:r>
        <w:rPr>
          <w:rFonts w:hint="eastAsia"/>
          <w:highlight w:val="none"/>
        </w:rPr>
        <w:t>天通猫APP支持IOS、Android、鸿蒙系统安装；</w:t>
      </w:r>
    </w:p>
    <w:p w14:paraId="06F78664">
      <w:pPr>
        <w:pStyle w:val="125"/>
        <w:numPr>
          <w:ilvl w:val="0"/>
          <w:numId w:val="39"/>
        </w:numPr>
        <w:rPr>
          <w:highlight w:val="none"/>
        </w:rPr>
      </w:pPr>
      <w:r>
        <w:rPr>
          <w:rFonts w:hint="eastAsia"/>
          <w:highlight w:val="none"/>
          <w:lang w:val="zh-CN"/>
        </w:rPr>
        <w:t>支持</w:t>
      </w:r>
      <w:r>
        <w:rPr>
          <w:rFonts w:hint="eastAsia"/>
          <w:highlight w:val="none"/>
        </w:rPr>
        <w:t>不少于</w:t>
      </w:r>
      <w:r>
        <w:rPr>
          <w:rFonts w:hint="eastAsia"/>
          <w:highlight w:val="none"/>
          <w:lang w:val="zh-CN"/>
        </w:rPr>
        <w:t>8位用户</w:t>
      </w:r>
      <w:r>
        <w:rPr>
          <w:rFonts w:hint="eastAsia"/>
          <w:highlight w:val="none"/>
        </w:rPr>
        <w:t>连接天通设备卫星热点</w:t>
      </w:r>
      <w:r>
        <w:rPr>
          <w:rFonts w:hint="eastAsia"/>
          <w:highlight w:val="none"/>
          <w:lang w:val="zh-CN"/>
        </w:rPr>
        <w:t>；</w:t>
      </w:r>
    </w:p>
    <w:p w14:paraId="1EEF538B">
      <w:pPr>
        <w:pStyle w:val="125"/>
        <w:numPr>
          <w:ilvl w:val="0"/>
          <w:numId w:val="39"/>
        </w:numPr>
        <w:rPr>
          <w:rFonts w:hint="eastAsia"/>
          <w:highlight w:val="none"/>
        </w:rPr>
      </w:pPr>
      <w:r>
        <w:rPr>
          <w:rFonts w:hint="eastAsia"/>
          <w:b/>
          <w:highlight w:val="none"/>
        </w:rPr>
        <w:t>★</w:t>
      </w:r>
      <w:r>
        <w:rPr>
          <w:rFonts w:hint="eastAsia"/>
          <w:highlight w:val="none"/>
        </w:rPr>
        <w:t>Wifi热点覆盖范围不低于20米（无遮挡）；</w:t>
      </w:r>
    </w:p>
    <w:p w14:paraId="5346A50D">
      <w:pPr>
        <w:pStyle w:val="125"/>
        <w:numPr>
          <w:ilvl w:val="0"/>
          <w:numId w:val="39"/>
        </w:numPr>
        <w:rPr>
          <w:highlight w:val="none"/>
        </w:rPr>
      </w:pPr>
      <w:r>
        <w:rPr>
          <w:rFonts w:hint="eastAsia"/>
          <w:highlight w:val="none"/>
        </w:rPr>
        <w:t>支持连接二线电话进行使用；</w:t>
      </w:r>
    </w:p>
    <w:p w14:paraId="6E42A8D9">
      <w:pPr>
        <w:pStyle w:val="125"/>
        <w:ind w:firstLine="420" w:firstLineChars="200"/>
        <w:rPr>
          <w:highlight w:val="none"/>
        </w:rPr>
      </w:pPr>
    </w:p>
    <w:p w14:paraId="58F1C59B">
      <w:pPr>
        <w:pStyle w:val="5"/>
        <w:rPr>
          <w:rFonts w:ascii="Times New Roman" w:hAnsi="Times New Roman"/>
          <w:sz w:val="21"/>
          <w:szCs w:val="21"/>
          <w:highlight w:val="none"/>
        </w:rPr>
      </w:pPr>
      <w:bookmarkStart w:id="175" w:name="_Toc210779328"/>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2</w:t>
      </w:r>
      <w:r>
        <w:rPr>
          <w:rFonts w:ascii="Times New Roman" w:hAnsi="Times New Roman"/>
          <w:sz w:val="21"/>
          <w:szCs w:val="21"/>
          <w:highlight w:val="none"/>
        </w:rPr>
        <w:t>.</w:t>
      </w:r>
      <w:r>
        <w:rPr>
          <w:rFonts w:hint="eastAsia" w:ascii="Times New Roman" w:hAnsi="Times New Roman"/>
          <w:sz w:val="21"/>
          <w:szCs w:val="21"/>
          <w:highlight w:val="none"/>
        </w:rPr>
        <w:t>3通信模块</w:t>
      </w:r>
      <w:bookmarkEnd w:id="175"/>
    </w:p>
    <w:p w14:paraId="4BEF5AEB">
      <w:pPr>
        <w:pStyle w:val="125"/>
        <w:ind w:firstLine="420" w:firstLineChars="200"/>
        <w:rPr>
          <w:highlight w:val="none"/>
        </w:rPr>
      </w:pPr>
      <w:r>
        <w:rPr>
          <w:rFonts w:hint="eastAsia"/>
          <w:highlight w:val="none"/>
        </w:rPr>
        <w:t>技术参数：</w:t>
      </w:r>
    </w:p>
    <w:p w14:paraId="6275B6CA">
      <w:pPr>
        <w:pStyle w:val="125"/>
        <w:numPr>
          <w:ilvl w:val="0"/>
          <w:numId w:val="40"/>
        </w:numPr>
        <w:rPr>
          <w:highlight w:val="none"/>
          <w:lang w:val="zh-CN"/>
        </w:rPr>
      </w:pPr>
      <w:r>
        <w:rPr>
          <w:rFonts w:hint="eastAsia"/>
          <w:b/>
          <w:highlight w:val="none"/>
        </w:rPr>
        <w:t>★</w:t>
      </w:r>
      <w:r>
        <w:rPr>
          <w:rFonts w:hint="eastAsia"/>
          <w:highlight w:val="none"/>
          <w:lang w:val="zh-CN"/>
        </w:rPr>
        <w:t>支持中国自主研发的天通卫星移动通信网络的话音、短信功能；</w:t>
      </w:r>
    </w:p>
    <w:p w14:paraId="2BF1CB6E">
      <w:pPr>
        <w:pStyle w:val="125"/>
        <w:numPr>
          <w:ilvl w:val="0"/>
          <w:numId w:val="40"/>
        </w:numPr>
        <w:rPr>
          <w:highlight w:val="none"/>
          <w:lang w:val="zh-CN"/>
        </w:rPr>
      </w:pPr>
      <w:r>
        <w:rPr>
          <w:rFonts w:hint="eastAsia"/>
          <w:b/>
          <w:highlight w:val="none"/>
        </w:rPr>
        <w:t>★</w:t>
      </w:r>
      <w:r>
        <w:rPr>
          <w:rFonts w:hint="eastAsia"/>
          <w:highlight w:val="none"/>
          <w:lang w:val="zh-CN"/>
        </w:rPr>
        <w:t>天通工作频率需支持上行：1980-2010MHz，下行：2170-2200MHz；</w:t>
      </w:r>
    </w:p>
    <w:p w14:paraId="1044B69D">
      <w:pPr>
        <w:pStyle w:val="125"/>
        <w:numPr>
          <w:ilvl w:val="0"/>
          <w:numId w:val="40"/>
        </w:numPr>
        <w:rPr>
          <w:highlight w:val="none"/>
          <w:lang w:val="zh-CN"/>
        </w:rPr>
      </w:pPr>
      <w:r>
        <w:rPr>
          <w:rFonts w:hint="eastAsia"/>
          <w:b/>
          <w:highlight w:val="none"/>
        </w:rPr>
        <w:t>★</w:t>
      </w:r>
      <w:r>
        <w:rPr>
          <w:rFonts w:hint="eastAsia"/>
          <w:highlight w:val="none"/>
          <w:lang w:val="zh-CN"/>
        </w:rPr>
        <w:t>卫星话音速率支持1.2kbps/2.4kbps/4kbps；</w:t>
      </w:r>
    </w:p>
    <w:p w14:paraId="0955D458">
      <w:pPr>
        <w:pStyle w:val="125"/>
        <w:numPr>
          <w:ilvl w:val="0"/>
          <w:numId w:val="40"/>
        </w:numPr>
        <w:rPr>
          <w:highlight w:val="none"/>
          <w:lang w:val="zh-CN"/>
        </w:rPr>
      </w:pPr>
      <w:r>
        <w:rPr>
          <w:rFonts w:hint="eastAsia"/>
          <w:highlight w:val="none"/>
        </w:rPr>
        <w:t>需</w:t>
      </w:r>
      <w:r>
        <w:rPr>
          <w:rFonts w:hint="eastAsia"/>
          <w:highlight w:val="none"/>
          <w:lang w:val="zh-CN"/>
        </w:rPr>
        <w:t>支持4FF标准SIM卡，采用弹出式设计；</w:t>
      </w:r>
    </w:p>
    <w:p w14:paraId="61FFB38A">
      <w:pPr>
        <w:pStyle w:val="125"/>
        <w:numPr>
          <w:ilvl w:val="0"/>
          <w:numId w:val="40"/>
        </w:numPr>
        <w:rPr>
          <w:highlight w:val="none"/>
          <w:lang w:val="zh-CN"/>
        </w:rPr>
      </w:pPr>
      <w:r>
        <w:rPr>
          <w:rFonts w:hint="eastAsia"/>
          <w:highlight w:val="none"/>
        </w:rPr>
        <w:t>内置全向天线；全向天线顶点增益≥4.2dBi；Theta (土45 度内)≥1.5dBi</w:t>
      </w:r>
    </w:p>
    <w:p w14:paraId="35A684E7">
      <w:pPr>
        <w:pStyle w:val="125"/>
        <w:numPr>
          <w:ilvl w:val="0"/>
          <w:numId w:val="40"/>
        </w:numPr>
        <w:rPr>
          <w:highlight w:val="none"/>
          <w:lang w:val="zh-CN"/>
        </w:rPr>
      </w:pPr>
      <w:r>
        <w:rPr>
          <w:rFonts w:hint="eastAsia"/>
          <w:b/>
          <w:highlight w:val="none"/>
        </w:rPr>
        <w:t>★</w:t>
      </w:r>
      <w:r>
        <w:rPr>
          <w:rFonts w:hint="eastAsia"/>
          <w:highlight w:val="none"/>
          <w:lang w:val="zh-CN"/>
        </w:rPr>
        <w:t>支持</w:t>
      </w:r>
      <w:r>
        <w:rPr>
          <w:rFonts w:hint="eastAsia"/>
          <w:highlight w:val="none"/>
        </w:rPr>
        <w:t>单北斗定位</w:t>
      </w:r>
      <w:r>
        <w:rPr>
          <w:rFonts w:hint="eastAsia"/>
          <w:highlight w:val="none"/>
          <w:lang w:val="zh-CN"/>
        </w:rPr>
        <w:t>功能；</w:t>
      </w:r>
    </w:p>
    <w:p w14:paraId="148F3EB5">
      <w:pPr>
        <w:pStyle w:val="125"/>
        <w:ind w:firstLine="420" w:firstLineChars="200"/>
        <w:rPr>
          <w:highlight w:val="none"/>
        </w:rPr>
      </w:pPr>
    </w:p>
    <w:p w14:paraId="15B75395">
      <w:pPr>
        <w:pStyle w:val="5"/>
        <w:rPr>
          <w:rFonts w:ascii="Times New Roman" w:hAnsi="Times New Roman"/>
          <w:sz w:val="21"/>
          <w:szCs w:val="21"/>
          <w:highlight w:val="none"/>
        </w:rPr>
      </w:pPr>
      <w:bookmarkStart w:id="176" w:name="_Toc210779329"/>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2</w:t>
      </w:r>
      <w:r>
        <w:rPr>
          <w:rFonts w:ascii="Times New Roman" w:hAnsi="Times New Roman"/>
          <w:sz w:val="21"/>
          <w:szCs w:val="21"/>
          <w:highlight w:val="none"/>
        </w:rPr>
        <w:t>.</w:t>
      </w:r>
      <w:r>
        <w:rPr>
          <w:rFonts w:hint="eastAsia" w:ascii="Times New Roman" w:hAnsi="Times New Roman"/>
          <w:sz w:val="21"/>
          <w:szCs w:val="21"/>
          <w:highlight w:val="none"/>
        </w:rPr>
        <w:t>4外壳</w:t>
      </w:r>
      <w:bookmarkEnd w:id="176"/>
    </w:p>
    <w:p w14:paraId="4A0F770C">
      <w:pPr>
        <w:pStyle w:val="125"/>
        <w:ind w:firstLine="420" w:firstLineChars="200"/>
        <w:rPr>
          <w:highlight w:val="none"/>
        </w:rPr>
      </w:pPr>
      <w:r>
        <w:rPr>
          <w:rFonts w:hint="eastAsia"/>
          <w:highlight w:val="none"/>
        </w:rPr>
        <w:t>技术参数：</w:t>
      </w:r>
    </w:p>
    <w:p w14:paraId="7F5BA1EE">
      <w:pPr>
        <w:pStyle w:val="125"/>
        <w:numPr>
          <w:ilvl w:val="0"/>
          <w:numId w:val="41"/>
        </w:numPr>
        <w:rPr>
          <w:highlight w:val="none"/>
        </w:rPr>
      </w:pPr>
      <w:r>
        <w:rPr>
          <w:rFonts w:hint="eastAsia"/>
          <w:b/>
          <w:highlight w:val="none"/>
        </w:rPr>
        <w:t>★</w:t>
      </w:r>
      <w:r>
        <w:rPr>
          <w:rFonts w:hint="eastAsia"/>
          <w:highlight w:val="none"/>
        </w:rPr>
        <w:t>一体化设计，集成天通卫星模块、电池、内置全向天线等模块，即开即用；</w:t>
      </w:r>
    </w:p>
    <w:p w14:paraId="0C1D368A">
      <w:pPr>
        <w:pStyle w:val="125"/>
        <w:numPr>
          <w:ilvl w:val="0"/>
          <w:numId w:val="41"/>
        </w:numPr>
        <w:rPr>
          <w:highlight w:val="none"/>
        </w:rPr>
      </w:pPr>
      <w:r>
        <w:rPr>
          <w:rFonts w:hint="eastAsia"/>
          <w:highlight w:val="none"/>
        </w:rPr>
        <w:t>工作温度：-20℃～+55℃；</w:t>
      </w:r>
    </w:p>
    <w:p w14:paraId="0417ABC9">
      <w:pPr>
        <w:pStyle w:val="125"/>
        <w:numPr>
          <w:ilvl w:val="0"/>
          <w:numId w:val="41"/>
        </w:numPr>
        <w:rPr>
          <w:highlight w:val="none"/>
        </w:rPr>
      </w:pPr>
      <w:r>
        <w:rPr>
          <w:rFonts w:hint="eastAsia"/>
          <w:highlight w:val="none"/>
        </w:rPr>
        <w:t>贮存温度：-30℃～+70℃；</w:t>
      </w:r>
    </w:p>
    <w:p w14:paraId="0F22EB11">
      <w:pPr>
        <w:pStyle w:val="125"/>
        <w:numPr>
          <w:ilvl w:val="0"/>
          <w:numId w:val="41"/>
        </w:numPr>
        <w:rPr>
          <w:highlight w:val="none"/>
        </w:rPr>
      </w:pPr>
      <w:r>
        <w:rPr>
          <w:rFonts w:hint="eastAsia"/>
          <w:highlight w:val="none"/>
        </w:rPr>
        <w:t>防护等级：≥IP68；</w:t>
      </w:r>
    </w:p>
    <w:p w14:paraId="5D417D4D">
      <w:pPr>
        <w:pStyle w:val="125"/>
        <w:numPr>
          <w:ilvl w:val="0"/>
          <w:numId w:val="41"/>
        </w:numPr>
        <w:rPr>
          <w:highlight w:val="none"/>
        </w:rPr>
      </w:pPr>
      <w:r>
        <w:rPr>
          <w:rFonts w:hint="eastAsia"/>
          <w:highlight w:val="none"/>
        </w:rPr>
        <w:t>整机重量：≤1.3kg；</w:t>
      </w:r>
    </w:p>
    <w:p w14:paraId="394AC4FC">
      <w:pPr>
        <w:pStyle w:val="125"/>
        <w:numPr>
          <w:ilvl w:val="0"/>
          <w:numId w:val="41"/>
        </w:numPr>
        <w:rPr>
          <w:highlight w:val="none"/>
        </w:rPr>
      </w:pPr>
      <w:r>
        <w:rPr>
          <w:rFonts w:hint="eastAsia"/>
          <w:highlight w:val="none"/>
        </w:rPr>
        <w:t>整机尺寸：≤</w:t>
      </w:r>
      <w:r>
        <w:rPr>
          <w:rFonts w:hint="eastAsia"/>
          <w:bCs/>
          <w:highlight w:val="none"/>
        </w:rPr>
        <w:t>150*150*150(mm) （包含天线）</w:t>
      </w:r>
      <w:r>
        <w:rPr>
          <w:rFonts w:hint="eastAsia"/>
          <w:highlight w:val="none"/>
        </w:rPr>
        <w:t>；</w:t>
      </w:r>
    </w:p>
    <w:p w14:paraId="4B497F21">
      <w:pPr>
        <w:pStyle w:val="125"/>
        <w:numPr>
          <w:ilvl w:val="0"/>
          <w:numId w:val="41"/>
        </w:numPr>
        <w:rPr>
          <w:highlight w:val="none"/>
        </w:rPr>
      </w:pPr>
      <w:r>
        <w:rPr>
          <w:rFonts w:hint="eastAsia"/>
          <w:b/>
          <w:highlight w:val="none"/>
        </w:rPr>
        <w:t>★</w:t>
      </w:r>
      <w:r>
        <w:rPr>
          <w:rFonts w:hint="eastAsia"/>
          <w:highlight w:val="none"/>
        </w:rPr>
        <w:t>底部具有磁吸底座，可吸附车顶使用；</w:t>
      </w:r>
    </w:p>
    <w:p w14:paraId="0831BD8B">
      <w:pPr>
        <w:pStyle w:val="125"/>
        <w:numPr>
          <w:ilvl w:val="0"/>
          <w:numId w:val="41"/>
        </w:numPr>
        <w:rPr>
          <w:highlight w:val="none"/>
        </w:rPr>
      </w:pPr>
      <w:r>
        <w:rPr>
          <w:rFonts w:hint="eastAsia"/>
          <w:highlight w:val="none"/>
        </w:rPr>
        <w:t>结构图：</w:t>
      </w:r>
    </w:p>
    <w:p w14:paraId="49CF85C7">
      <w:pPr>
        <w:pStyle w:val="125"/>
        <w:ind w:left="420"/>
        <w:jc w:val="center"/>
        <w:rPr>
          <w:highlight w:val="none"/>
        </w:rPr>
      </w:pPr>
      <w:r>
        <w:rPr>
          <w:rFonts w:hint="eastAsia"/>
          <w:highlight w:val="none"/>
        </w:rPr>
        <w:drawing>
          <wp:inline distT="0" distB="0" distL="114300" distR="114300">
            <wp:extent cx="3872230" cy="3069590"/>
            <wp:effectExtent l="0" t="0" r="13970" b="8890"/>
            <wp:docPr id="3" name="图片 3" descr="d41750cafdf69b12fa43af56f13734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41750cafdf69b12fa43af56f13734dc"/>
                    <pic:cNvPicPr>
                      <a:picLocks noChangeAspect="1"/>
                    </pic:cNvPicPr>
                  </pic:nvPicPr>
                  <pic:blipFill>
                    <a:blip r:embed="rId15"/>
                    <a:srcRect t="4504" r="164"/>
                    <a:stretch>
                      <a:fillRect/>
                    </a:stretch>
                  </pic:blipFill>
                  <pic:spPr>
                    <a:xfrm>
                      <a:off x="0" y="0"/>
                      <a:ext cx="3872230" cy="3069590"/>
                    </a:xfrm>
                    <a:prstGeom prst="rect">
                      <a:avLst/>
                    </a:prstGeom>
                  </pic:spPr>
                </pic:pic>
              </a:graphicData>
            </a:graphic>
          </wp:inline>
        </w:drawing>
      </w:r>
    </w:p>
    <w:p w14:paraId="55DCBD3E">
      <w:pPr>
        <w:pStyle w:val="125"/>
        <w:ind w:firstLine="420" w:firstLineChars="200"/>
        <w:jc w:val="center"/>
        <w:rPr>
          <w:highlight w:val="none"/>
        </w:rPr>
      </w:pPr>
      <w:r>
        <w:rPr>
          <w:rFonts w:hint="eastAsia"/>
          <w:highlight w:val="none"/>
        </w:rPr>
        <w:drawing>
          <wp:inline distT="0" distB="0" distL="114300" distR="114300">
            <wp:extent cx="4205605" cy="4327525"/>
            <wp:effectExtent l="0" t="0" r="635" b="635"/>
            <wp:docPr id="7" name="图片 7" descr="121227d4ca2595db6de46325e77b8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1227d4ca2595db6de46325e77b8470"/>
                    <pic:cNvPicPr>
                      <a:picLocks noChangeAspect="1"/>
                    </pic:cNvPicPr>
                  </pic:nvPicPr>
                  <pic:blipFill>
                    <a:blip r:embed="rId16"/>
                    <a:srcRect t="1261" r="7293"/>
                    <a:stretch>
                      <a:fillRect/>
                    </a:stretch>
                  </pic:blipFill>
                  <pic:spPr>
                    <a:xfrm>
                      <a:off x="0" y="0"/>
                      <a:ext cx="4205605" cy="4327525"/>
                    </a:xfrm>
                    <a:prstGeom prst="rect">
                      <a:avLst/>
                    </a:prstGeom>
                  </pic:spPr>
                </pic:pic>
              </a:graphicData>
            </a:graphic>
          </wp:inline>
        </w:drawing>
      </w:r>
    </w:p>
    <w:p w14:paraId="7B5D620E">
      <w:pPr>
        <w:rPr>
          <w:highlight w:val="none"/>
        </w:rPr>
      </w:pPr>
      <w:r>
        <w:rPr>
          <w:rFonts w:hint="eastAsia"/>
          <w:b/>
          <w:highlight w:val="none"/>
        </w:rPr>
        <w:t>★投标人应承诺其严格按照此外形结构进行设计生产</w:t>
      </w:r>
    </w:p>
    <w:p w14:paraId="43E343EE">
      <w:pPr>
        <w:pStyle w:val="125"/>
        <w:ind w:firstLine="420" w:firstLineChars="200"/>
        <w:jc w:val="center"/>
        <w:rPr>
          <w:rFonts w:hint="eastAsia"/>
          <w:highlight w:val="none"/>
        </w:rPr>
      </w:pPr>
    </w:p>
    <w:p w14:paraId="179CD914">
      <w:pPr>
        <w:pStyle w:val="3"/>
        <w:numPr>
          <w:ilvl w:val="255"/>
          <w:numId w:val="0"/>
        </w:numPr>
        <w:spacing w:before="0" w:after="0" w:line="400" w:lineRule="exact"/>
        <w:rPr>
          <w:rFonts w:ascii="Times New Roman" w:hAnsi="Times New Roman" w:eastAsia="黑体"/>
          <w:sz w:val="24"/>
          <w:szCs w:val="24"/>
          <w:highlight w:val="none"/>
        </w:rPr>
      </w:pPr>
      <w:bookmarkStart w:id="177" w:name="_Toc22825"/>
      <w:bookmarkStart w:id="178" w:name="_Toc210779325"/>
      <w:r>
        <w:rPr>
          <w:rFonts w:ascii="Times New Roman" w:hAnsi="Times New Roman" w:eastAsia="黑体"/>
          <w:sz w:val="24"/>
          <w:szCs w:val="24"/>
          <w:highlight w:val="none"/>
        </w:rPr>
        <w:t>1.</w:t>
      </w:r>
      <w:r>
        <w:rPr>
          <w:rFonts w:hint="eastAsia" w:ascii="Times New Roman" w:hAnsi="Times New Roman" w:eastAsia="黑体"/>
          <w:sz w:val="24"/>
          <w:szCs w:val="24"/>
          <w:highlight w:val="none"/>
          <w:lang w:val="en-US" w:eastAsia="zh-CN"/>
        </w:rPr>
        <w:t>3</w:t>
      </w:r>
      <w:r>
        <w:rPr>
          <w:rFonts w:hint="eastAsia" w:ascii="Times New Roman" w:hAnsi="Times New Roman" w:eastAsia="黑体"/>
          <w:sz w:val="24"/>
          <w:szCs w:val="24"/>
          <w:highlight w:val="none"/>
        </w:rPr>
        <w:t>天通卫星接入终端室内机</w:t>
      </w:r>
      <w:bookmarkEnd w:id="177"/>
    </w:p>
    <w:p w14:paraId="7D70F9DF">
      <w:pPr>
        <w:pStyle w:val="125"/>
        <w:ind w:firstLine="480" w:firstLineChars="200"/>
        <w:jc w:val="left"/>
        <w:rPr>
          <w:sz w:val="24"/>
          <w:szCs w:val="24"/>
          <w:highlight w:val="none"/>
        </w:rPr>
      </w:pPr>
      <w:r>
        <w:rPr>
          <w:rFonts w:hint="eastAsia"/>
          <w:sz w:val="24"/>
          <w:szCs w:val="24"/>
          <w:highlight w:val="none"/>
        </w:rPr>
        <w:t>天通卫星接入终端室内机整部件其技术参数除应满足国家和行业相关标准外，还应满足</w:t>
      </w:r>
      <w:r>
        <w:rPr>
          <w:rFonts w:hint="eastAsia"/>
          <w:highlight w:val="none"/>
        </w:rPr>
        <w:t>以下</w:t>
      </w:r>
      <w:r>
        <w:rPr>
          <w:rFonts w:hint="eastAsia"/>
          <w:sz w:val="24"/>
          <w:szCs w:val="24"/>
          <w:highlight w:val="none"/>
        </w:rPr>
        <w:t>要求。</w:t>
      </w:r>
    </w:p>
    <w:p w14:paraId="0541AB88">
      <w:pPr>
        <w:pStyle w:val="5"/>
        <w:rPr>
          <w:rFonts w:ascii="Times New Roman" w:hAnsi="Times New Roman"/>
          <w:sz w:val="21"/>
          <w:szCs w:val="21"/>
          <w:highlight w:val="none"/>
        </w:rPr>
      </w:pPr>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3</w:t>
      </w:r>
      <w:r>
        <w:rPr>
          <w:rFonts w:ascii="Times New Roman" w:hAnsi="Times New Roman"/>
          <w:sz w:val="21"/>
          <w:szCs w:val="21"/>
          <w:highlight w:val="none"/>
        </w:rPr>
        <w:t>.</w:t>
      </w:r>
      <w:r>
        <w:rPr>
          <w:rFonts w:hint="eastAsia" w:ascii="Times New Roman" w:hAnsi="Times New Roman"/>
          <w:sz w:val="21"/>
          <w:szCs w:val="21"/>
          <w:highlight w:val="none"/>
        </w:rPr>
        <w:t>1电源模块</w:t>
      </w:r>
    </w:p>
    <w:p w14:paraId="2663C8C8">
      <w:pPr>
        <w:pStyle w:val="125"/>
        <w:ind w:firstLine="420" w:firstLineChars="200"/>
        <w:rPr>
          <w:highlight w:val="none"/>
        </w:rPr>
      </w:pPr>
      <w:r>
        <w:rPr>
          <w:rFonts w:hint="eastAsia"/>
          <w:highlight w:val="none"/>
        </w:rPr>
        <w:t>技术参数：</w:t>
      </w:r>
    </w:p>
    <w:p w14:paraId="2A9CA776">
      <w:pPr>
        <w:pStyle w:val="125"/>
        <w:numPr>
          <w:ilvl w:val="0"/>
          <w:numId w:val="42"/>
        </w:numPr>
        <w:rPr>
          <w:highlight w:val="none"/>
        </w:rPr>
      </w:pPr>
      <w:r>
        <w:rPr>
          <w:rFonts w:hint="eastAsia"/>
          <w:b/>
          <w:highlight w:val="none"/>
        </w:rPr>
        <w:t>★</w:t>
      </w:r>
      <w:r>
        <w:rPr>
          <w:rFonts w:hint="eastAsia"/>
          <w:highlight w:val="none"/>
        </w:rPr>
        <w:t>电池容量≥5000mAh（</w:t>
      </w:r>
      <w:r>
        <w:rPr>
          <w:rFonts w:hint="eastAsia"/>
          <w:bCs/>
          <w:highlight w:val="none"/>
        </w:rPr>
        <w:t>3.8V</w:t>
      </w:r>
      <w:r>
        <w:rPr>
          <w:rFonts w:hint="eastAsia"/>
          <w:highlight w:val="none"/>
        </w:rPr>
        <w:t>）、电池可拆卸更换；；</w:t>
      </w:r>
    </w:p>
    <w:p w14:paraId="3D8EA40E">
      <w:pPr>
        <w:pStyle w:val="125"/>
        <w:numPr>
          <w:ilvl w:val="0"/>
          <w:numId w:val="42"/>
        </w:numPr>
        <w:rPr>
          <w:highlight w:val="none"/>
        </w:rPr>
      </w:pPr>
      <w:r>
        <w:rPr>
          <w:rFonts w:hint="eastAsia"/>
          <w:b/>
          <w:highlight w:val="none"/>
        </w:rPr>
        <w:t>★</w:t>
      </w:r>
      <w:r>
        <w:rPr>
          <w:rFonts w:hint="eastAsia"/>
          <w:highlight w:val="none"/>
        </w:rPr>
        <w:t>待机时长≥160小时，通话时长≥10小时；</w:t>
      </w:r>
    </w:p>
    <w:p w14:paraId="3310CC4F">
      <w:pPr>
        <w:pStyle w:val="125"/>
        <w:numPr>
          <w:ilvl w:val="0"/>
          <w:numId w:val="42"/>
        </w:numPr>
        <w:rPr>
          <w:highlight w:val="none"/>
        </w:rPr>
      </w:pPr>
      <w:r>
        <w:rPr>
          <w:rFonts w:hint="eastAsia"/>
          <w:highlight w:val="none"/>
        </w:rPr>
        <w:t>供电电压：座机≥12/2A、5.2/2A(手持终端）；</w:t>
      </w:r>
    </w:p>
    <w:p w14:paraId="04597D79">
      <w:pPr>
        <w:pStyle w:val="125"/>
        <w:numPr>
          <w:ilvl w:val="0"/>
          <w:numId w:val="42"/>
        </w:numPr>
        <w:rPr>
          <w:highlight w:val="none"/>
        </w:rPr>
      </w:pPr>
      <w:r>
        <w:rPr>
          <w:rFonts w:hint="eastAsia"/>
          <w:highlight w:val="none"/>
        </w:rPr>
        <w:t>供电方式：220V适配器供电；</w:t>
      </w:r>
    </w:p>
    <w:p w14:paraId="1346087B">
      <w:pPr>
        <w:pStyle w:val="125"/>
        <w:numPr>
          <w:ilvl w:val="0"/>
          <w:numId w:val="42"/>
        </w:numPr>
        <w:rPr>
          <w:highlight w:val="none"/>
        </w:rPr>
      </w:pPr>
      <w:r>
        <w:rPr>
          <w:rFonts w:hint="eastAsia"/>
          <w:b/>
          <w:highlight w:val="none"/>
        </w:rPr>
        <w:t>★</w:t>
      </w:r>
      <w:r>
        <w:rPr>
          <w:rFonts w:hint="eastAsia"/>
          <w:highlight w:val="none"/>
        </w:rPr>
        <w:t>电源接口：DC供电接口（座机）</w:t>
      </w:r>
      <w:r>
        <w:rPr>
          <w:rFonts w:hint="eastAsia"/>
          <w:bCs/>
          <w:highlight w:val="none"/>
        </w:rPr>
        <w:t>、</w:t>
      </w:r>
      <w:r>
        <w:rPr>
          <w:rFonts w:hint="eastAsia"/>
          <w:bCs/>
          <w:color w:val="000000" w:themeColor="text1"/>
          <w:highlight w:val="none"/>
          <w14:textFill>
            <w14:solidFill>
              <w14:schemeClr w14:val="tx1"/>
            </w14:solidFill>
          </w14:textFill>
        </w:rPr>
        <w:t>TYPE-C</w:t>
      </w:r>
      <w:r>
        <w:rPr>
          <w:rFonts w:hint="eastAsia"/>
          <w:highlight w:val="none"/>
        </w:rPr>
        <w:t>(手持终端）；</w:t>
      </w:r>
    </w:p>
    <w:p w14:paraId="3ED410B8">
      <w:pPr>
        <w:pStyle w:val="125"/>
        <w:ind w:left="420"/>
        <w:rPr>
          <w:highlight w:val="none"/>
        </w:rPr>
      </w:pPr>
    </w:p>
    <w:p w14:paraId="55C9E1D9">
      <w:pPr>
        <w:pStyle w:val="5"/>
        <w:rPr>
          <w:rFonts w:ascii="Times New Roman" w:hAnsi="Times New Roman"/>
          <w:sz w:val="21"/>
          <w:szCs w:val="21"/>
          <w:highlight w:val="none"/>
        </w:rPr>
      </w:pPr>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3</w:t>
      </w:r>
      <w:r>
        <w:rPr>
          <w:rFonts w:ascii="Times New Roman" w:hAnsi="Times New Roman"/>
          <w:sz w:val="21"/>
          <w:szCs w:val="21"/>
          <w:highlight w:val="none"/>
        </w:rPr>
        <w:t>.</w:t>
      </w:r>
      <w:r>
        <w:rPr>
          <w:rFonts w:hint="eastAsia" w:ascii="Times New Roman" w:hAnsi="Times New Roman"/>
          <w:sz w:val="21"/>
          <w:szCs w:val="21"/>
          <w:highlight w:val="none"/>
        </w:rPr>
        <w:t>2核心处理组件</w:t>
      </w:r>
    </w:p>
    <w:p w14:paraId="54E7C9BD">
      <w:pPr>
        <w:pStyle w:val="125"/>
        <w:ind w:firstLine="420" w:firstLineChars="200"/>
        <w:rPr>
          <w:highlight w:val="none"/>
        </w:rPr>
      </w:pPr>
      <w:r>
        <w:rPr>
          <w:rFonts w:hint="eastAsia"/>
          <w:highlight w:val="none"/>
        </w:rPr>
        <w:t>技术参数：</w:t>
      </w:r>
    </w:p>
    <w:p w14:paraId="71E27EA4">
      <w:pPr>
        <w:pStyle w:val="125"/>
        <w:numPr>
          <w:ilvl w:val="0"/>
          <w:numId w:val="43"/>
        </w:numPr>
        <w:rPr>
          <w:highlight w:val="none"/>
          <w:lang w:val="zh-CN"/>
        </w:rPr>
      </w:pPr>
      <w:r>
        <w:rPr>
          <w:rFonts w:hint="eastAsia"/>
          <w:highlight w:val="none"/>
        </w:rPr>
        <w:t>处理器：不低于</w:t>
      </w:r>
      <w:r>
        <w:rPr>
          <w:rFonts w:hint="eastAsia"/>
          <w:bCs/>
          <w:highlight w:val="none"/>
        </w:rPr>
        <w:t>八核，主频≥2.7GHz；</w:t>
      </w:r>
    </w:p>
    <w:p w14:paraId="4EA40B41">
      <w:pPr>
        <w:pStyle w:val="125"/>
        <w:numPr>
          <w:ilvl w:val="0"/>
          <w:numId w:val="43"/>
        </w:numPr>
        <w:rPr>
          <w:highlight w:val="none"/>
          <w:lang w:val="zh-CN"/>
        </w:rPr>
      </w:pPr>
      <w:r>
        <w:rPr>
          <w:rFonts w:hint="eastAsia"/>
          <w:highlight w:val="none"/>
          <w:lang w:val="zh-CN"/>
        </w:rPr>
        <w:t>运行内存</w:t>
      </w:r>
      <w:r>
        <w:rPr>
          <w:rFonts w:hint="eastAsia"/>
          <w:bCs/>
          <w:highlight w:val="none"/>
        </w:rPr>
        <w:t>≥</w:t>
      </w:r>
      <w:r>
        <w:rPr>
          <w:rFonts w:hint="eastAsia"/>
          <w:highlight w:val="none"/>
        </w:rPr>
        <w:t>8</w:t>
      </w:r>
      <w:r>
        <w:rPr>
          <w:rFonts w:hint="eastAsia"/>
          <w:highlight w:val="none"/>
          <w:lang w:val="zh-CN"/>
        </w:rPr>
        <w:t>GB RAM；</w:t>
      </w:r>
    </w:p>
    <w:p w14:paraId="51C08805">
      <w:pPr>
        <w:pStyle w:val="125"/>
        <w:numPr>
          <w:ilvl w:val="0"/>
          <w:numId w:val="43"/>
        </w:numPr>
        <w:rPr>
          <w:highlight w:val="none"/>
          <w:lang w:val="zh-CN"/>
        </w:rPr>
      </w:pPr>
      <w:r>
        <w:rPr>
          <w:rFonts w:hint="eastAsia"/>
          <w:highlight w:val="none"/>
          <w:lang w:val="zh-CN"/>
        </w:rPr>
        <w:t>机身内存</w:t>
      </w:r>
      <w:r>
        <w:rPr>
          <w:rFonts w:hint="eastAsia"/>
          <w:bCs/>
          <w:highlight w:val="none"/>
        </w:rPr>
        <w:t>≥</w:t>
      </w:r>
      <w:r>
        <w:rPr>
          <w:rFonts w:hint="eastAsia"/>
          <w:highlight w:val="none"/>
        </w:rPr>
        <w:t>128</w:t>
      </w:r>
      <w:r>
        <w:rPr>
          <w:rFonts w:hint="eastAsia"/>
          <w:highlight w:val="none"/>
          <w:lang w:val="zh-CN"/>
        </w:rPr>
        <w:t>GB ROM ；可支持至少256G TF卡扩展；</w:t>
      </w:r>
    </w:p>
    <w:p w14:paraId="5AEF685D">
      <w:pPr>
        <w:pStyle w:val="125"/>
        <w:numPr>
          <w:ilvl w:val="0"/>
          <w:numId w:val="43"/>
        </w:numPr>
        <w:rPr>
          <w:highlight w:val="none"/>
        </w:rPr>
      </w:pPr>
      <w:r>
        <w:rPr>
          <w:rFonts w:hint="eastAsia"/>
          <w:highlight w:val="none"/>
        </w:rPr>
        <w:t>需</w:t>
      </w:r>
      <w:r>
        <w:rPr>
          <w:rFonts w:hint="eastAsia"/>
          <w:highlight w:val="none"/>
          <w:lang w:val="zh-CN"/>
        </w:rPr>
        <w:t>支持SOS一键求救功能，</w:t>
      </w:r>
      <w:r>
        <w:rPr>
          <w:rFonts w:hint="eastAsia"/>
          <w:highlight w:val="none"/>
        </w:rPr>
        <w:t>具备</w:t>
      </w:r>
      <w:r>
        <w:rPr>
          <w:rFonts w:hint="eastAsia"/>
          <w:highlight w:val="none"/>
          <w:lang w:val="zh-CN"/>
        </w:rPr>
        <w:t>SOS物理按键，可向指定号码拨打卫星电话，并发送位置信息</w:t>
      </w:r>
      <w:r>
        <w:rPr>
          <w:rFonts w:hint="eastAsia"/>
          <w:highlight w:val="none"/>
        </w:rPr>
        <w:t>；</w:t>
      </w:r>
    </w:p>
    <w:p w14:paraId="1CA11A6E">
      <w:pPr>
        <w:pStyle w:val="125"/>
        <w:numPr>
          <w:ilvl w:val="0"/>
          <w:numId w:val="43"/>
        </w:numPr>
        <w:rPr>
          <w:highlight w:val="none"/>
        </w:rPr>
      </w:pPr>
      <w:r>
        <w:rPr>
          <w:rFonts w:hint="eastAsia"/>
          <w:highlight w:val="none"/>
        </w:rPr>
        <w:t>显示屏幕≥5英寸，分辨率≥1920*1080；</w:t>
      </w:r>
    </w:p>
    <w:p w14:paraId="6785AF98">
      <w:pPr>
        <w:pStyle w:val="125"/>
        <w:numPr>
          <w:ilvl w:val="0"/>
          <w:numId w:val="43"/>
        </w:numPr>
        <w:rPr>
          <w:highlight w:val="none"/>
        </w:rPr>
      </w:pPr>
      <w:r>
        <w:rPr>
          <w:rFonts w:hint="eastAsia"/>
          <w:highlight w:val="none"/>
        </w:rPr>
        <w:t>操作系统≥Android 7.1；</w:t>
      </w:r>
    </w:p>
    <w:p w14:paraId="58B1BDEE">
      <w:pPr>
        <w:pStyle w:val="125"/>
        <w:numPr>
          <w:ilvl w:val="0"/>
          <w:numId w:val="43"/>
        </w:numPr>
        <w:rPr>
          <w:highlight w:val="none"/>
        </w:rPr>
      </w:pPr>
      <w:r>
        <w:rPr>
          <w:rFonts w:hint="eastAsia"/>
          <w:highlight w:val="none"/>
        </w:rPr>
        <w:t>摄像头：前置摄像头≥800万像素、后置摄像头≥1300万像素；</w:t>
      </w:r>
    </w:p>
    <w:p w14:paraId="4A7F8FA2">
      <w:pPr>
        <w:pStyle w:val="125"/>
        <w:numPr>
          <w:ilvl w:val="0"/>
          <w:numId w:val="43"/>
        </w:numPr>
        <w:rPr>
          <w:highlight w:val="none"/>
        </w:rPr>
      </w:pPr>
      <w:r>
        <w:rPr>
          <w:rFonts w:hint="eastAsia"/>
          <w:highlight w:val="none"/>
        </w:rPr>
        <w:t>需支持WiFi和蓝牙功能；</w:t>
      </w:r>
    </w:p>
    <w:p w14:paraId="22A592AD">
      <w:pPr>
        <w:pStyle w:val="125"/>
        <w:numPr>
          <w:ilvl w:val="0"/>
          <w:numId w:val="43"/>
        </w:numPr>
        <w:rPr>
          <w:highlight w:val="none"/>
        </w:rPr>
      </w:pPr>
      <w:r>
        <w:rPr>
          <w:rFonts w:hint="eastAsia"/>
          <w:highlight w:val="none"/>
        </w:rPr>
        <w:t>采用固移两用设计，座机形态时可实现室内拨打卫星通话，手持终端形态时可实现室外移动卫星通话；</w:t>
      </w:r>
    </w:p>
    <w:p w14:paraId="2EB10922">
      <w:pPr>
        <w:pStyle w:val="125"/>
        <w:numPr>
          <w:ilvl w:val="0"/>
          <w:numId w:val="43"/>
        </w:numPr>
        <w:rPr>
          <w:highlight w:val="none"/>
        </w:rPr>
      </w:pPr>
      <w:r>
        <w:rPr>
          <w:rFonts w:hint="eastAsia"/>
          <w:highlight w:val="none"/>
        </w:rPr>
        <w:t>扩展成室内座机形态时支持自动摘机、挂机检测，支持免提功能；</w:t>
      </w:r>
    </w:p>
    <w:p w14:paraId="03B37564">
      <w:pPr>
        <w:pStyle w:val="125"/>
        <w:ind w:firstLine="420" w:firstLineChars="200"/>
        <w:rPr>
          <w:highlight w:val="none"/>
        </w:rPr>
      </w:pPr>
    </w:p>
    <w:p w14:paraId="57A259AC">
      <w:pPr>
        <w:pStyle w:val="5"/>
        <w:rPr>
          <w:rFonts w:ascii="Times New Roman" w:hAnsi="Times New Roman"/>
          <w:sz w:val="21"/>
          <w:szCs w:val="21"/>
          <w:highlight w:val="none"/>
        </w:rPr>
      </w:pPr>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3</w:t>
      </w:r>
      <w:r>
        <w:rPr>
          <w:rFonts w:ascii="Times New Roman" w:hAnsi="Times New Roman"/>
          <w:sz w:val="21"/>
          <w:szCs w:val="21"/>
          <w:highlight w:val="none"/>
        </w:rPr>
        <w:t>.</w:t>
      </w:r>
      <w:r>
        <w:rPr>
          <w:rFonts w:hint="eastAsia" w:ascii="Times New Roman" w:hAnsi="Times New Roman"/>
          <w:sz w:val="21"/>
          <w:szCs w:val="21"/>
          <w:highlight w:val="none"/>
        </w:rPr>
        <w:t>3通信模块</w:t>
      </w:r>
    </w:p>
    <w:p w14:paraId="6C129774">
      <w:pPr>
        <w:pStyle w:val="125"/>
        <w:ind w:firstLine="420" w:firstLineChars="200"/>
        <w:rPr>
          <w:highlight w:val="none"/>
        </w:rPr>
      </w:pPr>
      <w:r>
        <w:rPr>
          <w:rFonts w:hint="eastAsia"/>
          <w:highlight w:val="none"/>
        </w:rPr>
        <w:t>技术参数：</w:t>
      </w:r>
    </w:p>
    <w:p w14:paraId="11CEA321">
      <w:pPr>
        <w:pStyle w:val="125"/>
        <w:numPr>
          <w:ilvl w:val="0"/>
          <w:numId w:val="44"/>
        </w:numPr>
        <w:rPr>
          <w:highlight w:val="none"/>
          <w:lang w:val="zh-CN"/>
        </w:rPr>
      </w:pPr>
      <w:r>
        <w:rPr>
          <w:rFonts w:hint="eastAsia"/>
          <w:b/>
          <w:highlight w:val="none"/>
        </w:rPr>
        <w:t>★</w:t>
      </w:r>
      <w:r>
        <w:rPr>
          <w:rFonts w:hint="eastAsia"/>
          <w:highlight w:val="none"/>
          <w:lang w:val="zh-CN"/>
        </w:rPr>
        <w:t>支持中国自主研发的天通卫星移动通信网络的话音、短信功能；</w:t>
      </w:r>
    </w:p>
    <w:p w14:paraId="57D6FEAD">
      <w:pPr>
        <w:pStyle w:val="125"/>
        <w:numPr>
          <w:ilvl w:val="0"/>
          <w:numId w:val="44"/>
        </w:numPr>
        <w:rPr>
          <w:highlight w:val="none"/>
          <w:lang w:val="zh-CN"/>
        </w:rPr>
      </w:pPr>
      <w:r>
        <w:rPr>
          <w:rFonts w:hint="eastAsia"/>
          <w:b/>
          <w:highlight w:val="none"/>
        </w:rPr>
        <w:t>★</w:t>
      </w:r>
      <w:r>
        <w:rPr>
          <w:rFonts w:hint="eastAsia"/>
          <w:highlight w:val="none"/>
          <w:lang w:val="zh-CN"/>
        </w:rPr>
        <w:t>卫星话音速率支持1.2kbps/2.4kbps/4kbps；</w:t>
      </w:r>
    </w:p>
    <w:p w14:paraId="1F709739">
      <w:pPr>
        <w:pStyle w:val="125"/>
        <w:numPr>
          <w:ilvl w:val="0"/>
          <w:numId w:val="44"/>
        </w:numPr>
        <w:rPr>
          <w:highlight w:val="none"/>
          <w:lang w:val="zh-CN"/>
        </w:rPr>
      </w:pPr>
      <w:r>
        <w:rPr>
          <w:rFonts w:hint="eastAsia"/>
          <w:b/>
          <w:highlight w:val="none"/>
        </w:rPr>
        <w:t>★</w:t>
      </w:r>
      <w:r>
        <w:rPr>
          <w:rFonts w:hint="eastAsia"/>
          <w:highlight w:val="none"/>
          <w:lang w:val="zh-CN"/>
        </w:rPr>
        <w:t>天通工作频率需支持上行：1980-2010MHz，下行：2170-2200MHz；</w:t>
      </w:r>
    </w:p>
    <w:p w14:paraId="756F234D">
      <w:pPr>
        <w:pStyle w:val="125"/>
        <w:numPr>
          <w:ilvl w:val="0"/>
          <w:numId w:val="44"/>
        </w:numPr>
        <w:rPr>
          <w:highlight w:val="none"/>
          <w:lang w:val="zh-CN"/>
        </w:rPr>
      </w:pPr>
      <w:r>
        <w:rPr>
          <w:rFonts w:hint="eastAsia"/>
          <w:b/>
          <w:highlight w:val="none"/>
        </w:rPr>
        <w:t>★</w:t>
      </w:r>
      <w:r>
        <w:rPr>
          <w:rFonts w:hint="eastAsia"/>
          <w:highlight w:val="none"/>
          <w:lang w:val="zh-CN"/>
        </w:rPr>
        <w:t>定位工作频率需支持：L1/B1:1575.42MHz±1.023MHz/1561.098MHz±2.046MHz；</w:t>
      </w:r>
    </w:p>
    <w:p w14:paraId="644CAB6B">
      <w:pPr>
        <w:pStyle w:val="125"/>
        <w:numPr>
          <w:ilvl w:val="0"/>
          <w:numId w:val="44"/>
        </w:numPr>
        <w:rPr>
          <w:highlight w:val="none"/>
          <w:lang w:val="zh-CN"/>
        </w:rPr>
      </w:pPr>
      <w:r>
        <w:rPr>
          <w:rFonts w:hint="eastAsia"/>
          <w:highlight w:val="none"/>
        </w:rPr>
        <w:t>手持终端</w:t>
      </w:r>
      <w:r>
        <w:rPr>
          <w:rFonts w:hint="eastAsia"/>
          <w:highlight w:val="none"/>
          <w:lang w:val="zh-CN"/>
        </w:rPr>
        <w:t>天线可折叠，折叠角度≥180°，可拆卸扩展全向天线；</w:t>
      </w:r>
    </w:p>
    <w:p w14:paraId="1E4D7AE7">
      <w:pPr>
        <w:pStyle w:val="125"/>
        <w:numPr>
          <w:ilvl w:val="0"/>
          <w:numId w:val="44"/>
        </w:numPr>
        <w:rPr>
          <w:highlight w:val="none"/>
          <w:lang w:val="zh-CN"/>
        </w:rPr>
      </w:pPr>
      <w:r>
        <w:rPr>
          <w:rFonts w:hint="eastAsia"/>
          <w:highlight w:val="none"/>
          <w:lang w:val="zh-CN"/>
        </w:rPr>
        <w:t>室外天通天线增益≥12.5dBi；</w:t>
      </w:r>
    </w:p>
    <w:p w14:paraId="49AED519">
      <w:pPr>
        <w:pStyle w:val="125"/>
        <w:numPr>
          <w:ilvl w:val="0"/>
          <w:numId w:val="44"/>
        </w:numPr>
        <w:rPr>
          <w:highlight w:val="none"/>
          <w:lang w:val="zh-CN"/>
        </w:rPr>
      </w:pPr>
      <w:r>
        <w:rPr>
          <w:rFonts w:hint="eastAsia"/>
          <w:highlight w:val="none"/>
        </w:rPr>
        <w:t>需</w:t>
      </w:r>
      <w:r>
        <w:rPr>
          <w:rFonts w:hint="eastAsia"/>
          <w:highlight w:val="none"/>
          <w:lang w:val="zh-CN"/>
        </w:rPr>
        <w:t>支持4G地面移动网络；</w:t>
      </w:r>
    </w:p>
    <w:p w14:paraId="155430F6">
      <w:pPr>
        <w:pStyle w:val="125"/>
        <w:numPr>
          <w:ilvl w:val="0"/>
          <w:numId w:val="44"/>
        </w:numPr>
        <w:rPr>
          <w:highlight w:val="none"/>
          <w:lang w:val="zh-CN"/>
        </w:rPr>
      </w:pPr>
      <w:r>
        <w:rPr>
          <w:rFonts w:hint="eastAsia"/>
          <w:highlight w:val="none"/>
        </w:rPr>
        <w:t>需</w:t>
      </w:r>
      <w:r>
        <w:rPr>
          <w:rFonts w:hint="eastAsia"/>
          <w:highlight w:val="none"/>
          <w:lang w:val="zh-CN"/>
        </w:rPr>
        <w:t>支持4FF标准SIM卡；</w:t>
      </w:r>
      <w:r>
        <w:rPr>
          <w:rFonts w:hint="eastAsia"/>
          <w:bCs/>
          <w:color w:val="000000" w:themeColor="text1"/>
          <w:highlight w:val="none"/>
          <w14:textFill>
            <w14:solidFill>
              <w14:schemeClr w14:val="tx1"/>
            </w14:solidFill>
          </w14:textFill>
        </w:rPr>
        <w:t>双卡nano SIM卡；</w:t>
      </w:r>
    </w:p>
    <w:p w14:paraId="0BB1E5B2">
      <w:pPr>
        <w:pStyle w:val="125"/>
        <w:numPr>
          <w:ilvl w:val="0"/>
          <w:numId w:val="44"/>
        </w:numPr>
        <w:rPr>
          <w:highlight w:val="none"/>
          <w:lang w:val="zh-CN"/>
        </w:rPr>
      </w:pPr>
      <w:r>
        <w:rPr>
          <w:rFonts w:hint="eastAsia"/>
          <w:b/>
          <w:highlight w:val="none"/>
        </w:rPr>
        <w:t>★</w:t>
      </w:r>
      <w:r>
        <w:rPr>
          <w:rFonts w:hint="eastAsia"/>
          <w:highlight w:val="none"/>
          <w:lang w:val="zh-CN"/>
        </w:rPr>
        <w:t>支持</w:t>
      </w:r>
      <w:r>
        <w:rPr>
          <w:rFonts w:hint="eastAsia"/>
          <w:highlight w:val="none"/>
        </w:rPr>
        <w:t>单北斗定位</w:t>
      </w:r>
      <w:r>
        <w:rPr>
          <w:rFonts w:hint="eastAsia"/>
          <w:highlight w:val="none"/>
          <w:lang w:val="zh-CN"/>
        </w:rPr>
        <w:t>功能；</w:t>
      </w:r>
    </w:p>
    <w:p w14:paraId="4437DE68">
      <w:pPr>
        <w:pStyle w:val="125"/>
        <w:ind w:firstLine="420" w:firstLineChars="200"/>
        <w:rPr>
          <w:highlight w:val="none"/>
        </w:rPr>
      </w:pPr>
    </w:p>
    <w:p w14:paraId="61F4A747">
      <w:pPr>
        <w:pStyle w:val="5"/>
        <w:rPr>
          <w:rFonts w:ascii="Times New Roman" w:hAnsi="Times New Roman"/>
          <w:sz w:val="21"/>
          <w:szCs w:val="21"/>
          <w:highlight w:val="none"/>
        </w:rPr>
      </w:pPr>
      <w:r>
        <w:rPr>
          <w:rFonts w:hint="eastAsia" w:ascii="Times New Roman" w:hAnsi="Times New Roman"/>
          <w:sz w:val="21"/>
          <w:szCs w:val="21"/>
          <w:highlight w:val="none"/>
        </w:rPr>
        <w:t>1.</w:t>
      </w:r>
      <w:r>
        <w:rPr>
          <w:rFonts w:hint="eastAsia" w:ascii="Times New Roman" w:hAnsi="Times New Roman"/>
          <w:sz w:val="21"/>
          <w:szCs w:val="21"/>
          <w:highlight w:val="none"/>
          <w:lang w:val="en-US" w:eastAsia="zh-CN"/>
        </w:rPr>
        <w:t>3</w:t>
      </w:r>
      <w:r>
        <w:rPr>
          <w:rFonts w:ascii="Times New Roman" w:hAnsi="Times New Roman"/>
          <w:sz w:val="21"/>
          <w:szCs w:val="21"/>
          <w:highlight w:val="none"/>
        </w:rPr>
        <w:t>.</w:t>
      </w:r>
      <w:r>
        <w:rPr>
          <w:rFonts w:hint="eastAsia" w:ascii="Times New Roman" w:hAnsi="Times New Roman"/>
          <w:sz w:val="21"/>
          <w:szCs w:val="21"/>
          <w:highlight w:val="none"/>
        </w:rPr>
        <w:t>4外壳</w:t>
      </w:r>
    </w:p>
    <w:p w14:paraId="51698CE1">
      <w:pPr>
        <w:pStyle w:val="125"/>
        <w:ind w:firstLine="420" w:firstLineChars="200"/>
        <w:rPr>
          <w:highlight w:val="none"/>
        </w:rPr>
      </w:pPr>
      <w:r>
        <w:rPr>
          <w:rFonts w:hint="eastAsia"/>
          <w:highlight w:val="none"/>
        </w:rPr>
        <w:t>技术参数：</w:t>
      </w:r>
    </w:p>
    <w:p w14:paraId="68E5397F">
      <w:pPr>
        <w:pStyle w:val="125"/>
        <w:numPr>
          <w:ilvl w:val="0"/>
          <w:numId w:val="45"/>
        </w:numPr>
        <w:rPr>
          <w:highlight w:val="none"/>
        </w:rPr>
      </w:pPr>
      <w:r>
        <w:rPr>
          <w:rFonts w:hint="eastAsia"/>
          <w:highlight w:val="none"/>
        </w:rPr>
        <w:t>工作温度：-20℃～+55℃；</w:t>
      </w:r>
    </w:p>
    <w:p w14:paraId="3162C1DD">
      <w:pPr>
        <w:pStyle w:val="125"/>
        <w:numPr>
          <w:ilvl w:val="0"/>
          <w:numId w:val="45"/>
        </w:numPr>
        <w:rPr>
          <w:highlight w:val="none"/>
        </w:rPr>
      </w:pPr>
      <w:r>
        <w:rPr>
          <w:rFonts w:hint="eastAsia"/>
          <w:highlight w:val="none"/>
        </w:rPr>
        <w:t>贮存温度：-30℃～+70℃；</w:t>
      </w:r>
    </w:p>
    <w:p w14:paraId="099FE57B">
      <w:pPr>
        <w:pStyle w:val="125"/>
        <w:numPr>
          <w:ilvl w:val="0"/>
          <w:numId w:val="45"/>
        </w:numPr>
        <w:rPr>
          <w:highlight w:val="none"/>
        </w:rPr>
      </w:pPr>
      <w:r>
        <w:rPr>
          <w:rFonts w:hint="eastAsia"/>
          <w:highlight w:val="none"/>
        </w:rPr>
        <w:t>防护等级：手持终端≥IP68；室外天线≥IP67；室内座机≥IP54；</w:t>
      </w:r>
    </w:p>
    <w:p w14:paraId="3AB5D2C6">
      <w:pPr>
        <w:pStyle w:val="125"/>
        <w:numPr>
          <w:ilvl w:val="0"/>
          <w:numId w:val="45"/>
        </w:numPr>
        <w:rPr>
          <w:highlight w:val="none"/>
        </w:rPr>
      </w:pPr>
      <w:r>
        <w:rPr>
          <w:rFonts w:hint="eastAsia"/>
          <w:highlight w:val="none"/>
        </w:rPr>
        <w:t>座机重量≤1.2kg；手持终端≤380g；</w:t>
      </w:r>
    </w:p>
    <w:p w14:paraId="5736FE17">
      <w:pPr>
        <w:pStyle w:val="125"/>
        <w:numPr>
          <w:ilvl w:val="0"/>
          <w:numId w:val="45"/>
        </w:numPr>
        <w:rPr>
          <w:highlight w:val="none"/>
        </w:rPr>
      </w:pPr>
      <w:r>
        <w:rPr>
          <w:rFonts w:hint="eastAsia"/>
          <w:highlight w:val="none"/>
        </w:rPr>
        <w:t>整机尺寸：≤250mm×240mm×100mm（不含话筒手柄高度）；</w:t>
      </w:r>
    </w:p>
    <w:p w14:paraId="66EE3DA0">
      <w:pPr>
        <w:pStyle w:val="125"/>
        <w:numPr>
          <w:ilvl w:val="0"/>
          <w:numId w:val="45"/>
        </w:numPr>
        <w:rPr>
          <w:highlight w:val="none"/>
        </w:rPr>
      </w:pPr>
      <w:r>
        <w:rPr>
          <w:rFonts w:hint="eastAsia"/>
          <w:highlight w:val="none"/>
        </w:rPr>
        <w:t>手持终端需支持Type-C接口；</w:t>
      </w:r>
    </w:p>
    <w:p w14:paraId="1BE3EBD7">
      <w:pPr>
        <w:pStyle w:val="125"/>
        <w:numPr>
          <w:ilvl w:val="0"/>
          <w:numId w:val="45"/>
        </w:numPr>
        <w:rPr>
          <w:highlight w:val="none"/>
        </w:rPr>
      </w:pPr>
      <w:r>
        <w:rPr>
          <w:rFonts w:hint="eastAsia"/>
          <w:b/>
          <w:highlight w:val="none"/>
        </w:rPr>
        <w:t>★</w:t>
      </w:r>
      <w:r>
        <w:rPr>
          <w:rFonts w:hint="eastAsia"/>
          <w:highlight w:val="none"/>
        </w:rPr>
        <w:t>配套座机：需具备TYPE-C接口、RJ11电话手柄接口、 SMA外置定位接口、DC电源接口；</w:t>
      </w:r>
    </w:p>
    <w:p w14:paraId="3AE1B420">
      <w:pPr>
        <w:pStyle w:val="125"/>
        <w:numPr>
          <w:ilvl w:val="0"/>
          <w:numId w:val="45"/>
        </w:numPr>
        <w:rPr>
          <w:highlight w:val="none"/>
        </w:rPr>
      </w:pPr>
      <w:r>
        <w:rPr>
          <w:rFonts w:hint="eastAsia"/>
          <w:highlight w:val="none"/>
        </w:rPr>
        <w:t>结构图：</w:t>
      </w:r>
    </w:p>
    <w:p w14:paraId="3FF11B99">
      <w:pPr>
        <w:pStyle w:val="125"/>
        <w:ind w:left="420"/>
        <w:jc w:val="center"/>
        <w:rPr>
          <w:highlight w:val="none"/>
        </w:rPr>
      </w:pPr>
      <w:r>
        <w:rPr>
          <w:rFonts w:hint="eastAsia"/>
          <w:highlight w:val="none"/>
        </w:rPr>
        <w:drawing>
          <wp:inline distT="0" distB="0" distL="114300" distR="114300">
            <wp:extent cx="3696970" cy="3135630"/>
            <wp:effectExtent l="0" t="0" r="6350" b="3810"/>
            <wp:docPr id="9" name="图片 9" descr="54ad82b53742e03c651ef06c1368e9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54ad82b53742e03c651ef06c1368e9ce"/>
                    <pic:cNvPicPr>
                      <a:picLocks noChangeAspect="1"/>
                    </pic:cNvPicPr>
                  </pic:nvPicPr>
                  <pic:blipFill>
                    <a:blip r:embed="rId17"/>
                    <a:srcRect l="21788" t="-1350"/>
                    <a:stretch>
                      <a:fillRect/>
                    </a:stretch>
                  </pic:blipFill>
                  <pic:spPr>
                    <a:xfrm>
                      <a:off x="0" y="0"/>
                      <a:ext cx="3696970" cy="3135630"/>
                    </a:xfrm>
                    <a:prstGeom prst="rect">
                      <a:avLst/>
                    </a:prstGeom>
                  </pic:spPr>
                </pic:pic>
              </a:graphicData>
            </a:graphic>
          </wp:inline>
        </w:drawing>
      </w:r>
      <w:r>
        <w:rPr>
          <w:rFonts w:hint="eastAsia"/>
          <w:highlight w:val="none"/>
        </w:rPr>
        <w:drawing>
          <wp:inline distT="0" distB="0" distL="114300" distR="114300">
            <wp:extent cx="4888865" cy="4156075"/>
            <wp:effectExtent l="0" t="0" r="3175" b="4445"/>
            <wp:docPr id="8" name="图片 8" descr="b36b1a64dff473f29119708561ea29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b36b1a64dff473f29119708561ea291b"/>
                    <pic:cNvPicPr>
                      <a:picLocks noChangeAspect="1"/>
                    </pic:cNvPicPr>
                  </pic:nvPicPr>
                  <pic:blipFill>
                    <a:blip r:embed="rId18"/>
                    <a:stretch>
                      <a:fillRect/>
                    </a:stretch>
                  </pic:blipFill>
                  <pic:spPr>
                    <a:xfrm>
                      <a:off x="0" y="0"/>
                      <a:ext cx="4888865" cy="4156075"/>
                    </a:xfrm>
                    <a:prstGeom prst="rect">
                      <a:avLst/>
                    </a:prstGeom>
                  </pic:spPr>
                </pic:pic>
              </a:graphicData>
            </a:graphic>
          </wp:inline>
        </w:drawing>
      </w:r>
      <w:r>
        <w:rPr>
          <w:rFonts w:hint="eastAsia"/>
          <w:highlight w:val="none"/>
        </w:rPr>
        <w:drawing>
          <wp:inline distT="0" distB="0" distL="114300" distR="114300">
            <wp:extent cx="4701540" cy="3208020"/>
            <wp:effectExtent l="0" t="0" r="7620" b="762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9"/>
                    <a:stretch>
                      <a:fillRect/>
                    </a:stretch>
                  </pic:blipFill>
                  <pic:spPr>
                    <a:xfrm>
                      <a:off x="0" y="0"/>
                      <a:ext cx="4701540" cy="3208020"/>
                    </a:xfrm>
                    <a:prstGeom prst="rect">
                      <a:avLst/>
                    </a:prstGeom>
                    <a:noFill/>
                    <a:ln>
                      <a:noFill/>
                    </a:ln>
                  </pic:spPr>
                </pic:pic>
              </a:graphicData>
            </a:graphic>
          </wp:inline>
        </w:drawing>
      </w:r>
    </w:p>
    <w:p w14:paraId="0F552C50">
      <w:pPr>
        <w:rPr>
          <w:highlight w:val="none"/>
        </w:rPr>
      </w:pPr>
      <w:r>
        <w:rPr>
          <w:rFonts w:hint="eastAsia"/>
          <w:b/>
          <w:highlight w:val="none"/>
        </w:rPr>
        <w:t>★投标人应承诺其严格按照此外形结构进行设计生产</w:t>
      </w:r>
    </w:p>
    <w:p w14:paraId="0C7085F3">
      <w:pPr>
        <w:pStyle w:val="125"/>
        <w:ind w:left="420"/>
        <w:jc w:val="center"/>
        <w:rPr>
          <w:highlight w:val="none"/>
        </w:rPr>
      </w:pPr>
    </w:p>
    <w:bookmarkEnd w:id="178"/>
    <w:p w14:paraId="58882967">
      <w:pPr>
        <w:pStyle w:val="2"/>
        <w:numPr>
          <w:ilvl w:val="0"/>
          <w:numId w:val="33"/>
        </w:numPr>
        <w:tabs>
          <w:tab w:val="left" w:pos="425"/>
        </w:tabs>
        <w:spacing w:before="0" w:after="0" w:line="360" w:lineRule="auto"/>
        <w:ind w:firstLine="0"/>
        <w:rPr>
          <w:rFonts w:hint="eastAsia" w:ascii="黑体" w:hAnsi="黑体" w:eastAsia="黑体" w:cs="黑体"/>
          <w:sz w:val="30"/>
          <w:szCs w:val="30"/>
          <w:highlight w:val="none"/>
        </w:rPr>
      </w:pPr>
      <w:bookmarkStart w:id="179" w:name="_Toc18343"/>
      <w:bookmarkStart w:id="180" w:name="_Toc19064"/>
      <w:bookmarkStart w:id="181" w:name="_Toc8564"/>
      <w:bookmarkStart w:id="182" w:name="_Toc22102"/>
      <w:bookmarkStart w:id="183" w:name="_Toc526001182"/>
      <w:bookmarkStart w:id="184" w:name="_Toc28784"/>
      <w:bookmarkStart w:id="185" w:name="_Toc8476"/>
      <w:bookmarkStart w:id="186" w:name="_Toc17911"/>
      <w:bookmarkStart w:id="187" w:name="_Toc29254"/>
      <w:bookmarkStart w:id="188" w:name="_Toc526001213"/>
      <w:bookmarkStart w:id="189" w:name="_Toc10489"/>
      <w:r>
        <w:rPr>
          <w:rFonts w:hint="eastAsia" w:ascii="黑体" w:hAnsi="黑体" w:eastAsia="黑体" w:cs="黑体"/>
          <w:sz w:val="30"/>
          <w:szCs w:val="30"/>
          <w:highlight w:val="none"/>
        </w:rPr>
        <w:t>产品组装服务要求</w:t>
      </w:r>
      <w:bookmarkEnd w:id="179"/>
      <w:bookmarkEnd w:id="180"/>
      <w:bookmarkEnd w:id="181"/>
      <w:bookmarkEnd w:id="182"/>
      <w:bookmarkEnd w:id="183"/>
      <w:bookmarkEnd w:id="184"/>
    </w:p>
    <w:p w14:paraId="705544D3">
      <w:pPr>
        <w:pStyle w:val="3"/>
        <w:numPr>
          <w:ilvl w:val="255"/>
          <w:numId w:val="0"/>
        </w:numPr>
        <w:spacing w:before="0" w:after="0" w:line="400" w:lineRule="exact"/>
        <w:rPr>
          <w:rFonts w:ascii="Times New Roman" w:hAnsi="Times New Roman" w:eastAsia="黑体"/>
          <w:sz w:val="24"/>
          <w:szCs w:val="24"/>
          <w:highlight w:val="none"/>
        </w:rPr>
      </w:pPr>
      <w:bookmarkStart w:id="190" w:name="_Toc505241170"/>
      <w:bookmarkStart w:id="191" w:name="_Toc526001197"/>
      <w:bookmarkStart w:id="192" w:name="_Toc3110"/>
      <w:r>
        <w:rPr>
          <w:rFonts w:hint="eastAsia" w:ascii="Times New Roman" w:hAnsi="Times New Roman" w:eastAsia="黑体"/>
          <w:sz w:val="24"/>
          <w:szCs w:val="24"/>
          <w:highlight w:val="none"/>
        </w:rPr>
        <w:t>2</w:t>
      </w:r>
      <w:r>
        <w:rPr>
          <w:rFonts w:ascii="Times New Roman" w:hAnsi="Times New Roman" w:eastAsia="黑体"/>
          <w:sz w:val="24"/>
          <w:szCs w:val="24"/>
          <w:highlight w:val="none"/>
        </w:rPr>
        <w:t>.</w:t>
      </w:r>
      <w:r>
        <w:rPr>
          <w:rFonts w:hint="eastAsia" w:ascii="Times New Roman" w:hAnsi="Times New Roman" w:eastAsia="黑体"/>
          <w:sz w:val="24"/>
          <w:szCs w:val="24"/>
          <w:highlight w:val="none"/>
        </w:rPr>
        <w:t>1</w:t>
      </w:r>
      <w:r>
        <w:rPr>
          <w:rFonts w:ascii="Times New Roman" w:hAnsi="Times New Roman" w:eastAsia="黑体"/>
          <w:sz w:val="24"/>
          <w:szCs w:val="24"/>
          <w:highlight w:val="none"/>
        </w:rPr>
        <w:t xml:space="preserve"> </w:t>
      </w:r>
      <w:bookmarkEnd w:id="190"/>
      <w:bookmarkEnd w:id="191"/>
      <w:r>
        <w:rPr>
          <w:rFonts w:hint="eastAsia" w:ascii="Times New Roman" w:hAnsi="Times New Roman" w:eastAsia="黑体"/>
          <w:sz w:val="24"/>
          <w:szCs w:val="24"/>
          <w:highlight w:val="none"/>
        </w:rPr>
        <w:t>外观结构要求</w:t>
      </w:r>
      <w:bookmarkEnd w:id="192"/>
    </w:p>
    <w:p w14:paraId="7B79F953">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1）组件的</w:t>
      </w:r>
      <w:r>
        <w:rPr>
          <w:rFonts w:hint="eastAsia" w:ascii="Times New Roman" w:hAnsi="Times New Roman" w:cs="Times New Roman"/>
          <w:sz w:val="21"/>
          <w:szCs w:val="21"/>
          <w:highlight w:val="none"/>
          <w:lang w:val="zh-CN" w:eastAsia="zh-CN" w:bidi="ar-SA"/>
        </w:rPr>
        <w:t>设计和结构应能保证在正常条件下正常工作时不至引起任何危险。尤其应确保：</w:t>
      </w:r>
    </w:p>
    <w:p w14:paraId="078561CC">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2）</w:t>
      </w:r>
      <w:r>
        <w:rPr>
          <w:rFonts w:hint="eastAsia" w:ascii="Times New Roman" w:hAnsi="Times New Roman" w:cs="Times New Roman"/>
          <w:sz w:val="21"/>
          <w:szCs w:val="21"/>
          <w:highlight w:val="none"/>
          <w:lang w:val="zh-CN" w:eastAsia="zh-CN" w:bidi="ar-SA"/>
        </w:rPr>
        <w:t>防爆炸的人身安全；防电击的人身安全；防过高温影响的人身安全；防火焰蔓延的安全；防固体异物；在正常工作条件下易受腐蚀的所有部件应予以有效防护；在正常工作条件下，任何防护层不应由于一般的操作而引起损坏，也不应由于在空气中暴露而受损。</w:t>
      </w:r>
    </w:p>
    <w:p w14:paraId="43EDE26A">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3）装置</w:t>
      </w:r>
      <w:r>
        <w:rPr>
          <w:rFonts w:hint="eastAsia" w:ascii="Times New Roman" w:hAnsi="Times New Roman" w:cs="Times New Roman"/>
          <w:sz w:val="21"/>
          <w:szCs w:val="21"/>
          <w:highlight w:val="none"/>
          <w:lang w:val="zh-CN" w:eastAsia="zh-CN" w:bidi="ar-SA"/>
        </w:rPr>
        <w:t>应有足够的机械强度，并能承受在正常工作条件下可能出现的高温和低温。</w:t>
      </w:r>
    </w:p>
    <w:p w14:paraId="1D5CACD4">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4）</w:t>
      </w:r>
      <w:r>
        <w:rPr>
          <w:rFonts w:hint="eastAsia" w:ascii="Times New Roman" w:hAnsi="Times New Roman" w:cs="Times New Roman"/>
          <w:sz w:val="21"/>
          <w:szCs w:val="21"/>
          <w:highlight w:val="none"/>
          <w:lang w:val="zh-CN" w:eastAsia="zh-CN" w:bidi="ar-SA"/>
        </w:rPr>
        <w:t>部件应可靠地紧固并确保免于松动。</w:t>
      </w:r>
    </w:p>
    <w:p w14:paraId="5E0D89F6">
      <w:pPr>
        <w:pStyle w:val="371"/>
        <w:tabs>
          <w:tab w:val="left" w:pos="614"/>
        </w:tabs>
        <w:spacing w:line="470" w:lineRule="exact"/>
        <w:ind w:firstLine="420" w:firstLineChars="200"/>
        <w:jc w:val="left"/>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5）装置</w:t>
      </w:r>
      <w:r>
        <w:rPr>
          <w:rFonts w:hint="eastAsia" w:ascii="Times New Roman" w:hAnsi="Times New Roman" w:cs="Times New Roman"/>
          <w:sz w:val="21"/>
          <w:szCs w:val="21"/>
          <w:highlight w:val="none"/>
          <w:lang w:val="zh-CN" w:eastAsia="zh-CN" w:bidi="ar-SA"/>
        </w:rPr>
        <w:t>结构应使由于布线、螺钉等偶然松动引起的带电部位与可触及导电部件之间绝缘短路的危险达到最小。</w:t>
      </w:r>
    </w:p>
    <w:p w14:paraId="608A31D5">
      <w:pPr>
        <w:pStyle w:val="3"/>
        <w:numPr>
          <w:ilvl w:val="255"/>
          <w:numId w:val="0"/>
        </w:numPr>
        <w:spacing w:before="0" w:after="0" w:line="400" w:lineRule="exact"/>
        <w:rPr>
          <w:rFonts w:ascii="Times New Roman" w:hAnsi="Times New Roman" w:eastAsia="黑体"/>
          <w:sz w:val="24"/>
          <w:szCs w:val="24"/>
          <w:highlight w:val="none"/>
        </w:rPr>
      </w:pPr>
      <w:bookmarkStart w:id="193" w:name="_Toc30165"/>
      <w:bookmarkStart w:id="194" w:name="bookmark174"/>
      <w:r>
        <w:rPr>
          <w:rFonts w:hint="eastAsia" w:ascii="Times New Roman" w:hAnsi="Times New Roman" w:eastAsia="黑体"/>
          <w:sz w:val="24"/>
          <w:szCs w:val="24"/>
          <w:highlight w:val="none"/>
        </w:rPr>
        <w:t xml:space="preserve">2.2 </w:t>
      </w:r>
      <w:bookmarkStart w:id="195" w:name="_Toc19098"/>
      <w:bookmarkStart w:id="196" w:name="_Toc26763"/>
      <w:r>
        <w:rPr>
          <w:rFonts w:hint="eastAsia" w:ascii="Times New Roman" w:hAnsi="Times New Roman" w:eastAsia="黑体"/>
          <w:sz w:val="24"/>
          <w:szCs w:val="24"/>
          <w:highlight w:val="none"/>
        </w:rPr>
        <w:t>外壳材质及其防护性能</w:t>
      </w:r>
      <w:bookmarkEnd w:id="193"/>
      <w:bookmarkEnd w:id="195"/>
      <w:bookmarkEnd w:id="196"/>
    </w:p>
    <w:bookmarkEnd w:id="194"/>
    <w:p w14:paraId="6477A563">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装置应有足够的强度，外物撞击造成的变形应不影响其正常工作，外露金属紧固件应有防锈镀层。</w:t>
      </w:r>
      <w:r>
        <w:rPr>
          <w:rFonts w:hint="eastAsia" w:ascii="Times New Roman" w:hAnsi="Times New Roman" w:cs="Times New Roman"/>
          <w:sz w:val="21"/>
          <w:szCs w:val="21"/>
          <w:highlight w:val="none"/>
          <w:lang w:val="zh-CN" w:eastAsia="zh-CN" w:bidi="ar-SA"/>
        </w:rPr>
        <w:t>室外</w:t>
      </w:r>
      <w:r>
        <w:rPr>
          <w:rFonts w:hint="eastAsia" w:ascii="Times New Roman" w:hAnsi="Times New Roman" w:cs="Times New Roman"/>
          <w:sz w:val="21"/>
          <w:szCs w:val="21"/>
          <w:highlight w:val="none"/>
          <w:lang w:val="en-US" w:eastAsia="zh-CN" w:bidi="ar-SA"/>
        </w:rPr>
        <w:t>使用外壳</w:t>
      </w:r>
      <w:r>
        <w:rPr>
          <w:rFonts w:hint="eastAsia" w:ascii="Times New Roman" w:hAnsi="Times New Roman" w:cs="Times New Roman"/>
          <w:sz w:val="21"/>
          <w:szCs w:val="21"/>
          <w:highlight w:val="none"/>
          <w:lang w:val="zh-CN" w:eastAsia="zh-CN" w:bidi="ar-SA"/>
        </w:rPr>
        <w:t>，</w:t>
      </w:r>
      <w:r>
        <w:rPr>
          <w:rFonts w:hint="eastAsia" w:ascii="Times New Roman" w:hAnsi="Times New Roman" w:cs="Times New Roman"/>
          <w:sz w:val="21"/>
          <w:szCs w:val="21"/>
          <w:highlight w:val="none"/>
          <w:lang w:val="en-US" w:eastAsia="zh-CN" w:bidi="ar-SA"/>
        </w:rPr>
        <w:t>应</w:t>
      </w:r>
      <w:r>
        <w:rPr>
          <w:rFonts w:hint="eastAsia" w:ascii="Times New Roman" w:hAnsi="Times New Roman" w:cs="Times New Roman"/>
          <w:sz w:val="21"/>
          <w:szCs w:val="21"/>
          <w:highlight w:val="none"/>
          <w:lang w:val="zh-CN" w:eastAsia="zh-CN" w:bidi="ar-SA"/>
        </w:rPr>
        <w:t>防锈</w:t>
      </w:r>
      <w:r>
        <w:rPr>
          <w:rFonts w:hint="eastAsia" w:ascii="Times New Roman" w:hAnsi="Times New Roman" w:cs="Times New Roman"/>
          <w:sz w:val="21"/>
          <w:szCs w:val="21"/>
          <w:highlight w:val="none"/>
          <w:lang w:val="en-US" w:eastAsia="zh-CN" w:bidi="ar-SA"/>
        </w:rPr>
        <w:t>防尘</w:t>
      </w:r>
      <w:r>
        <w:rPr>
          <w:rFonts w:hint="eastAsia" w:ascii="Times New Roman" w:hAnsi="Times New Roman" w:cs="Times New Roman"/>
          <w:sz w:val="21"/>
          <w:szCs w:val="21"/>
          <w:highlight w:val="none"/>
          <w:lang w:val="zh-CN" w:eastAsia="zh-CN" w:bidi="ar-SA"/>
        </w:rPr>
        <w:t>防水。</w:t>
      </w:r>
    </w:p>
    <w:p w14:paraId="586029CD">
      <w:pPr>
        <w:pStyle w:val="3"/>
        <w:numPr>
          <w:ilvl w:val="255"/>
          <w:numId w:val="0"/>
        </w:numPr>
        <w:spacing w:before="0" w:after="0" w:line="400" w:lineRule="exact"/>
        <w:rPr>
          <w:rFonts w:ascii="Times New Roman" w:hAnsi="Times New Roman" w:eastAsia="黑体"/>
          <w:sz w:val="24"/>
          <w:szCs w:val="24"/>
          <w:highlight w:val="none"/>
        </w:rPr>
      </w:pPr>
      <w:bookmarkStart w:id="197" w:name="_Toc7680"/>
      <w:bookmarkStart w:id="198" w:name="bookmark182"/>
      <w:r>
        <w:rPr>
          <w:rFonts w:hint="eastAsia" w:ascii="Times New Roman" w:hAnsi="Times New Roman" w:eastAsia="黑体"/>
          <w:sz w:val="24"/>
          <w:szCs w:val="24"/>
          <w:highlight w:val="none"/>
        </w:rPr>
        <w:t xml:space="preserve">2.3 </w:t>
      </w:r>
      <w:bookmarkStart w:id="199" w:name="_Toc21575"/>
      <w:bookmarkStart w:id="200" w:name="_Toc31788"/>
      <w:r>
        <w:rPr>
          <w:rFonts w:hint="eastAsia" w:ascii="Times New Roman" w:hAnsi="Times New Roman" w:eastAsia="黑体"/>
          <w:sz w:val="24"/>
          <w:szCs w:val="24"/>
          <w:highlight w:val="none"/>
        </w:rPr>
        <w:t>电气间隙和爬电距离</w:t>
      </w:r>
      <w:bookmarkEnd w:id="197"/>
      <w:bookmarkEnd w:id="199"/>
      <w:bookmarkEnd w:id="200"/>
    </w:p>
    <w:bookmarkEnd w:id="198"/>
    <w:p w14:paraId="2923F5FD">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zh-CN" w:eastAsia="zh-CN" w:bidi="ar-SA"/>
        </w:rPr>
        <w:t>裸露的带电部分对地和对其它带电部分之间，以及出线端子螺钉对金属盖板之间应具有</w:t>
      </w:r>
      <w:r>
        <w:rPr>
          <w:rFonts w:hint="eastAsia" w:ascii="Times New Roman" w:hAnsi="Times New Roman" w:cs="Times New Roman"/>
          <w:sz w:val="21"/>
          <w:szCs w:val="21"/>
          <w:highlight w:val="none"/>
          <w:lang w:val="en-US" w:eastAsia="zh-CN" w:bidi="ar-SA"/>
        </w:rPr>
        <w:t>表3</w:t>
      </w:r>
      <w:r>
        <w:rPr>
          <w:rFonts w:hint="eastAsia" w:ascii="Times New Roman" w:hAnsi="Times New Roman" w:cs="Times New Roman"/>
          <w:sz w:val="21"/>
          <w:szCs w:val="21"/>
          <w:highlight w:val="none"/>
          <w:lang w:val="zh-CN" w:eastAsia="zh-CN" w:bidi="ar-SA"/>
        </w:rPr>
        <w:t>规定的最小电气间隙和爬电距离。</w:t>
      </w:r>
    </w:p>
    <w:p w14:paraId="0EA1A146">
      <w:pPr>
        <w:pStyle w:val="336"/>
        <w:numPr>
          <w:ilvl w:val="0"/>
          <w:numId w:val="46"/>
        </w:numPr>
        <w:tabs>
          <w:tab w:val="clear" w:pos="678"/>
        </w:tabs>
        <w:spacing w:before="156" w:beforeLines="50" w:after="156" w:afterLines="50"/>
        <w:rPr>
          <w:rFonts w:eastAsia="宋体"/>
          <w:szCs w:val="22"/>
          <w:highlight w:val="none"/>
          <w:lang w:val="zh-CN"/>
        </w:rPr>
      </w:pPr>
      <w:r>
        <w:rPr>
          <w:rFonts w:hint="eastAsia" w:eastAsia="宋体"/>
          <w:szCs w:val="22"/>
          <w:highlight w:val="none"/>
          <w:lang w:val="zh-CN"/>
        </w:rPr>
        <w:t>电气间隙及爬电距离</w:t>
      </w:r>
    </w:p>
    <w:tbl>
      <w:tblPr>
        <w:tblStyle w:val="5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957"/>
        <w:gridCol w:w="732"/>
        <w:gridCol w:w="771"/>
        <w:gridCol w:w="1503"/>
      </w:tblGrid>
      <w:tr w14:paraId="083563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0" w:type="auto"/>
            <w:vMerge w:val="restart"/>
            <w:vAlign w:val="center"/>
          </w:tcPr>
          <w:p w14:paraId="7C82081F">
            <w:pPr>
              <w:topLinePunct/>
              <w:snapToGrid w:val="0"/>
              <w:spacing w:line="240" w:lineRule="auto"/>
              <w:jc w:val="center"/>
              <w:rPr>
                <w:szCs w:val="21"/>
                <w:highlight w:val="none"/>
              </w:rPr>
            </w:pPr>
            <w:r>
              <w:rPr>
                <w:szCs w:val="21"/>
                <w:highlight w:val="none"/>
              </w:rPr>
              <w:t>额定绝缘电压（交流有效值）</w:t>
            </w:r>
          </w:p>
          <w:p w14:paraId="47E57AF0">
            <w:pPr>
              <w:topLinePunct/>
              <w:snapToGrid w:val="0"/>
              <w:spacing w:line="240" w:lineRule="auto"/>
              <w:jc w:val="center"/>
              <w:rPr>
                <w:szCs w:val="21"/>
                <w:highlight w:val="none"/>
              </w:rPr>
            </w:pPr>
            <w:r>
              <w:rPr>
                <w:rFonts w:hint="eastAsia"/>
                <w:szCs w:val="21"/>
                <w:highlight w:val="none"/>
              </w:rPr>
              <w:t>（单位：</w:t>
            </w:r>
            <w:r>
              <w:rPr>
                <w:szCs w:val="21"/>
                <w:highlight w:val="none"/>
              </w:rPr>
              <w:t>V</w:t>
            </w:r>
            <w:r>
              <w:rPr>
                <w:rFonts w:hint="eastAsia"/>
                <w:szCs w:val="21"/>
                <w:highlight w:val="none"/>
              </w:rPr>
              <w:t>）</w:t>
            </w:r>
          </w:p>
        </w:tc>
        <w:tc>
          <w:tcPr>
            <w:tcW w:w="0" w:type="auto"/>
            <w:gridSpan w:val="2"/>
            <w:vAlign w:val="center"/>
          </w:tcPr>
          <w:p w14:paraId="4A38B68D">
            <w:pPr>
              <w:topLinePunct/>
              <w:snapToGrid w:val="0"/>
              <w:spacing w:line="240" w:lineRule="auto"/>
              <w:jc w:val="center"/>
              <w:rPr>
                <w:szCs w:val="21"/>
                <w:highlight w:val="none"/>
              </w:rPr>
            </w:pPr>
            <w:r>
              <w:rPr>
                <w:szCs w:val="21"/>
                <w:highlight w:val="none"/>
              </w:rPr>
              <w:t>最小电气间隙</w:t>
            </w:r>
          </w:p>
          <w:p w14:paraId="426C9F64">
            <w:pPr>
              <w:topLinePunct/>
              <w:snapToGrid w:val="0"/>
              <w:spacing w:line="240" w:lineRule="auto"/>
              <w:jc w:val="center"/>
              <w:rPr>
                <w:szCs w:val="21"/>
                <w:highlight w:val="none"/>
              </w:rPr>
            </w:pPr>
            <w:r>
              <w:rPr>
                <w:szCs w:val="21"/>
                <w:highlight w:val="none"/>
              </w:rPr>
              <w:t>（</w:t>
            </w:r>
            <w:r>
              <w:rPr>
                <w:rFonts w:hint="eastAsia"/>
                <w:szCs w:val="21"/>
                <w:highlight w:val="none"/>
              </w:rPr>
              <w:t>单位：</w:t>
            </w:r>
            <w:r>
              <w:rPr>
                <w:szCs w:val="21"/>
                <w:highlight w:val="none"/>
              </w:rPr>
              <w:t>mm）</w:t>
            </w:r>
          </w:p>
        </w:tc>
        <w:tc>
          <w:tcPr>
            <w:tcW w:w="0" w:type="auto"/>
            <w:vMerge w:val="restart"/>
            <w:vAlign w:val="center"/>
          </w:tcPr>
          <w:p w14:paraId="520180FE">
            <w:pPr>
              <w:topLinePunct/>
              <w:snapToGrid w:val="0"/>
              <w:spacing w:line="240" w:lineRule="auto"/>
              <w:jc w:val="center"/>
              <w:rPr>
                <w:szCs w:val="21"/>
                <w:highlight w:val="none"/>
              </w:rPr>
            </w:pPr>
            <w:r>
              <w:rPr>
                <w:szCs w:val="21"/>
                <w:highlight w:val="none"/>
              </w:rPr>
              <w:t>最小爬电距离</w:t>
            </w:r>
          </w:p>
          <w:p w14:paraId="505A3CBF">
            <w:pPr>
              <w:topLinePunct/>
              <w:snapToGrid w:val="0"/>
              <w:spacing w:line="240" w:lineRule="auto"/>
              <w:jc w:val="center"/>
              <w:rPr>
                <w:szCs w:val="21"/>
                <w:highlight w:val="none"/>
              </w:rPr>
            </w:pPr>
            <w:r>
              <w:rPr>
                <w:szCs w:val="21"/>
                <w:highlight w:val="none"/>
              </w:rPr>
              <w:t>（</w:t>
            </w:r>
            <w:r>
              <w:rPr>
                <w:rFonts w:hint="eastAsia"/>
                <w:szCs w:val="21"/>
                <w:highlight w:val="none"/>
              </w:rPr>
              <w:t>单位：</w:t>
            </w:r>
            <w:r>
              <w:rPr>
                <w:szCs w:val="21"/>
                <w:highlight w:val="none"/>
              </w:rPr>
              <w:t>mm）</w:t>
            </w:r>
          </w:p>
        </w:tc>
      </w:tr>
      <w:tr w14:paraId="404C67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0" w:type="auto"/>
            <w:vMerge w:val="continue"/>
            <w:vAlign w:val="center"/>
          </w:tcPr>
          <w:p w14:paraId="180285B1">
            <w:pPr>
              <w:topLinePunct/>
              <w:snapToGrid w:val="0"/>
              <w:spacing w:line="240" w:lineRule="auto"/>
              <w:jc w:val="center"/>
              <w:rPr>
                <w:szCs w:val="21"/>
                <w:highlight w:val="none"/>
              </w:rPr>
            </w:pPr>
          </w:p>
        </w:tc>
        <w:tc>
          <w:tcPr>
            <w:tcW w:w="0" w:type="auto"/>
            <w:vAlign w:val="center"/>
          </w:tcPr>
          <w:p w14:paraId="50C9FA4C">
            <w:pPr>
              <w:topLinePunct/>
              <w:snapToGrid w:val="0"/>
              <w:spacing w:line="240" w:lineRule="auto"/>
              <w:jc w:val="center"/>
              <w:rPr>
                <w:szCs w:val="21"/>
                <w:highlight w:val="none"/>
              </w:rPr>
            </w:pPr>
            <w:r>
              <w:rPr>
                <w:szCs w:val="21"/>
                <w:highlight w:val="none"/>
              </w:rPr>
              <w:t>L－L</w:t>
            </w:r>
          </w:p>
        </w:tc>
        <w:tc>
          <w:tcPr>
            <w:tcW w:w="0" w:type="auto"/>
            <w:vAlign w:val="center"/>
          </w:tcPr>
          <w:p w14:paraId="65BDB346">
            <w:pPr>
              <w:topLinePunct/>
              <w:snapToGrid w:val="0"/>
              <w:spacing w:line="240" w:lineRule="auto"/>
              <w:jc w:val="center"/>
              <w:rPr>
                <w:szCs w:val="21"/>
                <w:highlight w:val="none"/>
              </w:rPr>
            </w:pPr>
            <w:r>
              <w:rPr>
                <w:szCs w:val="21"/>
                <w:highlight w:val="none"/>
              </w:rPr>
              <w:t>L－A</w:t>
            </w:r>
          </w:p>
        </w:tc>
        <w:tc>
          <w:tcPr>
            <w:tcW w:w="0" w:type="auto"/>
            <w:vMerge w:val="continue"/>
            <w:vAlign w:val="center"/>
          </w:tcPr>
          <w:p w14:paraId="18FD1969">
            <w:pPr>
              <w:topLinePunct/>
              <w:snapToGrid w:val="0"/>
              <w:spacing w:line="240" w:lineRule="auto"/>
              <w:jc w:val="center"/>
              <w:rPr>
                <w:szCs w:val="21"/>
                <w:highlight w:val="none"/>
              </w:rPr>
            </w:pPr>
          </w:p>
        </w:tc>
      </w:tr>
      <w:tr w14:paraId="14B04D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0" w:type="auto"/>
            <w:vAlign w:val="center"/>
          </w:tcPr>
          <w:p w14:paraId="0568C0AF">
            <w:pPr>
              <w:topLinePunct/>
              <w:snapToGrid w:val="0"/>
              <w:spacing w:line="240" w:lineRule="auto"/>
              <w:jc w:val="center"/>
              <w:rPr>
                <w:szCs w:val="21"/>
                <w:highlight w:val="none"/>
              </w:rPr>
            </w:pPr>
            <w:r>
              <w:rPr>
                <w:szCs w:val="21"/>
                <w:highlight w:val="none"/>
              </w:rPr>
              <w:t>U≤60</w:t>
            </w:r>
          </w:p>
        </w:tc>
        <w:tc>
          <w:tcPr>
            <w:tcW w:w="0" w:type="auto"/>
            <w:vAlign w:val="center"/>
          </w:tcPr>
          <w:p w14:paraId="41FF3704">
            <w:pPr>
              <w:topLinePunct/>
              <w:snapToGrid w:val="0"/>
              <w:spacing w:line="240" w:lineRule="auto"/>
              <w:jc w:val="center"/>
              <w:rPr>
                <w:szCs w:val="21"/>
                <w:highlight w:val="none"/>
              </w:rPr>
            </w:pPr>
            <w:r>
              <w:rPr>
                <w:szCs w:val="21"/>
                <w:highlight w:val="none"/>
              </w:rPr>
              <w:t>2</w:t>
            </w:r>
          </w:p>
        </w:tc>
        <w:tc>
          <w:tcPr>
            <w:tcW w:w="0" w:type="auto"/>
            <w:vAlign w:val="center"/>
          </w:tcPr>
          <w:p w14:paraId="48DD5828">
            <w:pPr>
              <w:topLinePunct/>
              <w:snapToGrid w:val="0"/>
              <w:spacing w:line="240" w:lineRule="auto"/>
              <w:jc w:val="center"/>
              <w:rPr>
                <w:szCs w:val="21"/>
                <w:highlight w:val="none"/>
              </w:rPr>
            </w:pPr>
            <w:r>
              <w:rPr>
                <w:szCs w:val="21"/>
                <w:highlight w:val="none"/>
              </w:rPr>
              <w:t>3</w:t>
            </w:r>
          </w:p>
        </w:tc>
        <w:tc>
          <w:tcPr>
            <w:tcW w:w="0" w:type="auto"/>
            <w:vAlign w:val="center"/>
          </w:tcPr>
          <w:p w14:paraId="1F4BE2A8">
            <w:pPr>
              <w:topLinePunct/>
              <w:snapToGrid w:val="0"/>
              <w:spacing w:line="240" w:lineRule="auto"/>
              <w:jc w:val="center"/>
              <w:rPr>
                <w:szCs w:val="21"/>
                <w:highlight w:val="none"/>
              </w:rPr>
            </w:pPr>
            <w:r>
              <w:rPr>
                <w:szCs w:val="21"/>
                <w:highlight w:val="none"/>
              </w:rPr>
              <w:t>3.6</w:t>
            </w:r>
          </w:p>
        </w:tc>
      </w:tr>
      <w:tr w14:paraId="308CC9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0" w:type="auto"/>
            <w:vAlign w:val="center"/>
          </w:tcPr>
          <w:p w14:paraId="23B95CF7">
            <w:pPr>
              <w:topLinePunct/>
              <w:snapToGrid w:val="0"/>
              <w:spacing w:line="240" w:lineRule="auto"/>
              <w:jc w:val="center"/>
              <w:rPr>
                <w:szCs w:val="21"/>
                <w:highlight w:val="none"/>
              </w:rPr>
            </w:pPr>
            <w:r>
              <w:rPr>
                <w:szCs w:val="21"/>
                <w:highlight w:val="none"/>
              </w:rPr>
              <w:t>60＜U≤250</w:t>
            </w:r>
          </w:p>
        </w:tc>
        <w:tc>
          <w:tcPr>
            <w:tcW w:w="0" w:type="auto"/>
            <w:vAlign w:val="center"/>
          </w:tcPr>
          <w:p w14:paraId="18B5B4ED">
            <w:pPr>
              <w:topLinePunct/>
              <w:snapToGrid w:val="0"/>
              <w:spacing w:line="240" w:lineRule="auto"/>
              <w:jc w:val="center"/>
              <w:rPr>
                <w:szCs w:val="21"/>
                <w:highlight w:val="none"/>
              </w:rPr>
            </w:pPr>
            <w:r>
              <w:rPr>
                <w:szCs w:val="21"/>
                <w:highlight w:val="none"/>
              </w:rPr>
              <w:t>3</w:t>
            </w:r>
          </w:p>
        </w:tc>
        <w:tc>
          <w:tcPr>
            <w:tcW w:w="0" w:type="auto"/>
            <w:vAlign w:val="center"/>
          </w:tcPr>
          <w:p w14:paraId="30619444">
            <w:pPr>
              <w:topLinePunct/>
              <w:snapToGrid w:val="0"/>
              <w:spacing w:line="240" w:lineRule="auto"/>
              <w:jc w:val="center"/>
              <w:rPr>
                <w:szCs w:val="21"/>
                <w:highlight w:val="none"/>
              </w:rPr>
            </w:pPr>
            <w:r>
              <w:rPr>
                <w:szCs w:val="21"/>
                <w:highlight w:val="none"/>
              </w:rPr>
              <w:t>5</w:t>
            </w:r>
          </w:p>
        </w:tc>
        <w:tc>
          <w:tcPr>
            <w:tcW w:w="0" w:type="auto"/>
            <w:vAlign w:val="center"/>
          </w:tcPr>
          <w:p w14:paraId="1DE03317">
            <w:pPr>
              <w:topLinePunct/>
              <w:snapToGrid w:val="0"/>
              <w:spacing w:line="240" w:lineRule="auto"/>
              <w:jc w:val="center"/>
              <w:rPr>
                <w:szCs w:val="21"/>
                <w:highlight w:val="none"/>
              </w:rPr>
            </w:pPr>
            <w:r>
              <w:rPr>
                <w:szCs w:val="21"/>
                <w:highlight w:val="none"/>
              </w:rPr>
              <w:t>8</w:t>
            </w:r>
          </w:p>
        </w:tc>
      </w:tr>
      <w:tr w14:paraId="13B1C3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0" w:type="auto"/>
            <w:vAlign w:val="center"/>
          </w:tcPr>
          <w:p w14:paraId="793621F8">
            <w:pPr>
              <w:topLinePunct/>
              <w:snapToGrid w:val="0"/>
              <w:spacing w:line="240" w:lineRule="auto"/>
              <w:jc w:val="center"/>
              <w:rPr>
                <w:szCs w:val="21"/>
                <w:highlight w:val="none"/>
              </w:rPr>
            </w:pPr>
            <w:r>
              <w:rPr>
                <w:szCs w:val="21"/>
                <w:highlight w:val="none"/>
              </w:rPr>
              <w:t>250＜U≤500</w:t>
            </w:r>
          </w:p>
        </w:tc>
        <w:tc>
          <w:tcPr>
            <w:tcW w:w="0" w:type="auto"/>
            <w:vAlign w:val="center"/>
          </w:tcPr>
          <w:p w14:paraId="50F556F5">
            <w:pPr>
              <w:topLinePunct/>
              <w:snapToGrid w:val="0"/>
              <w:spacing w:line="240" w:lineRule="auto"/>
              <w:jc w:val="center"/>
              <w:rPr>
                <w:szCs w:val="21"/>
                <w:highlight w:val="none"/>
              </w:rPr>
            </w:pPr>
            <w:r>
              <w:rPr>
                <w:szCs w:val="21"/>
                <w:highlight w:val="none"/>
              </w:rPr>
              <w:t>4</w:t>
            </w:r>
          </w:p>
        </w:tc>
        <w:tc>
          <w:tcPr>
            <w:tcW w:w="0" w:type="auto"/>
            <w:vAlign w:val="center"/>
          </w:tcPr>
          <w:p w14:paraId="33C76E1E">
            <w:pPr>
              <w:topLinePunct/>
              <w:snapToGrid w:val="0"/>
              <w:spacing w:line="240" w:lineRule="auto"/>
              <w:jc w:val="center"/>
              <w:rPr>
                <w:szCs w:val="21"/>
                <w:highlight w:val="none"/>
              </w:rPr>
            </w:pPr>
            <w:r>
              <w:rPr>
                <w:szCs w:val="21"/>
                <w:highlight w:val="none"/>
              </w:rPr>
              <w:t>6</w:t>
            </w:r>
          </w:p>
        </w:tc>
        <w:tc>
          <w:tcPr>
            <w:tcW w:w="0" w:type="auto"/>
            <w:vAlign w:val="center"/>
          </w:tcPr>
          <w:p w14:paraId="7A25565D">
            <w:pPr>
              <w:topLinePunct/>
              <w:snapToGrid w:val="0"/>
              <w:spacing w:line="240" w:lineRule="auto"/>
              <w:jc w:val="center"/>
              <w:rPr>
                <w:szCs w:val="21"/>
                <w:highlight w:val="none"/>
              </w:rPr>
            </w:pPr>
            <w:r>
              <w:rPr>
                <w:szCs w:val="21"/>
                <w:highlight w:val="none"/>
              </w:rPr>
              <w:t>16</w:t>
            </w:r>
          </w:p>
        </w:tc>
      </w:tr>
      <w:tr w14:paraId="617D7A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0" w:type="auto"/>
            <w:gridSpan w:val="4"/>
            <w:vAlign w:val="center"/>
          </w:tcPr>
          <w:p w14:paraId="245881E5">
            <w:pPr>
              <w:topLinePunct/>
              <w:snapToGrid w:val="0"/>
              <w:spacing w:line="240" w:lineRule="auto"/>
              <w:ind w:firstLine="180"/>
              <w:rPr>
                <w:szCs w:val="21"/>
                <w:highlight w:val="none"/>
              </w:rPr>
            </w:pPr>
            <w:r>
              <w:rPr>
                <w:szCs w:val="21"/>
                <w:highlight w:val="none"/>
              </w:rPr>
              <w:t>注：1.  L―L表示两个带电部分之间的最小间隙；</w:t>
            </w:r>
          </w:p>
          <w:p w14:paraId="3602DC7C">
            <w:pPr>
              <w:topLinePunct/>
              <w:snapToGrid w:val="0"/>
              <w:spacing w:line="240" w:lineRule="auto"/>
              <w:ind w:firstLine="630" w:firstLineChars="300"/>
              <w:rPr>
                <w:szCs w:val="21"/>
                <w:highlight w:val="none"/>
              </w:rPr>
            </w:pPr>
            <w:r>
              <w:rPr>
                <w:szCs w:val="21"/>
                <w:highlight w:val="none"/>
              </w:rPr>
              <w:t>2.  L―A表示带电部分和裸露导电部件之间的最小间隙。</w:t>
            </w:r>
          </w:p>
        </w:tc>
      </w:tr>
    </w:tbl>
    <w:p w14:paraId="52381CD1">
      <w:pPr>
        <w:pStyle w:val="2"/>
        <w:numPr>
          <w:ilvl w:val="0"/>
          <w:numId w:val="33"/>
        </w:numPr>
        <w:tabs>
          <w:tab w:val="left" w:pos="425"/>
        </w:tabs>
        <w:spacing w:before="0" w:after="0" w:line="360" w:lineRule="auto"/>
        <w:ind w:firstLine="0"/>
        <w:rPr>
          <w:rFonts w:hint="eastAsia" w:ascii="黑体" w:hAnsi="黑体" w:eastAsia="黑体" w:cs="黑体"/>
          <w:sz w:val="30"/>
          <w:szCs w:val="30"/>
          <w:highlight w:val="none"/>
        </w:rPr>
      </w:pPr>
      <w:bookmarkStart w:id="201" w:name="_Toc25292"/>
      <w:r>
        <w:rPr>
          <w:rFonts w:hint="eastAsia" w:ascii="黑体" w:hAnsi="黑体" w:eastAsia="黑体" w:cs="黑体"/>
          <w:sz w:val="30"/>
          <w:szCs w:val="30"/>
          <w:highlight w:val="none"/>
        </w:rPr>
        <w:t>出厂试验</w:t>
      </w:r>
      <w:bookmarkEnd w:id="185"/>
      <w:bookmarkEnd w:id="186"/>
      <w:bookmarkEnd w:id="187"/>
      <w:bookmarkEnd w:id="188"/>
      <w:bookmarkEnd w:id="189"/>
      <w:bookmarkEnd w:id="201"/>
    </w:p>
    <w:p w14:paraId="4F9F1E86">
      <w:pPr>
        <w:pStyle w:val="28"/>
        <w:tabs>
          <w:tab w:val="left" w:pos="540"/>
        </w:tabs>
        <w:spacing w:line="400" w:lineRule="exact"/>
        <w:ind w:firstLine="420" w:firstLineChars="200"/>
        <w:rPr>
          <w:rFonts w:ascii="Times New Roman" w:hAnsi="Times New Roman"/>
          <w:szCs w:val="21"/>
          <w:highlight w:val="none"/>
        </w:rPr>
      </w:pPr>
      <w:bookmarkStart w:id="202" w:name="_Toc395186734"/>
      <w:bookmarkStart w:id="203" w:name="_Toc282993355"/>
      <w:bookmarkStart w:id="204" w:name="_Toc292025359"/>
      <w:r>
        <w:rPr>
          <w:rFonts w:hint="eastAsia" w:ascii="Times New Roman" w:hAnsi="Times New Roman"/>
          <w:szCs w:val="21"/>
          <w:highlight w:val="none"/>
        </w:rPr>
        <w:t>投标方应确认提供的设备满足标书要求，应向招标方提交设备详细的工厂验收大纲，该大纲至少应包括：试验日期、试验接线、试验项目、试验方法，以及测量仪器和仪表等。该大纲经联络会议讨论修改后，经招标方确认后执行。</w:t>
      </w:r>
    </w:p>
    <w:p w14:paraId="4407F657">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投标方应按本规范书的要求，向招标方提供工厂试验报告，有关设备的试验报告，同时提供设备的使用和测试说明书。</w:t>
      </w:r>
    </w:p>
    <w:p w14:paraId="094CEB70">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在工厂验收试验期间，投标方应向招标方参加试验的工作人员提供检查、测试和记录设备。</w:t>
      </w:r>
    </w:p>
    <w:p w14:paraId="3BA541D6">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招标方参加工厂验收试验的工作人员将不签署任何有关系统性能的证明书，招标方参加工厂验收试验并不意味着解除投标方保证系统质量的责任，也不能代替设备到现场后的检查和测试。</w:t>
      </w:r>
    </w:p>
    <w:p w14:paraId="729E4871">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工厂验收试验在工厂试验的基础上进行，主要根据规范书要求进行系统的功能和性能试验，以便确认。</w:t>
      </w:r>
    </w:p>
    <w:p w14:paraId="3F95F9F5">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工厂验收试验应包括系统性能试验、功能试验和稳定试验。</w:t>
      </w:r>
    </w:p>
    <w:p w14:paraId="330B03D2">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工厂验收试验要有完整、且双方签字的试验报告。</w:t>
      </w:r>
    </w:p>
    <w:p w14:paraId="514F858F">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完成所有工厂验收试验后，经招标方参加工厂验收试验人员认可后，设备可以装运至现场。</w:t>
      </w:r>
    </w:p>
    <w:p w14:paraId="6F39EDB0">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出厂试验报告至少应包括以下内容：</w:t>
      </w:r>
    </w:p>
    <w:p w14:paraId="3C82966F">
      <w:pPr>
        <w:pStyle w:val="28"/>
        <w:numPr>
          <w:ilvl w:val="8"/>
          <w:numId w:val="47"/>
        </w:numPr>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一般上电运行试验；</w:t>
      </w:r>
    </w:p>
    <w:p w14:paraId="2810CE7F">
      <w:pPr>
        <w:pStyle w:val="28"/>
        <w:numPr>
          <w:ilvl w:val="8"/>
          <w:numId w:val="47"/>
        </w:numPr>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电气量测量试验；</w:t>
      </w:r>
    </w:p>
    <w:p w14:paraId="2F88E7BF">
      <w:pPr>
        <w:pStyle w:val="28"/>
        <w:numPr>
          <w:ilvl w:val="8"/>
          <w:numId w:val="47"/>
        </w:numPr>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本地通信功能试验；</w:t>
      </w:r>
    </w:p>
    <w:p w14:paraId="614128E2">
      <w:pPr>
        <w:pStyle w:val="28"/>
        <w:numPr>
          <w:ilvl w:val="8"/>
          <w:numId w:val="47"/>
        </w:numPr>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默认参数配置功能试验。</w:t>
      </w:r>
    </w:p>
    <w:p w14:paraId="6F0635CB">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产品出厂之前，必须按照本技术规范进行出厂验收试验。全部出厂试验项目合格后才发放产品合格证。试验后如果有的项目不符合规范要求，必须返修合格后再发放产品合格证。</w:t>
      </w:r>
    </w:p>
    <w:bookmarkEnd w:id="202"/>
    <w:bookmarkEnd w:id="203"/>
    <w:bookmarkEnd w:id="204"/>
    <w:p w14:paraId="189FEC3D">
      <w:pPr>
        <w:pStyle w:val="2"/>
        <w:numPr>
          <w:ilvl w:val="0"/>
          <w:numId w:val="33"/>
        </w:numPr>
        <w:tabs>
          <w:tab w:val="left" w:pos="425"/>
        </w:tabs>
        <w:spacing w:before="0" w:after="0" w:line="360" w:lineRule="auto"/>
        <w:ind w:firstLine="0"/>
        <w:rPr>
          <w:rFonts w:hint="eastAsia" w:ascii="黑体" w:hAnsi="黑体" w:eastAsia="黑体" w:cs="黑体"/>
          <w:sz w:val="30"/>
          <w:szCs w:val="30"/>
          <w:highlight w:val="none"/>
        </w:rPr>
      </w:pPr>
      <w:bookmarkStart w:id="205" w:name="_Toc279695206"/>
      <w:bookmarkStart w:id="206" w:name="_Toc282433757"/>
      <w:bookmarkStart w:id="207" w:name="_Toc282993358"/>
      <w:bookmarkStart w:id="208" w:name="_Toc395186735"/>
      <w:bookmarkStart w:id="209" w:name="_Toc10137"/>
      <w:bookmarkStart w:id="210" w:name="_Toc292025360"/>
      <w:bookmarkStart w:id="211" w:name="_Toc13010"/>
      <w:bookmarkStart w:id="212" w:name="_Toc8506"/>
      <w:bookmarkStart w:id="213" w:name="_Toc526001218"/>
      <w:bookmarkStart w:id="214" w:name="_Toc414979380"/>
      <w:bookmarkStart w:id="215" w:name="_Toc28238"/>
      <w:bookmarkStart w:id="216" w:name="_Toc21939"/>
      <w:bookmarkStart w:id="217" w:name="_Toc387135655"/>
      <w:bookmarkStart w:id="218" w:name="_Toc398755366"/>
      <w:bookmarkStart w:id="219" w:name="_Toc408406121"/>
      <w:r>
        <w:rPr>
          <w:rFonts w:hint="eastAsia" w:ascii="黑体" w:hAnsi="黑体" w:eastAsia="黑体" w:cs="黑体"/>
          <w:sz w:val="30"/>
          <w:szCs w:val="30"/>
          <w:highlight w:val="none"/>
        </w:rPr>
        <w:t>技术文件</w:t>
      </w:r>
      <w:bookmarkEnd w:id="205"/>
      <w:bookmarkEnd w:id="206"/>
      <w:bookmarkEnd w:id="207"/>
      <w:r>
        <w:rPr>
          <w:rFonts w:hint="eastAsia" w:ascii="黑体" w:hAnsi="黑体" w:eastAsia="黑体" w:cs="黑体"/>
          <w:sz w:val="30"/>
          <w:szCs w:val="30"/>
          <w:highlight w:val="none"/>
        </w:rPr>
        <w:t>要求</w:t>
      </w:r>
      <w:bookmarkEnd w:id="208"/>
      <w:bookmarkEnd w:id="209"/>
      <w:bookmarkEnd w:id="210"/>
      <w:bookmarkEnd w:id="211"/>
      <w:bookmarkEnd w:id="212"/>
      <w:bookmarkEnd w:id="213"/>
      <w:bookmarkEnd w:id="214"/>
      <w:bookmarkEnd w:id="215"/>
      <w:bookmarkEnd w:id="216"/>
    </w:p>
    <w:p w14:paraId="708E1380">
      <w:pPr>
        <w:spacing w:line="400" w:lineRule="exact"/>
        <w:ind w:firstLine="420" w:firstLineChars="200"/>
        <w:rPr>
          <w:rFonts w:ascii="Times New Roman" w:hAnsi="Times New Roman"/>
          <w:szCs w:val="21"/>
          <w:highlight w:val="none"/>
        </w:rPr>
      </w:pPr>
      <w:bookmarkStart w:id="220" w:name="_Toc395186736"/>
      <w:bookmarkStart w:id="221" w:name="_Toc292025361"/>
      <w:r>
        <w:rPr>
          <w:rFonts w:hint="eastAsia" w:ascii="Times New Roman" w:hAnsi="Times New Roman"/>
          <w:szCs w:val="21"/>
          <w:highlight w:val="none"/>
        </w:rPr>
        <w:t>投标方应承诺在签订合同后提供以下所列（但不限于下列资料、图纸、文件，投标方应承诺提供招标方提出的所有所需资料、图纸、安装、运维使用）的图纸、资料、文件纸质版</w:t>
      </w:r>
      <w:r>
        <w:rPr>
          <w:rFonts w:ascii="Times New Roman" w:hAnsi="Times New Roman"/>
          <w:szCs w:val="21"/>
          <w:highlight w:val="none"/>
        </w:rPr>
        <w:t>6</w:t>
      </w:r>
      <w:r>
        <w:rPr>
          <w:rFonts w:hint="eastAsia" w:ascii="Times New Roman" w:hAnsi="Times New Roman"/>
          <w:szCs w:val="21"/>
          <w:highlight w:val="none"/>
        </w:rPr>
        <w:t>套，电子版光盘</w:t>
      </w:r>
      <w:r>
        <w:rPr>
          <w:rFonts w:ascii="Times New Roman" w:hAnsi="Times New Roman"/>
          <w:szCs w:val="21"/>
          <w:highlight w:val="none"/>
        </w:rPr>
        <w:t>2</w:t>
      </w:r>
      <w:r>
        <w:rPr>
          <w:rFonts w:hint="eastAsia" w:ascii="Times New Roman" w:hAnsi="Times New Roman"/>
          <w:szCs w:val="21"/>
          <w:highlight w:val="none"/>
        </w:rPr>
        <w:t>套（含</w:t>
      </w:r>
      <w:r>
        <w:rPr>
          <w:rFonts w:ascii="Times New Roman" w:hAnsi="Times New Roman"/>
          <w:szCs w:val="21"/>
          <w:highlight w:val="none"/>
        </w:rPr>
        <w:t>AutoCAD</w:t>
      </w:r>
      <w:r>
        <w:rPr>
          <w:rFonts w:hint="eastAsia" w:ascii="Times New Roman" w:hAnsi="Times New Roman"/>
          <w:szCs w:val="21"/>
          <w:highlight w:val="none"/>
        </w:rPr>
        <w:t>图）。</w:t>
      </w:r>
    </w:p>
    <w:p w14:paraId="211F35A4">
      <w:pPr>
        <w:pStyle w:val="28"/>
        <w:tabs>
          <w:tab w:val="left" w:pos="540"/>
        </w:tabs>
        <w:spacing w:line="400" w:lineRule="exact"/>
        <w:ind w:firstLine="422" w:firstLineChars="200"/>
        <w:rPr>
          <w:rFonts w:ascii="Times New Roman" w:hAnsi="Times New Roman"/>
          <w:b/>
          <w:bCs/>
          <w:szCs w:val="21"/>
          <w:highlight w:val="none"/>
        </w:rPr>
      </w:pPr>
      <w:bookmarkStart w:id="222" w:name="_Toc291861352"/>
      <w:bookmarkStart w:id="223" w:name="_Toc526001219"/>
      <w:bookmarkStart w:id="224" w:name="_Toc282433722"/>
      <w:bookmarkStart w:id="225" w:name="_Toc406435852"/>
      <w:bookmarkStart w:id="226" w:name="_Toc505241230"/>
      <w:bookmarkStart w:id="227" w:name="_Toc363628049"/>
      <w:r>
        <w:rPr>
          <w:rFonts w:hint="eastAsia" w:ascii="Times New Roman" w:hAnsi="Times New Roman"/>
          <w:b/>
          <w:bCs/>
          <w:szCs w:val="21"/>
          <w:highlight w:val="none"/>
        </w:rPr>
        <w:t>图纸资料</w:t>
      </w:r>
      <w:bookmarkEnd w:id="222"/>
      <w:bookmarkEnd w:id="223"/>
      <w:bookmarkEnd w:id="224"/>
      <w:bookmarkEnd w:id="225"/>
      <w:bookmarkEnd w:id="226"/>
      <w:bookmarkEnd w:id="227"/>
    </w:p>
    <w:p w14:paraId="67C44194">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产品技术原理图、接线图。</w:t>
      </w:r>
    </w:p>
    <w:p w14:paraId="6BC58B9C">
      <w:pPr>
        <w:pStyle w:val="28"/>
        <w:tabs>
          <w:tab w:val="left" w:pos="540"/>
        </w:tabs>
        <w:spacing w:line="400" w:lineRule="exact"/>
        <w:ind w:firstLine="420" w:firstLineChars="200"/>
        <w:rPr>
          <w:rFonts w:ascii="Times New Roman" w:hAnsi="Times New Roman"/>
          <w:szCs w:val="21"/>
          <w:highlight w:val="none"/>
        </w:rPr>
      </w:pPr>
      <w:bookmarkStart w:id="228" w:name="_Toc283106805"/>
      <w:bookmarkStart w:id="229" w:name="_Toc291861359"/>
      <w:bookmarkStart w:id="230" w:name="_Toc363628056"/>
      <w:bookmarkStart w:id="231" w:name="_Toc291861410"/>
      <w:bookmarkStart w:id="232" w:name="_Toc295995620"/>
      <w:r>
        <w:rPr>
          <w:rFonts w:hint="eastAsia" w:ascii="Times New Roman" w:hAnsi="Times New Roman"/>
          <w:szCs w:val="21"/>
          <w:highlight w:val="none"/>
        </w:rPr>
        <w:t>其他的使用说明书</w:t>
      </w:r>
      <w:bookmarkEnd w:id="228"/>
      <w:bookmarkEnd w:id="229"/>
      <w:bookmarkEnd w:id="230"/>
      <w:bookmarkEnd w:id="231"/>
      <w:bookmarkEnd w:id="232"/>
      <w:r>
        <w:rPr>
          <w:rFonts w:hint="eastAsia" w:ascii="Times New Roman" w:hAnsi="Times New Roman"/>
          <w:szCs w:val="21"/>
          <w:highlight w:val="none"/>
        </w:rPr>
        <w:t>。</w:t>
      </w:r>
    </w:p>
    <w:p w14:paraId="55220692">
      <w:pPr>
        <w:pStyle w:val="28"/>
        <w:tabs>
          <w:tab w:val="left" w:pos="540"/>
        </w:tabs>
        <w:spacing w:line="400" w:lineRule="exact"/>
        <w:ind w:firstLine="420" w:firstLineChars="200"/>
        <w:rPr>
          <w:rFonts w:ascii="Times New Roman" w:hAnsi="Times New Roman"/>
          <w:szCs w:val="21"/>
          <w:highlight w:val="none"/>
        </w:rPr>
      </w:pPr>
      <w:bookmarkStart w:id="233" w:name="_Toc291861360"/>
      <w:bookmarkStart w:id="234" w:name="_Toc291861411"/>
      <w:bookmarkStart w:id="235" w:name="_Toc283106806"/>
      <w:bookmarkStart w:id="236" w:name="_Toc295995621"/>
      <w:bookmarkStart w:id="237" w:name="_Toc363628057"/>
      <w:r>
        <w:rPr>
          <w:rFonts w:hint="eastAsia" w:ascii="Times New Roman" w:hAnsi="Times New Roman"/>
          <w:szCs w:val="21"/>
          <w:highlight w:val="none"/>
        </w:rPr>
        <w:t>运行、检修手册及其有关资料</w:t>
      </w:r>
      <w:bookmarkEnd w:id="233"/>
      <w:bookmarkEnd w:id="234"/>
      <w:bookmarkEnd w:id="235"/>
      <w:bookmarkEnd w:id="236"/>
      <w:bookmarkEnd w:id="237"/>
      <w:r>
        <w:rPr>
          <w:rFonts w:hint="eastAsia" w:ascii="Times New Roman" w:hAnsi="Times New Roman"/>
          <w:szCs w:val="21"/>
          <w:highlight w:val="none"/>
        </w:rPr>
        <w:t>。</w:t>
      </w:r>
    </w:p>
    <w:p w14:paraId="4736C384">
      <w:pPr>
        <w:pStyle w:val="28"/>
        <w:tabs>
          <w:tab w:val="left" w:pos="540"/>
        </w:tabs>
        <w:spacing w:line="400" w:lineRule="exact"/>
        <w:ind w:firstLine="420" w:firstLineChars="200"/>
        <w:rPr>
          <w:rFonts w:ascii="Times New Roman" w:hAnsi="Times New Roman"/>
          <w:szCs w:val="21"/>
          <w:highlight w:val="none"/>
        </w:rPr>
      </w:pPr>
      <w:bookmarkStart w:id="238" w:name="_Toc291861361"/>
      <w:bookmarkStart w:id="239" w:name="_Toc363628058"/>
      <w:bookmarkStart w:id="240" w:name="_Toc283106807"/>
      <w:bookmarkStart w:id="241" w:name="_Toc295995622"/>
      <w:bookmarkStart w:id="242" w:name="_Toc291861412"/>
      <w:r>
        <w:rPr>
          <w:rFonts w:hint="eastAsia" w:ascii="Times New Roman" w:hAnsi="Times New Roman"/>
          <w:szCs w:val="21"/>
          <w:highlight w:val="none"/>
        </w:rPr>
        <w:t>备品备件、专用工具、仪器仪表等。</w:t>
      </w:r>
      <w:bookmarkEnd w:id="238"/>
      <w:bookmarkEnd w:id="239"/>
      <w:bookmarkEnd w:id="240"/>
      <w:bookmarkEnd w:id="241"/>
      <w:bookmarkEnd w:id="242"/>
    </w:p>
    <w:p w14:paraId="70058526">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投标方所有图纸和文件资料必须经过有关程序审批并加盖公章。</w:t>
      </w:r>
    </w:p>
    <w:bookmarkEnd w:id="220"/>
    <w:bookmarkEnd w:id="221"/>
    <w:p w14:paraId="36A1D6C9">
      <w:pPr>
        <w:pStyle w:val="2"/>
        <w:numPr>
          <w:ilvl w:val="0"/>
          <w:numId w:val="33"/>
        </w:numPr>
        <w:tabs>
          <w:tab w:val="left" w:pos="425"/>
        </w:tabs>
        <w:spacing w:before="0" w:after="0" w:line="360" w:lineRule="auto"/>
        <w:ind w:firstLine="0"/>
        <w:rPr>
          <w:rFonts w:hint="eastAsia" w:ascii="黑体" w:hAnsi="黑体" w:eastAsia="黑体" w:cs="黑体"/>
          <w:sz w:val="30"/>
          <w:szCs w:val="30"/>
          <w:highlight w:val="none"/>
        </w:rPr>
      </w:pPr>
      <w:bookmarkStart w:id="243" w:name="_Toc28772"/>
      <w:bookmarkStart w:id="244" w:name="_Toc13442"/>
      <w:bookmarkStart w:id="245" w:name="_Toc17011"/>
      <w:bookmarkStart w:id="246" w:name="_Toc18592"/>
      <w:bookmarkStart w:id="247" w:name="_Toc526001222"/>
      <w:bookmarkStart w:id="248" w:name="_Toc414979381"/>
      <w:bookmarkStart w:id="249" w:name="_Toc3470"/>
      <w:r>
        <w:rPr>
          <w:rFonts w:hint="eastAsia" w:ascii="黑体" w:hAnsi="黑体" w:eastAsia="黑体" w:cs="黑体"/>
          <w:sz w:val="30"/>
          <w:szCs w:val="30"/>
          <w:highlight w:val="none"/>
        </w:rPr>
        <w:t>监造、包装、运输和贮存</w:t>
      </w:r>
      <w:bookmarkStart w:id="250" w:name="_Toc25876"/>
      <w:bookmarkStart w:id="251" w:name="_Toc245207092"/>
      <w:r>
        <w:rPr>
          <w:rFonts w:hint="eastAsia" w:ascii="黑体" w:hAnsi="黑体" w:eastAsia="黑体" w:cs="黑体"/>
          <w:sz w:val="30"/>
          <w:szCs w:val="30"/>
          <w:highlight w:val="none"/>
        </w:rPr>
        <w:t>及质量保证</w:t>
      </w:r>
      <w:bookmarkEnd w:id="243"/>
      <w:bookmarkEnd w:id="244"/>
      <w:bookmarkEnd w:id="245"/>
      <w:bookmarkEnd w:id="246"/>
      <w:bookmarkEnd w:id="247"/>
      <w:bookmarkEnd w:id="248"/>
      <w:bookmarkEnd w:id="249"/>
    </w:p>
    <w:p w14:paraId="059FB9B6">
      <w:pPr>
        <w:pStyle w:val="3"/>
        <w:numPr>
          <w:ilvl w:val="255"/>
          <w:numId w:val="0"/>
        </w:numPr>
        <w:spacing w:before="0" w:after="0" w:line="400" w:lineRule="exact"/>
        <w:rPr>
          <w:rFonts w:ascii="Times New Roman" w:hAnsi="Times New Roman" w:eastAsia="黑体"/>
          <w:sz w:val="21"/>
          <w:szCs w:val="21"/>
          <w:highlight w:val="none"/>
        </w:rPr>
      </w:pPr>
      <w:bookmarkStart w:id="252" w:name="_Toc526001223"/>
      <w:bookmarkStart w:id="253" w:name="_Toc505241234"/>
      <w:bookmarkStart w:id="254" w:name="_Toc30457"/>
      <w:r>
        <w:rPr>
          <w:rFonts w:hint="eastAsia" w:ascii="Times New Roman" w:hAnsi="Times New Roman" w:eastAsia="黑体"/>
          <w:sz w:val="21"/>
          <w:szCs w:val="21"/>
          <w:highlight w:val="none"/>
        </w:rPr>
        <w:t>5.</w:t>
      </w:r>
      <w:r>
        <w:rPr>
          <w:rFonts w:ascii="Times New Roman" w:hAnsi="Times New Roman" w:eastAsia="黑体"/>
          <w:sz w:val="21"/>
          <w:szCs w:val="21"/>
          <w:highlight w:val="none"/>
        </w:rPr>
        <w:t>1</w:t>
      </w:r>
      <w:r>
        <w:rPr>
          <w:rFonts w:hint="eastAsia" w:ascii="Times New Roman" w:hAnsi="Times New Roman" w:eastAsia="黑体"/>
          <w:sz w:val="21"/>
          <w:szCs w:val="21"/>
          <w:highlight w:val="none"/>
        </w:rPr>
        <w:t>监造</w:t>
      </w:r>
      <w:bookmarkEnd w:id="252"/>
      <w:bookmarkEnd w:id="253"/>
      <w:bookmarkEnd w:id="254"/>
    </w:p>
    <w:p w14:paraId="1535361C">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要严格按照制造厂给出的说明书对产品进行包装、运输和储存。制造厂应在交货前的适当时间提供产品的运输和储存说明书；</w:t>
      </w:r>
    </w:p>
    <w:p w14:paraId="3306EEE1">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产品完成并通过试验后应及时包装，否则应得到切实的保护。其包装也应符合铁路、公路和海运部门的有关规定；</w:t>
      </w:r>
    </w:p>
    <w:p w14:paraId="7C9A3103">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包装箱上应有运输及起吊标志：“向上”、“防潮”、“小心轻放”、“由此吊起”等字样明显的包装储运图示标志，并应标明设备的订货号和发货号；</w:t>
      </w:r>
    </w:p>
    <w:p w14:paraId="216E649D">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的包装应能保证断路器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4CCF7A82">
      <w:pPr>
        <w:pStyle w:val="3"/>
        <w:numPr>
          <w:ilvl w:val="255"/>
          <w:numId w:val="0"/>
        </w:numPr>
        <w:spacing w:before="0" w:after="0" w:line="400" w:lineRule="exact"/>
        <w:rPr>
          <w:rFonts w:ascii="Times New Roman" w:hAnsi="Times New Roman" w:eastAsia="黑体"/>
          <w:szCs w:val="21"/>
          <w:highlight w:val="none"/>
        </w:rPr>
      </w:pPr>
      <w:bookmarkStart w:id="255" w:name="_Toc505241235"/>
      <w:bookmarkStart w:id="256" w:name="_Toc526001224"/>
      <w:bookmarkStart w:id="257" w:name="_Toc32688"/>
      <w:r>
        <w:rPr>
          <w:rFonts w:hint="eastAsia" w:ascii="Times New Roman" w:hAnsi="Times New Roman" w:eastAsia="黑体"/>
          <w:sz w:val="21"/>
          <w:szCs w:val="21"/>
          <w:highlight w:val="none"/>
        </w:rPr>
        <w:t>5.</w:t>
      </w:r>
      <w:r>
        <w:rPr>
          <w:rFonts w:ascii="Times New Roman" w:hAnsi="Times New Roman" w:eastAsia="黑体"/>
          <w:sz w:val="21"/>
          <w:szCs w:val="21"/>
          <w:highlight w:val="none"/>
        </w:rPr>
        <w:t>2包装</w:t>
      </w:r>
      <w:bookmarkEnd w:id="250"/>
      <w:bookmarkEnd w:id="251"/>
      <w:bookmarkEnd w:id="255"/>
      <w:bookmarkEnd w:id="256"/>
      <w:bookmarkEnd w:id="257"/>
    </w:p>
    <w:p w14:paraId="66B0A837">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要严格按照制造厂给出的说明书对产品进行包装、运输和储存。制造厂应在交货前的适当时间提供产品的运输和储存说明书；</w:t>
      </w:r>
    </w:p>
    <w:p w14:paraId="63651DC6">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产品制造完成并通过试验后应及时包装，否则应得到切实的保护。其包装也应符合铁路、公路和海运部门的有关规定；</w:t>
      </w:r>
    </w:p>
    <w:p w14:paraId="2D6999C1">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包装箱上应有运输及起吊标志：“向上”、“防潮”、“小心轻放”、“由此吊起”等字样明显的包装储运图示标志，并应标明设备的订货号和发货号；</w:t>
      </w:r>
    </w:p>
    <w:p w14:paraId="5B3FD12F">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的包装应能保证断路器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6F5A8507">
      <w:pPr>
        <w:pStyle w:val="3"/>
        <w:numPr>
          <w:ilvl w:val="255"/>
          <w:numId w:val="0"/>
        </w:numPr>
        <w:spacing w:before="0" w:after="0" w:line="400" w:lineRule="exact"/>
        <w:rPr>
          <w:rFonts w:ascii="Times New Roman" w:hAnsi="Times New Roman" w:eastAsia="黑体"/>
          <w:sz w:val="21"/>
          <w:szCs w:val="21"/>
          <w:highlight w:val="none"/>
        </w:rPr>
      </w:pPr>
      <w:bookmarkStart w:id="258" w:name="_Toc28372"/>
      <w:r>
        <w:rPr>
          <w:rFonts w:hint="eastAsia" w:ascii="Times New Roman" w:hAnsi="Times New Roman" w:eastAsia="黑体"/>
          <w:sz w:val="21"/>
          <w:szCs w:val="21"/>
          <w:highlight w:val="none"/>
        </w:rPr>
        <w:t>5.3运输</w:t>
      </w:r>
      <w:bookmarkEnd w:id="258"/>
    </w:p>
    <w:p w14:paraId="6ED7D95F">
      <w:pPr>
        <w:pStyle w:val="94"/>
        <w:tabs>
          <w:tab w:val="left" w:pos="567"/>
        </w:tabs>
        <w:spacing w:line="400" w:lineRule="exact"/>
        <w:ind w:firstLine="420" w:firstLineChars="200"/>
        <w:rPr>
          <w:szCs w:val="21"/>
          <w:highlight w:val="none"/>
        </w:rPr>
      </w:pPr>
      <w:r>
        <w:rPr>
          <w:rFonts w:hint="eastAsia"/>
          <w:szCs w:val="21"/>
          <w:highlight w:val="none"/>
        </w:rPr>
        <w:t>整体运输时产品内部元件应不得移位、损坏和受潮，不得影响安装；</w:t>
      </w:r>
    </w:p>
    <w:p w14:paraId="5369D5BF">
      <w:pPr>
        <w:pStyle w:val="94"/>
        <w:tabs>
          <w:tab w:val="left" w:pos="567"/>
        </w:tabs>
        <w:spacing w:line="400" w:lineRule="exact"/>
        <w:ind w:firstLine="420" w:firstLineChars="200"/>
        <w:rPr>
          <w:szCs w:val="21"/>
          <w:highlight w:val="none"/>
        </w:rPr>
      </w:pPr>
      <w:r>
        <w:rPr>
          <w:rFonts w:hint="eastAsia"/>
          <w:szCs w:val="21"/>
          <w:highlight w:val="none"/>
        </w:rPr>
        <w:t>单独运输的零部件应有标志，便于用户安装装配；</w:t>
      </w:r>
    </w:p>
    <w:p w14:paraId="7989B5BF">
      <w:pPr>
        <w:pStyle w:val="94"/>
        <w:tabs>
          <w:tab w:val="left" w:pos="567"/>
        </w:tabs>
        <w:spacing w:line="400" w:lineRule="exact"/>
        <w:ind w:firstLine="420" w:firstLineChars="200"/>
        <w:rPr>
          <w:szCs w:val="21"/>
          <w:highlight w:val="none"/>
        </w:rPr>
      </w:pPr>
      <w:r>
        <w:rPr>
          <w:rFonts w:hint="eastAsia"/>
          <w:szCs w:val="21"/>
          <w:highlight w:val="none"/>
        </w:rPr>
        <w:t>整体产品或分别运输的部件，都要适合于运输及装卸的要求；</w:t>
      </w:r>
    </w:p>
    <w:p w14:paraId="6341D5BC">
      <w:pPr>
        <w:pStyle w:val="94"/>
        <w:tabs>
          <w:tab w:val="left" w:pos="567"/>
        </w:tabs>
        <w:spacing w:line="400" w:lineRule="exact"/>
        <w:ind w:firstLine="420" w:firstLineChars="200"/>
        <w:rPr>
          <w:szCs w:val="21"/>
          <w:highlight w:val="none"/>
        </w:rPr>
      </w:pPr>
      <w:r>
        <w:rPr>
          <w:rFonts w:hint="eastAsia"/>
          <w:szCs w:val="21"/>
          <w:highlight w:val="none"/>
        </w:rPr>
        <w:t>随同运输的产品应附有装箱清单，产品所需提供的技术资料应完整无缺；</w:t>
      </w:r>
    </w:p>
    <w:p w14:paraId="236EF8C7">
      <w:pPr>
        <w:pStyle w:val="94"/>
        <w:tabs>
          <w:tab w:val="left" w:pos="567"/>
        </w:tabs>
        <w:spacing w:line="400" w:lineRule="exact"/>
        <w:ind w:firstLine="420" w:firstLineChars="200"/>
        <w:rPr>
          <w:szCs w:val="21"/>
          <w:highlight w:val="none"/>
        </w:rPr>
      </w:pPr>
      <w:r>
        <w:rPr>
          <w:rFonts w:hint="eastAsia"/>
          <w:szCs w:val="21"/>
          <w:highlight w:val="none"/>
        </w:rPr>
        <w:t>设备在运输和装卸时，应按照DL/T 1071《电力大件运输规范》在要求进行。</w:t>
      </w:r>
    </w:p>
    <w:p w14:paraId="6F2409BF">
      <w:pPr>
        <w:pStyle w:val="3"/>
        <w:numPr>
          <w:ilvl w:val="255"/>
          <w:numId w:val="0"/>
        </w:numPr>
        <w:spacing w:before="0" w:after="0" w:line="400" w:lineRule="exact"/>
        <w:rPr>
          <w:rFonts w:ascii="Times New Roman" w:hAnsi="Times New Roman" w:eastAsia="黑体"/>
          <w:sz w:val="21"/>
          <w:szCs w:val="21"/>
          <w:highlight w:val="none"/>
        </w:rPr>
      </w:pPr>
      <w:bookmarkStart w:id="259" w:name="_Toc15616"/>
      <w:r>
        <w:rPr>
          <w:rFonts w:hint="eastAsia" w:ascii="Times New Roman" w:hAnsi="Times New Roman" w:eastAsia="黑体"/>
          <w:sz w:val="21"/>
          <w:szCs w:val="21"/>
          <w:highlight w:val="none"/>
        </w:rPr>
        <w:t>5.4储存</w:t>
      </w:r>
      <w:bookmarkEnd w:id="259"/>
    </w:p>
    <w:p w14:paraId="4E874777">
      <w:pPr>
        <w:pStyle w:val="94"/>
        <w:tabs>
          <w:tab w:val="left" w:pos="567"/>
        </w:tabs>
        <w:spacing w:line="400" w:lineRule="exact"/>
        <w:ind w:firstLine="420" w:firstLineChars="200"/>
        <w:rPr>
          <w:szCs w:val="21"/>
          <w:highlight w:val="none"/>
        </w:rPr>
      </w:pPr>
      <w:r>
        <w:rPr>
          <w:rFonts w:hint="eastAsia"/>
          <w:szCs w:val="21"/>
          <w:highlight w:val="none"/>
        </w:rPr>
        <w:t>电缆附件的绝缘材料都应采用防潮包装，并存放在正常环境温度、干燥的室内保管，以防止储存过程中密封破坏而受潮。</w:t>
      </w:r>
    </w:p>
    <w:p w14:paraId="7A24312B">
      <w:pPr>
        <w:pStyle w:val="94"/>
        <w:tabs>
          <w:tab w:val="left" w:pos="567"/>
        </w:tabs>
        <w:spacing w:line="400" w:lineRule="exact"/>
        <w:ind w:firstLine="420" w:firstLineChars="200"/>
        <w:rPr>
          <w:szCs w:val="21"/>
          <w:highlight w:val="none"/>
        </w:rPr>
      </w:pPr>
      <w:r>
        <w:rPr>
          <w:rFonts w:hint="eastAsia"/>
          <w:szCs w:val="21"/>
          <w:highlight w:val="none"/>
        </w:rPr>
        <w:t>电缆附件在安装前的保管，其保管期限不长于2年。</w:t>
      </w:r>
    </w:p>
    <w:p w14:paraId="2C8C359C">
      <w:pPr>
        <w:pStyle w:val="3"/>
        <w:numPr>
          <w:ilvl w:val="255"/>
          <w:numId w:val="0"/>
        </w:numPr>
        <w:spacing w:before="0" w:after="0" w:line="400" w:lineRule="exact"/>
        <w:rPr>
          <w:rFonts w:ascii="Times New Roman" w:hAnsi="Times New Roman" w:eastAsia="黑体"/>
          <w:sz w:val="21"/>
          <w:szCs w:val="21"/>
          <w:highlight w:val="none"/>
        </w:rPr>
      </w:pPr>
      <w:bookmarkStart w:id="260" w:name="_Toc6493"/>
      <w:r>
        <w:rPr>
          <w:rFonts w:hint="eastAsia" w:ascii="Times New Roman" w:hAnsi="Times New Roman" w:eastAsia="黑体"/>
          <w:sz w:val="21"/>
          <w:szCs w:val="21"/>
          <w:highlight w:val="none"/>
        </w:rPr>
        <w:t>5.5开箱检查</w:t>
      </w:r>
      <w:bookmarkEnd w:id="260"/>
    </w:p>
    <w:p w14:paraId="7130790A">
      <w:pPr>
        <w:pStyle w:val="94"/>
        <w:tabs>
          <w:tab w:val="left" w:pos="567"/>
        </w:tabs>
        <w:spacing w:line="400" w:lineRule="exact"/>
        <w:ind w:firstLine="420" w:firstLineChars="200"/>
        <w:rPr>
          <w:szCs w:val="21"/>
          <w:highlight w:val="none"/>
        </w:rPr>
      </w:pPr>
      <w:r>
        <w:rPr>
          <w:rFonts w:hint="eastAsia"/>
          <w:szCs w:val="21"/>
          <w:highlight w:val="none"/>
        </w:rPr>
        <w:t>开箱检查时应有投标方代表在现场确认。</w:t>
      </w:r>
    </w:p>
    <w:p w14:paraId="4B8C9E2C">
      <w:pPr>
        <w:pStyle w:val="3"/>
        <w:numPr>
          <w:ilvl w:val="255"/>
          <w:numId w:val="0"/>
        </w:numPr>
        <w:spacing w:before="0" w:after="0" w:line="400" w:lineRule="exact"/>
        <w:rPr>
          <w:rFonts w:ascii="Times New Roman" w:hAnsi="Times New Roman" w:eastAsia="黑体"/>
          <w:sz w:val="21"/>
          <w:szCs w:val="21"/>
          <w:highlight w:val="none"/>
        </w:rPr>
      </w:pPr>
      <w:bookmarkStart w:id="261" w:name="_Toc8856"/>
      <w:r>
        <w:rPr>
          <w:rFonts w:hint="eastAsia" w:ascii="Times New Roman" w:hAnsi="Times New Roman" w:eastAsia="黑体"/>
          <w:sz w:val="21"/>
          <w:szCs w:val="21"/>
          <w:highlight w:val="none"/>
        </w:rPr>
        <w:t>5.6质量保证</w:t>
      </w:r>
      <w:bookmarkEnd w:id="261"/>
    </w:p>
    <w:bookmarkEnd w:id="217"/>
    <w:bookmarkEnd w:id="218"/>
    <w:bookmarkEnd w:id="219"/>
    <w:p w14:paraId="030F8D92">
      <w:pPr>
        <w:pStyle w:val="371"/>
        <w:tabs>
          <w:tab w:val="left" w:pos="802"/>
        </w:tabs>
        <w:spacing w:line="410" w:lineRule="exact"/>
        <w:ind w:left="740" w:hanging="320"/>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1）</w:t>
      </w:r>
      <w:r>
        <w:rPr>
          <w:rFonts w:hint="eastAsia" w:ascii="Times New Roman" w:hAnsi="Times New Roman" w:cs="Times New Roman"/>
          <w:sz w:val="21"/>
          <w:szCs w:val="21"/>
          <w:highlight w:val="none"/>
          <w:lang w:val="en-US" w:eastAsia="zh-CN" w:bidi="ar-SA"/>
        </w:rPr>
        <w:tab/>
      </w:r>
      <w:r>
        <w:rPr>
          <w:rFonts w:hint="eastAsia" w:ascii="Times New Roman" w:hAnsi="Times New Roman" w:cs="Times New Roman"/>
          <w:sz w:val="21"/>
          <w:szCs w:val="21"/>
          <w:highlight w:val="none"/>
          <w:lang w:val="en-US" w:eastAsia="zh-CN" w:bidi="ar-SA"/>
        </w:rPr>
        <w:t>投标方保证其提供的产品是由最适宜的原材料并釆用先进工艺制成，且是全新的、 未使用过的，所有合同货物本体、附件及螺栓、螺帽、阀门等部件必须防腐防锈， 质保期内不得岀现锈蚀、开裂，否则应无条件更换；</w:t>
      </w:r>
    </w:p>
    <w:p w14:paraId="7F5A2843">
      <w:pPr>
        <w:pStyle w:val="371"/>
        <w:tabs>
          <w:tab w:val="left" w:pos="802"/>
        </w:tabs>
        <w:spacing w:line="410" w:lineRule="exact"/>
        <w:ind w:left="740" w:hanging="320"/>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2）</w:t>
      </w:r>
      <w:r>
        <w:rPr>
          <w:rFonts w:hint="eastAsia" w:ascii="Times New Roman" w:hAnsi="Times New Roman" w:cs="Times New Roman"/>
          <w:sz w:val="21"/>
          <w:szCs w:val="21"/>
          <w:highlight w:val="none"/>
          <w:lang w:val="en-US" w:eastAsia="zh-CN" w:bidi="ar-SA"/>
        </w:rPr>
        <w:tab/>
      </w:r>
      <w:r>
        <w:rPr>
          <w:rFonts w:hint="eastAsia" w:ascii="Times New Roman" w:hAnsi="Times New Roman" w:cs="Times New Roman"/>
          <w:sz w:val="21"/>
          <w:szCs w:val="21"/>
          <w:highlight w:val="none"/>
          <w:lang w:val="en-US" w:eastAsia="zh-CN" w:bidi="ar-SA"/>
        </w:rPr>
        <w:t>投标方应保证制造过程中的所有工艺、材料、规格、性能、试验等（包括投标方的外购件在内）均应符合本规范的规定。投标方对所购配套部件设备质量负责，釆购前向招标方提供主要国产元器件报价表，釆购中应进行严格的质量检验，交货时必须向招标方提供其产品质量合格证书及有关安装使用等技术文件资料。</w:t>
      </w:r>
    </w:p>
    <w:p w14:paraId="60476F4F">
      <w:pPr>
        <w:pStyle w:val="371"/>
        <w:tabs>
          <w:tab w:val="left" w:pos="802"/>
        </w:tabs>
        <w:spacing w:after="140" w:line="410" w:lineRule="exact"/>
        <w:ind w:left="740" w:hanging="320"/>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3）</w:t>
      </w:r>
      <w:r>
        <w:rPr>
          <w:rFonts w:hint="eastAsia" w:ascii="Times New Roman" w:hAnsi="Times New Roman" w:cs="Times New Roman"/>
          <w:sz w:val="21"/>
          <w:szCs w:val="21"/>
          <w:highlight w:val="none"/>
          <w:lang w:val="en-US" w:eastAsia="zh-CN" w:bidi="ar-SA"/>
        </w:rPr>
        <w:tab/>
      </w:r>
      <w:r>
        <w:rPr>
          <w:rFonts w:hint="eastAsia" w:ascii="Times New Roman" w:hAnsi="Times New Roman" w:cs="Times New Roman"/>
          <w:sz w:val="21"/>
          <w:szCs w:val="21"/>
          <w:highlight w:val="none"/>
          <w:lang w:val="en-US" w:eastAsia="zh-CN" w:bidi="ar-SA"/>
        </w:rPr>
        <w:t>对于采用引进技术的设备、元器件，投标方在釆购前应向招标方提供主要进口元器件报价表。引进的设备、元器件应符合引进国的技术标准或IEC标准，当标准与本规范有矛盾时，投标方应将处理意见书面通知招标方，由双方协商解决。假若投标方有更优越或更为经济的设计和材料，足以使投标方的产品更为安全、可 靠、灵活、适应时，投标方可提出并经招标方的认可，然而必须遵循现行的国家工业标准，并且有成熟的设计和工艺要求以及工程实践经验。</w:t>
      </w:r>
    </w:p>
    <w:p w14:paraId="11B74400">
      <w:pPr>
        <w:pStyle w:val="371"/>
        <w:tabs>
          <w:tab w:val="left" w:pos="772"/>
        </w:tabs>
        <w:spacing w:after="40" w:line="407" w:lineRule="exact"/>
        <w:ind w:left="720" w:hanging="320"/>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4）</w:t>
      </w:r>
      <w:r>
        <w:rPr>
          <w:rFonts w:hint="eastAsia" w:ascii="Times New Roman" w:hAnsi="Times New Roman" w:cs="Times New Roman"/>
          <w:sz w:val="21"/>
          <w:szCs w:val="21"/>
          <w:highlight w:val="none"/>
          <w:lang w:val="en-US" w:eastAsia="zh-CN" w:bidi="ar-SA"/>
        </w:rPr>
        <w:tab/>
      </w:r>
      <w:r>
        <w:rPr>
          <w:rFonts w:hint="eastAsia" w:ascii="Times New Roman" w:hAnsi="Times New Roman" w:cs="Times New Roman"/>
          <w:sz w:val="21"/>
          <w:szCs w:val="21"/>
          <w:highlight w:val="none"/>
          <w:lang w:val="en-US" w:eastAsia="zh-CN" w:bidi="ar-SA"/>
        </w:rPr>
        <w:t>在设备使用寿命内，投标方应对产品质量负责，并能够提供可供更换的硬件。质保期内产品岀现异常、设备缺陷、元件损坏等问题时，投标方应在招标方规定的 消缺时间内进行消缺，如需要更换硬件，则免费提供替换硬件（包括运输费、税 收、设备更换产生的人工费等），所提供的替代硬件设备的性能应等于或高于原 产品性能；质保期外硬件故障时，投标方按照签订合同时候的成本价收取费用替 换硬件，所提供的替代硬件设备的性能应等于或高于原产品性能。</w:t>
      </w:r>
    </w:p>
    <w:p w14:paraId="401C4106">
      <w:pPr>
        <w:pStyle w:val="371"/>
        <w:tabs>
          <w:tab w:val="left" w:pos="772"/>
        </w:tabs>
        <w:spacing w:after="100" w:line="470" w:lineRule="exact"/>
        <w:ind w:left="720" w:hanging="320"/>
        <w:rPr>
          <w:rFonts w:ascii="Times New Roman" w:hAnsi="Times New Roman" w:cs="Times New Roman"/>
          <w:sz w:val="21"/>
          <w:szCs w:val="21"/>
          <w:highlight w:val="none"/>
          <w:lang w:val="en-US" w:eastAsia="zh-CN" w:bidi="ar-SA"/>
        </w:rPr>
        <w:sectPr>
          <w:footerReference r:id="rId8" w:type="default"/>
          <w:pgSz w:w="11907" w:h="16840"/>
          <w:pgMar w:top="1474" w:right="1247" w:bottom="1474" w:left="1247" w:header="850" w:footer="850" w:gutter="0"/>
          <w:pgNumType w:start="1"/>
          <w:cols w:space="0" w:num="1"/>
          <w:docGrid w:type="lines" w:linePitch="312" w:charSpace="0"/>
        </w:sectPr>
      </w:pPr>
      <w:r>
        <w:rPr>
          <w:rFonts w:hint="eastAsia"/>
          <w:highlight w:val="none"/>
          <w:lang w:eastAsia="zh-CN"/>
        </w:rPr>
        <w:t>5</w:t>
      </w:r>
      <w:r>
        <w:rPr>
          <w:highlight w:val="none"/>
        </w:rPr>
        <w:t>）</w:t>
      </w:r>
      <w:r>
        <w:rPr>
          <w:highlight w:val="none"/>
        </w:rPr>
        <w:tab/>
      </w:r>
      <w:r>
        <w:rPr>
          <w:rFonts w:hint="eastAsia" w:ascii="Times New Roman" w:hAnsi="Times New Roman" w:cs="Times New Roman"/>
          <w:sz w:val="21"/>
          <w:szCs w:val="21"/>
          <w:highlight w:val="none"/>
          <w:lang w:val="en-US" w:eastAsia="zh-CN" w:bidi="ar-SA"/>
        </w:rPr>
        <w:t>为确保供货设备总体质量和整体性能，投标方应提供外购设备的品牌和技术指标等参数。 招标方有权根据设备的实际使用和运行情况要求投标方更换相关外购设备品牌以提 升设备总体质量和整体性能。</w:t>
      </w:r>
    </w:p>
    <w:p w14:paraId="47DC5552">
      <w:pPr>
        <w:pStyle w:val="2"/>
        <w:numPr>
          <w:ilvl w:val="0"/>
          <w:numId w:val="0"/>
        </w:numPr>
        <w:tabs>
          <w:tab w:val="left" w:pos="425"/>
        </w:tabs>
        <w:spacing w:before="0" w:after="0" w:line="360" w:lineRule="auto"/>
        <w:ind w:leftChars="0"/>
        <w:rPr>
          <w:rFonts w:hint="eastAsia" w:ascii="黑体" w:hAnsi="黑体" w:eastAsia="黑体" w:cs="黑体"/>
          <w:sz w:val="30"/>
          <w:szCs w:val="30"/>
          <w:highlight w:val="none"/>
        </w:rPr>
      </w:pPr>
      <w:bookmarkStart w:id="262" w:name="_Toc5268"/>
      <w:bookmarkStart w:id="263" w:name="_Toc1990"/>
      <w:bookmarkStart w:id="264" w:name="_Toc16852"/>
      <w:bookmarkStart w:id="265" w:name="_Toc4903"/>
      <w:r>
        <w:rPr>
          <w:rFonts w:hint="eastAsia" w:ascii="黑体" w:hAnsi="黑体" w:eastAsia="黑体" w:cs="黑体"/>
          <w:sz w:val="30"/>
          <w:szCs w:val="30"/>
          <w:highlight w:val="none"/>
        </w:rPr>
        <w:t>附录A 延保服务内容</w:t>
      </w:r>
      <w:bookmarkEnd w:id="262"/>
      <w:bookmarkEnd w:id="263"/>
      <w:bookmarkEnd w:id="264"/>
      <w:bookmarkEnd w:id="265"/>
    </w:p>
    <w:p w14:paraId="0AAE3449">
      <w:pPr>
        <w:ind w:firstLine="420"/>
        <w:rPr>
          <w:szCs w:val="21"/>
          <w:highlight w:val="none"/>
        </w:rPr>
      </w:pPr>
      <w:r>
        <w:rPr>
          <w:szCs w:val="21"/>
          <w:highlight w:val="none"/>
        </w:rPr>
        <w:t>质保期满后，招标方可根据实际需要选择下表中的延保方式与投标方签订协议，投标方应按下表提供设备质保期结束后的相应服务报价及详细服务方案，要求投标方给出延保服务的具体内容和单价或详细的价格计算方法。</w:t>
      </w:r>
    </w:p>
    <w:tbl>
      <w:tblPr>
        <w:tblStyle w:val="51"/>
        <w:tblW w:w="5000" w:type="pct"/>
        <w:jc w:val="center"/>
        <w:tblLayout w:type="autofit"/>
        <w:tblCellMar>
          <w:top w:w="0" w:type="dxa"/>
          <w:left w:w="108" w:type="dxa"/>
          <w:bottom w:w="0" w:type="dxa"/>
          <w:right w:w="108" w:type="dxa"/>
        </w:tblCellMar>
      </w:tblPr>
      <w:tblGrid>
        <w:gridCol w:w="1914"/>
        <w:gridCol w:w="4327"/>
        <w:gridCol w:w="1015"/>
        <w:gridCol w:w="867"/>
        <w:gridCol w:w="1506"/>
      </w:tblGrid>
      <w:tr w14:paraId="48E9D835">
        <w:tblPrEx>
          <w:tblCellMar>
            <w:top w:w="0" w:type="dxa"/>
            <w:left w:w="108" w:type="dxa"/>
            <w:bottom w:w="0" w:type="dxa"/>
            <w:right w:w="108" w:type="dxa"/>
          </w:tblCellMar>
        </w:tblPrEx>
        <w:trPr>
          <w:trHeight w:val="285" w:hRule="atLeast"/>
          <w:jc w:val="center"/>
        </w:trPr>
        <w:tc>
          <w:tcPr>
            <w:tcW w:w="994" w:type="pct"/>
            <w:tcBorders>
              <w:top w:val="single" w:color="auto" w:sz="4" w:space="0"/>
              <w:left w:val="single" w:color="auto" w:sz="4" w:space="0"/>
              <w:bottom w:val="single" w:color="auto" w:sz="4" w:space="0"/>
              <w:right w:val="single" w:color="auto" w:sz="4" w:space="0"/>
            </w:tcBorders>
            <w:vAlign w:val="center"/>
          </w:tcPr>
          <w:p w14:paraId="6581D587">
            <w:pPr>
              <w:ind w:firstLine="422"/>
              <w:rPr>
                <w:b/>
                <w:kern w:val="0"/>
                <w:szCs w:val="21"/>
                <w:highlight w:val="none"/>
              </w:rPr>
            </w:pPr>
            <w:r>
              <w:rPr>
                <w:b/>
                <w:kern w:val="0"/>
                <w:szCs w:val="21"/>
                <w:highlight w:val="none"/>
              </w:rPr>
              <w:t>名称</w:t>
            </w:r>
          </w:p>
        </w:tc>
        <w:tc>
          <w:tcPr>
            <w:tcW w:w="2247" w:type="pct"/>
            <w:tcBorders>
              <w:top w:val="single" w:color="auto" w:sz="4" w:space="0"/>
              <w:left w:val="nil"/>
              <w:bottom w:val="single" w:color="auto" w:sz="4" w:space="0"/>
              <w:right w:val="single" w:color="auto" w:sz="4" w:space="0"/>
            </w:tcBorders>
            <w:vAlign w:val="center"/>
          </w:tcPr>
          <w:p w14:paraId="7356683A">
            <w:pPr>
              <w:ind w:firstLine="422"/>
              <w:jc w:val="center"/>
              <w:rPr>
                <w:b/>
                <w:kern w:val="0"/>
                <w:szCs w:val="21"/>
                <w:highlight w:val="none"/>
              </w:rPr>
            </w:pPr>
            <w:r>
              <w:rPr>
                <w:b/>
                <w:kern w:val="0"/>
                <w:szCs w:val="21"/>
                <w:highlight w:val="none"/>
              </w:rPr>
              <w:t>内容</w:t>
            </w:r>
          </w:p>
        </w:tc>
        <w:tc>
          <w:tcPr>
            <w:tcW w:w="527" w:type="pct"/>
            <w:tcBorders>
              <w:top w:val="single" w:color="auto" w:sz="4" w:space="0"/>
              <w:left w:val="nil"/>
              <w:bottom w:val="single" w:color="auto" w:sz="4" w:space="0"/>
              <w:right w:val="single" w:color="auto" w:sz="4" w:space="0"/>
            </w:tcBorders>
            <w:vAlign w:val="center"/>
          </w:tcPr>
          <w:p w14:paraId="04084459">
            <w:pPr>
              <w:jc w:val="center"/>
              <w:rPr>
                <w:b/>
                <w:kern w:val="0"/>
                <w:szCs w:val="21"/>
                <w:highlight w:val="none"/>
              </w:rPr>
            </w:pPr>
            <w:r>
              <w:rPr>
                <w:b/>
                <w:kern w:val="0"/>
                <w:szCs w:val="21"/>
                <w:highlight w:val="none"/>
              </w:rPr>
              <w:t>单位</w:t>
            </w:r>
          </w:p>
        </w:tc>
        <w:tc>
          <w:tcPr>
            <w:tcW w:w="450" w:type="pct"/>
            <w:tcBorders>
              <w:top w:val="single" w:color="auto" w:sz="4" w:space="0"/>
              <w:left w:val="nil"/>
              <w:bottom w:val="single" w:color="auto" w:sz="4" w:space="0"/>
              <w:right w:val="single" w:color="auto" w:sz="4" w:space="0"/>
            </w:tcBorders>
            <w:vAlign w:val="center"/>
          </w:tcPr>
          <w:p w14:paraId="5AC92788">
            <w:pPr>
              <w:jc w:val="center"/>
              <w:rPr>
                <w:b/>
                <w:kern w:val="0"/>
                <w:szCs w:val="21"/>
                <w:highlight w:val="none"/>
              </w:rPr>
            </w:pPr>
            <w:r>
              <w:rPr>
                <w:b/>
                <w:kern w:val="0"/>
                <w:szCs w:val="21"/>
                <w:highlight w:val="none"/>
              </w:rPr>
              <w:t>数量</w:t>
            </w:r>
          </w:p>
        </w:tc>
        <w:tc>
          <w:tcPr>
            <w:tcW w:w="782" w:type="pct"/>
            <w:tcBorders>
              <w:top w:val="single" w:color="auto" w:sz="4" w:space="0"/>
              <w:left w:val="nil"/>
              <w:bottom w:val="single" w:color="auto" w:sz="4" w:space="0"/>
              <w:right w:val="single" w:color="auto" w:sz="4" w:space="0"/>
            </w:tcBorders>
            <w:vAlign w:val="center"/>
          </w:tcPr>
          <w:p w14:paraId="0C1AAB01">
            <w:pPr>
              <w:jc w:val="center"/>
              <w:rPr>
                <w:b/>
                <w:kern w:val="0"/>
                <w:szCs w:val="21"/>
                <w:highlight w:val="none"/>
              </w:rPr>
            </w:pPr>
            <w:r>
              <w:rPr>
                <w:b/>
                <w:kern w:val="0"/>
                <w:szCs w:val="21"/>
                <w:highlight w:val="none"/>
              </w:rPr>
              <w:t>投标响应</w:t>
            </w:r>
          </w:p>
        </w:tc>
      </w:tr>
      <w:tr w14:paraId="3D52023E">
        <w:tblPrEx>
          <w:tblCellMar>
            <w:top w:w="0" w:type="dxa"/>
            <w:left w:w="108" w:type="dxa"/>
            <w:bottom w:w="0" w:type="dxa"/>
            <w:right w:w="108" w:type="dxa"/>
          </w:tblCellMar>
        </w:tblPrEx>
        <w:trPr>
          <w:trHeight w:val="480" w:hRule="atLeast"/>
          <w:jc w:val="center"/>
        </w:trPr>
        <w:tc>
          <w:tcPr>
            <w:tcW w:w="994" w:type="pct"/>
            <w:tcBorders>
              <w:top w:val="nil"/>
              <w:left w:val="single" w:color="auto" w:sz="4" w:space="0"/>
              <w:bottom w:val="single" w:color="auto" w:sz="4" w:space="0"/>
              <w:right w:val="single" w:color="auto" w:sz="4" w:space="0"/>
            </w:tcBorders>
            <w:vAlign w:val="center"/>
          </w:tcPr>
          <w:p w14:paraId="3FC5A197">
            <w:pPr>
              <w:jc w:val="center"/>
              <w:rPr>
                <w:kern w:val="0"/>
                <w:szCs w:val="21"/>
                <w:highlight w:val="none"/>
              </w:rPr>
            </w:pPr>
            <w:r>
              <w:rPr>
                <w:kern w:val="0"/>
                <w:szCs w:val="21"/>
                <w:highlight w:val="none"/>
              </w:rPr>
              <w:t>延保服务</w:t>
            </w:r>
          </w:p>
        </w:tc>
        <w:tc>
          <w:tcPr>
            <w:tcW w:w="2247" w:type="pct"/>
            <w:tcBorders>
              <w:top w:val="nil"/>
              <w:left w:val="nil"/>
              <w:bottom w:val="single" w:color="auto" w:sz="4" w:space="0"/>
              <w:right w:val="single" w:color="auto" w:sz="4" w:space="0"/>
            </w:tcBorders>
            <w:vAlign w:val="center"/>
          </w:tcPr>
          <w:p w14:paraId="1C792205">
            <w:pPr>
              <w:ind w:firstLine="420"/>
              <w:jc w:val="center"/>
              <w:rPr>
                <w:kern w:val="0"/>
                <w:szCs w:val="21"/>
                <w:highlight w:val="none"/>
              </w:rPr>
            </w:pPr>
            <w:r>
              <w:rPr>
                <w:kern w:val="0"/>
                <w:szCs w:val="21"/>
                <w:highlight w:val="none"/>
              </w:rPr>
              <w:t>质保期延长一年（包含本技术</w:t>
            </w:r>
            <w:r>
              <w:rPr>
                <w:rFonts w:hint="eastAsia"/>
                <w:kern w:val="0"/>
                <w:szCs w:val="21"/>
                <w:highlight w:val="none"/>
              </w:rPr>
              <w:t>规范书</w:t>
            </w:r>
            <w:r>
              <w:rPr>
                <w:kern w:val="0"/>
                <w:szCs w:val="21"/>
                <w:highlight w:val="none"/>
              </w:rPr>
              <w:t>中所有质保期服务）</w:t>
            </w:r>
          </w:p>
        </w:tc>
        <w:tc>
          <w:tcPr>
            <w:tcW w:w="527" w:type="pct"/>
            <w:tcBorders>
              <w:top w:val="nil"/>
              <w:left w:val="nil"/>
              <w:bottom w:val="single" w:color="auto" w:sz="4" w:space="0"/>
              <w:right w:val="single" w:color="auto" w:sz="4" w:space="0"/>
            </w:tcBorders>
            <w:vAlign w:val="center"/>
          </w:tcPr>
          <w:p w14:paraId="512CE4B0">
            <w:pPr>
              <w:jc w:val="center"/>
              <w:rPr>
                <w:kern w:val="0"/>
                <w:szCs w:val="21"/>
                <w:highlight w:val="none"/>
              </w:rPr>
            </w:pPr>
            <w:r>
              <w:rPr>
                <w:kern w:val="0"/>
                <w:szCs w:val="21"/>
                <w:highlight w:val="none"/>
              </w:rPr>
              <w:t>年</w:t>
            </w:r>
          </w:p>
        </w:tc>
        <w:tc>
          <w:tcPr>
            <w:tcW w:w="450" w:type="pct"/>
            <w:tcBorders>
              <w:top w:val="nil"/>
              <w:left w:val="nil"/>
              <w:bottom w:val="single" w:color="auto" w:sz="4" w:space="0"/>
              <w:right w:val="single" w:color="auto" w:sz="4" w:space="0"/>
            </w:tcBorders>
            <w:vAlign w:val="center"/>
          </w:tcPr>
          <w:p w14:paraId="219DFFC2">
            <w:pPr>
              <w:jc w:val="center"/>
              <w:rPr>
                <w:kern w:val="0"/>
                <w:szCs w:val="21"/>
                <w:highlight w:val="none"/>
              </w:rPr>
            </w:pPr>
            <w:r>
              <w:rPr>
                <w:kern w:val="0"/>
                <w:szCs w:val="21"/>
                <w:highlight w:val="none"/>
              </w:rPr>
              <w:t>1</w:t>
            </w:r>
          </w:p>
        </w:tc>
        <w:tc>
          <w:tcPr>
            <w:tcW w:w="782" w:type="pct"/>
            <w:tcBorders>
              <w:top w:val="nil"/>
              <w:left w:val="nil"/>
              <w:bottom w:val="single" w:color="auto" w:sz="4" w:space="0"/>
              <w:right w:val="single" w:color="auto" w:sz="4" w:space="0"/>
            </w:tcBorders>
            <w:vAlign w:val="center"/>
          </w:tcPr>
          <w:p w14:paraId="2DC432BF">
            <w:pPr>
              <w:ind w:firstLine="420"/>
              <w:rPr>
                <w:kern w:val="0"/>
                <w:szCs w:val="21"/>
                <w:highlight w:val="none"/>
              </w:rPr>
            </w:pPr>
          </w:p>
        </w:tc>
      </w:tr>
    </w:tbl>
    <w:p w14:paraId="58730BC6">
      <w:pPr>
        <w:pStyle w:val="371"/>
        <w:tabs>
          <w:tab w:val="left" w:pos="772"/>
        </w:tabs>
        <w:spacing w:after="100" w:line="470" w:lineRule="exact"/>
        <w:ind w:left="720" w:hanging="320"/>
        <w:rPr>
          <w:rFonts w:ascii="Times New Roman" w:hAnsi="Times New Roman" w:cs="Times New Roman"/>
          <w:sz w:val="21"/>
          <w:szCs w:val="21"/>
          <w:highlight w:val="none"/>
          <w:lang w:val="en-US" w:eastAsia="zh-CN" w:bidi="ar-SA"/>
        </w:rPr>
        <w:sectPr>
          <w:pgSz w:w="11907" w:h="16840"/>
          <w:pgMar w:top="1474" w:right="1247" w:bottom="1474" w:left="1247" w:header="850" w:footer="850" w:gutter="0"/>
          <w:cols w:space="0" w:num="1"/>
          <w:docGrid w:type="lines" w:linePitch="312" w:charSpace="0"/>
        </w:sectPr>
      </w:pPr>
    </w:p>
    <w:p w14:paraId="6629DEF4">
      <w:pPr>
        <w:pStyle w:val="2"/>
        <w:numPr>
          <w:ilvl w:val="0"/>
          <w:numId w:val="0"/>
        </w:numPr>
        <w:tabs>
          <w:tab w:val="left" w:pos="425"/>
        </w:tabs>
        <w:spacing w:before="0" w:after="0" w:line="360" w:lineRule="auto"/>
        <w:ind w:leftChars="0"/>
        <w:rPr>
          <w:rFonts w:hint="eastAsia" w:ascii="黑体" w:hAnsi="黑体" w:eastAsia="黑体" w:cs="黑体"/>
          <w:sz w:val="30"/>
          <w:szCs w:val="30"/>
          <w:highlight w:val="none"/>
        </w:rPr>
      </w:pPr>
      <w:bookmarkStart w:id="266" w:name="_Toc10026"/>
      <w:r>
        <w:rPr>
          <w:rFonts w:hint="eastAsia" w:ascii="黑体" w:hAnsi="黑体" w:eastAsia="黑体" w:cs="黑体"/>
          <w:sz w:val="30"/>
          <w:szCs w:val="30"/>
          <w:highlight w:val="none"/>
        </w:rPr>
        <w:t>附录B 承诺函及其附表</w:t>
      </w:r>
      <w:bookmarkEnd w:id="266"/>
    </w:p>
    <w:p w14:paraId="2077C06A">
      <w:pPr>
        <w:pStyle w:val="46"/>
        <w:widowControl/>
        <w:spacing w:after="180" w:line="450" w:lineRule="atLeast"/>
        <w:jc w:val="center"/>
        <w:rPr>
          <w:rFonts w:ascii="宋体" w:hAnsi="宋体" w:cs="宋体"/>
          <w:sz w:val="36"/>
          <w:szCs w:val="36"/>
          <w:highlight w:val="none"/>
        </w:rPr>
      </w:pPr>
      <w:r>
        <w:rPr>
          <w:rFonts w:hint="eastAsia" w:ascii="宋体" w:hAnsi="宋体" w:cs="宋体"/>
          <w:sz w:val="36"/>
          <w:szCs w:val="36"/>
          <w:highlight w:val="none"/>
        </w:rPr>
        <w:t>承诺函</w:t>
      </w:r>
    </w:p>
    <w:p w14:paraId="7F623C14">
      <w:pPr>
        <w:pStyle w:val="46"/>
        <w:widowControl/>
        <w:spacing w:before="40" w:line="420" w:lineRule="atLeast"/>
        <w:rPr>
          <w:rFonts w:ascii="宋体" w:hAnsi="宋体" w:cs="宋体"/>
          <w:sz w:val="22"/>
          <w:highlight w:val="none"/>
          <w:u w:val="single"/>
        </w:rPr>
      </w:pPr>
      <w:r>
        <w:rPr>
          <w:rFonts w:hint="eastAsia" w:ascii="宋体" w:hAnsi="宋体" w:cs="宋体"/>
          <w:sz w:val="22"/>
          <w:highlight w:val="none"/>
          <w:u w:val="single"/>
        </w:rPr>
        <w:t>致：广东电力通信科技有限公司  </w:t>
      </w:r>
    </w:p>
    <w:p w14:paraId="37037CFD">
      <w:pPr>
        <w:pStyle w:val="46"/>
        <w:widowControl/>
        <w:spacing w:before="40" w:line="420" w:lineRule="atLeast"/>
        <w:ind w:firstLine="440" w:firstLineChars="200"/>
        <w:rPr>
          <w:rFonts w:ascii="宋体" w:hAnsi="宋体" w:cs="宋体"/>
          <w:sz w:val="22"/>
          <w:highlight w:val="none"/>
        </w:rPr>
      </w:pPr>
      <w:r>
        <w:rPr>
          <w:rFonts w:hint="eastAsia" w:ascii="宋体" w:hAnsi="宋体" w:cs="宋体"/>
          <w:sz w:val="22"/>
          <w:highlight w:val="none"/>
        </w:rPr>
        <w:t>我公司承诺广东电力通信科技有限公司卫星应急通信装置生产代工框架采购的投标生产模块XX品牌XX型号在附表所列信息真实有效。若违反本承诺，贵公司有权依据相关规定对我方进行处理，我方愿承担由此导致的各类风险。</w:t>
      </w:r>
    </w:p>
    <w:p w14:paraId="4F75FCA6">
      <w:pPr>
        <w:pStyle w:val="46"/>
        <w:widowControl/>
        <w:spacing w:before="40" w:line="420" w:lineRule="atLeast"/>
        <w:ind w:firstLine="440" w:firstLineChars="200"/>
        <w:rPr>
          <w:rFonts w:ascii="宋体" w:hAnsi="宋体" w:cs="宋体"/>
          <w:sz w:val="22"/>
          <w:highlight w:val="none"/>
        </w:rPr>
      </w:pPr>
      <w:r>
        <w:rPr>
          <w:rFonts w:hint="eastAsia" w:ascii="宋体" w:hAnsi="宋体" w:cs="宋体"/>
          <w:sz w:val="22"/>
          <w:highlight w:val="none"/>
        </w:rPr>
        <w:t>特此承诺！</w:t>
      </w:r>
    </w:p>
    <w:p w14:paraId="3B97D106">
      <w:pPr>
        <w:pStyle w:val="46"/>
        <w:widowControl/>
        <w:spacing w:before="40" w:line="420" w:lineRule="atLeast"/>
        <w:ind w:firstLine="440" w:firstLineChars="200"/>
        <w:jc w:val="right"/>
        <w:rPr>
          <w:rFonts w:ascii="宋体" w:hAnsi="宋体" w:cs="宋体"/>
          <w:sz w:val="22"/>
          <w:highlight w:val="none"/>
        </w:rPr>
      </w:pPr>
      <w:r>
        <w:rPr>
          <w:rFonts w:hint="eastAsia" w:ascii="宋体" w:hAnsi="宋体" w:cs="宋体"/>
          <w:sz w:val="22"/>
          <w:highlight w:val="none"/>
        </w:rPr>
        <w:t xml:space="preserve">                                                 </w:t>
      </w:r>
    </w:p>
    <w:p w14:paraId="1B292502">
      <w:pPr>
        <w:pStyle w:val="46"/>
        <w:widowControl/>
        <w:spacing w:before="40" w:line="420" w:lineRule="atLeast"/>
        <w:ind w:firstLine="440" w:firstLineChars="200"/>
        <w:jc w:val="center"/>
        <w:rPr>
          <w:rFonts w:ascii="宋体" w:hAnsi="宋体" w:cs="宋体"/>
          <w:sz w:val="22"/>
          <w:highlight w:val="none"/>
        </w:rPr>
      </w:pPr>
      <w:r>
        <w:rPr>
          <w:rFonts w:hint="eastAsia" w:ascii="宋体" w:hAnsi="宋体" w:cs="宋体"/>
          <w:sz w:val="22"/>
          <w:highlight w:val="none"/>
        </w:rPr>
        <w:t xml:space="preserve">                                        供应商名称：XX                                                                             </w:t>
      </w:r>
    </w:p>
    <w:p w14:paraId="343B8204">
      <w:pPr>
        <w:pStyle w:val="46"/>
        <w:widowControl/>
        <w:spacing w:before="40" w:line="420" w:lineRule="atLeast"/>
        <w:ind w:firstLine="440" w:firstLineChars="200"/>
        <w:jc w:val="center"/>
        <w:rPr>
          <w:rFonts w:ascii="宋体" w:hAnsi="宋体" w:cs="宋体"/>
          <w:sz w:val="22"/>
          <w:highlight w:val="none"/>
        </w:rPr>
      </w:pPr>
      <w:r>
        <w:rPr>
          <w:rFonts w:hint="eastAsia" w:ascii="宋体" w:hAnsi="宋体" w:cs="宋体"/>
          <w:sz w:val="22"/>
          <w:highlight w:val="none"/>
        </w:rPr>
        <w:t xml:space="preserve">                                          (公章或电子章）</w:t>
      </w:r>
    </w:p>
    <w:p w14:paraId="3521EC4D">
      <w:pPr>
        <w:pStyle w:val="4"/>
        <w:rPr>
          <w:rFonts w:ascii="宋体" w:hAnsi="宋体" w:cs="宋体"/>
          <w:sz w:val="22"/>
          <w:szCs w:val="22"/>
          <w:highlight w:val="none"/>
          <w:u w:val="single"/>
        </w:rPr>
      </w:pPr>
      <w:r>
        <w:rPr>
          <w:rFonts w:hint="eastAsia" w:ascii="宋体" w:hAnsi="宋体" w:cs="宋体"/>
          <w:sz w:val="22"/>
          <w:szCs w:val="22"/>
          <w:highlight w:val="none"/>
        </w:rPr>
        <w:t xml:space="preserve">                                           日期：</w:t>
      </w:r>
      <w:r>
        <w:rPr>
          <w:rFonts w:hint="eastAsia" w:ascii="宋体" w:hAnsi="宋体" w:cs="宋体"/>
          <w:sz w:val="22"/>
          <w:szCs w:val="22"/>
          <w:highlight w:val="none"/>
          <w:u w:val="single"/>
        </w:rPr>
        <w:t xml:space="preserve">         年      月      日</w:t>
      </w:r>
    </w:p>
    <w:p w14:paraId="7E340DDE">
      <w:pPr>
        <w:pStyle w:val="4"/>
        <w:rPr>
          <w:rFonts w:ascii="宋体" w:hAnsi="宋体" w:cs="宋体"/>
          <w:sz w:val="22"/>
          <w:szCs w:val="22"/>
          <w:highlight w:val="none"/>
          <w:u w:val="single"/>
        </w:rPr>
      </w:pPr>
    </w:p>
    <w:p w14:paraId="3A86484C">
      <w:pPr>
        <w:pStyle w:val="4"/>
        <w:rPr>
          <w:rFonts w:ascii="宋体" w:hAnsi="宋体" w:cs="宋体"/>
          <w:sz w:val="22"/>
          <w:szCs w:val="22"/>
          <w:highlight w:val="none"/>
          <w:u w:val="single"/>
        </w:rPr>
      </w:pPr>
    </w:p>
    <w:p w14:paraId="149F9B6F">
      <w:pPr>
        <w:pStyle w:val="4"/>
        <w:rPr>
          <w:rFonts w:ascii="宋体" w:hAnsi="宋体" w:cs="宋体"/>
          <w:sz w:val="22"/>
          <w:szCs w:val="22"/>
          <w:highlight w:val="none"/>
          <w:u w:val="single"/>
        </w:rPr>
      </w:pPr>
    </w:p>
    <w:p w14:paraId="40605FAA">
      <w:pPr>
        <w:pStyle w:val="4"/>
        <w:rPr>
          <w:rFonts w:ascii="宋体" w:hAnsi="宋体" w:cs="宋体"/>
          <w:i/>
          <w:iCs/>
          <w:sz w:val="22"/>
          <w:szCs w:val="22"/>
          <w:highlight w:val="none"/>
        </w:rPr>
      </w:pPr>
    </w:p>
    <w:p w14:paraId="3E60FDA1">
      <w:pPr>
        <w:pStyle w:val="4"/>
        <w:rPr>
          <w:rFonts w:ascii="宋体" w:hAnsi="宋体" w:cs="宋体"/>
          <w:i/>
          <w:iCs/>
          <w:sz w:val="22"/>
          <w:szCs w:val="22"/>
          <w:highlight w:val="none"/>
        </w:rPr>
      </w:pPr>
    </w:p>
    <w:p w14:paraId="21F5357D">
      <w:pPr>
        <w:pStyle w:val="4"/>
        <w:rPr>
          <w:rFonts w:ascii="宋体" w:hAnsi="宋体" w:cs="宋体"/>
          <w:i/>
          <w:iCs/>
          <w:sz w:val="22"/>
          <w:szCs w:val="22"/>
          <w:highlight w:val="none"/>
        </w:rPr>
      </w:pPr>
    </w:p>
    <w:p w14:paraId="4C5816D1">
      <w:pPr>
        <w:pStyle w:val="47"/>
        <w:rPr>
          <w:rFonts w:ascii="宋体" w:hAnsi="宋体" w:cs="宋体"/>
          <w:i/>
          <w:iCs/>
          <w:sz w:val="22"/>
          <w:szCs w:val="22"/>
          <w:highlight w:val="none"/>
        </w:rPr>
      </w:pPr>
    </w:p>
    <w:p w14:paraId="58EDB668">
      <w:pPr>
        <w:rPr>
          <w:rFonts w:ascii="宋体" w:hAnsi="宋体" w:cs="宋体"/>
          <w:i/>
          <w:iCs/>
          <w:sz w:val="22"/>
          <w:highlight w:val="none"/>
        </w:rPr>
      </w:pPr>
    </w:p>
    <w:p w14:paraId="7A4A0512">
      <w:pPr>
        <w:pStyle w:val="4"/>
        <w:rPr>
          <w:rFonts w:ascii="宋体" w:hAnsi="宋体" w:cs="宋体"/>
          <w:i/>
          <w:iCs/>
          <w:sz w:val="22"/>
          <w:szCs w:val="22"/>
          <w:highlight w:val="none"/>
        </w:rPr>
      </w:pPr>
    </w:p>
    <w:p w14:paraId="65F94402">
      <w:pPr>
        <w:pStyle w:val="47"/>
        <w:rPr>
          <w:rFonts w:ascii="宋体" w:hAnsi="宋体" w:cs="宋体"/>
          <w:i/>
          <w:iCs/>
          <w:sz w:val="22"/>
          <w:szCs w:val="22"/>
          <w:highlight w:val="none"/>
        </w:rPr>
      </w:pPr>
    </w:p>
    <w:p w14:paraId="5CDB6ACC">
      <w:pPr>
        <w:rPr>
          <w:highlight w:val="none"/>
        </w:rPr>
      </w:pPr>
    </w:p>
    <w:p w14:paraId="6C28CC92">
      <w:pPr>
        <w:pStyle w:val="4"/>
        <w:rPr>
          <w:rFonts w:ascii="宋体" w:hAnsi="宋体" w:cs="宋体"/>
          <w:i/>
          <w:iCs/>
          <w:sz w:val="22"/>
          <w:szCs w:val="22"/>
          <w:highlight w:val="none"/>
        </w:rPr>
      </w:pPr>
    </w:p>
    <w:p w14:paraId="039C01BB">
      <w:pPr>
        <w:pStyle w:val="46"/>
        <w:widowControl/>
        <w:spacing w:before="40" w:line="420" w:lineRule="atLeast"/>
        <w:ind w:firstLine="440" w:firstLineChars="200"/>
        <w:rPr>
          <w:rFonts w:ascii="宋体" w:hAnsi="宋体" w:cs="宋体"/>
          <w:i/>
          <w:iCs/>
          <w:sz w:val="22"/>
          <w:highlight w:val="none"/>
        </w:rPr>
        <w:sectPr>
          <w:footerReference r:id="rId9" w:type="default"/>
          <w:footerReference r:id="rId10" w:type="even"/>
          <w:pgSz w:w="11906" w:h="16838"/>
          <w:pgMar w:top="1440" w:right="1474" w:bottom="1440" w:left="1474" w:header="851" w:footer="992" w:gutter="0"/>
          <w:cols w:space="720" w:num="1"/>
          <w:docGrid w:type="lines" w:linePitch="312" w:charSpace="0"/>
        </w:sectPr>
      </w:pPr>
      <w:r>
        <w:rPr>
          <w:rFonts w:hint="eastAsia" w:ascii="宋体" w:hAnsi="宋体" w:cs="宋体"/>
          <w:i/>
          <w:iCs/>
          <w:sz w:val="22"/>
          <w:highlight w:val="none"/>
        </w:rPr>
        <w:t>（备注：本承诺含需附带相关模块品牌型号及芯片信息表）</w:t>
      </w:r>
    </w:p>
    <w:p w14:paraId="6050DE26">
      <w:pPr>
        <w:pStyle w:val="2"/>
        <w:numPr>
          <w:ilvl w:val="0"/>
          <w:numId w:val="0"/>
        </w:numPr>
        <w:tabs>
          <w:tab w:val="left" w:pos="425"/>
        </w:tabs>
        <w:spacing w:before="0" w:after="0" w:line="360" w:lineRule="auto"/>
        <w:ind w:leftChars="0"/>
        <w:rPr>
          <w:rFonts w:hint="eastAsia" w:ascii="黑体" w:hAnsi="黑体" w:eastAsia="黑体" w:cs="黑体"/>
          <w:sz w:val="30"/>
          <w:szCs w:val="30"/>
          <w:highlight w:val="none"/>
        </w:rPr>
      </w:pPr>
      <w:bookmarkStart w:id="267" w:name="_Toc23230"/>
      <w:r>
        <w:rPr>
          <w:rFonts w:hint="eastAsia" w:ascii="黑体" w:hAnsi="黑体" w:eastAsia="黑体" w:cs="黑体"/>
          <w:sz w:val="30"/>
          <w:szCs w:val="30"/>
          <w:highlight w:val="none"/>
        </w:rPr>
        <w:t>附表1：</w:t>
      </w:r>
      <w:bookmarkEnd w:id="267"/>
    </w:p>
    <w:tbl>
      <w:tblPr>
        <w:tblStyle w:val="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1371"/>
        <w:gridCol w:w="1596"/>
        <w:gridCol w:w="2548"/>
        <w:gridCol w:w="2743"/>
      </w:tblGrid>
      <w:tr w14:paraId="3A3EE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18CE6FFC">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天通卫星通信终端</w:t>
            </w:r>
          </w:p>
        </w:tc>
      </w:tr>
      <w:tr w14:paraId="7C9A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Align w:val="center"/>
          </w:tcPr>
          <w:p w14:paraId="6A4DDAE3">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模块类型</w:t>
            </w:r>
          </w:p>
        </w:tc>
        <w:tc>
          <w:tcPr>
            <w:tcW w:w="712" w:type="pct"/>
            <w:vAlign w:val="center"/>
          </w:tcPr>
          <w:p w14:paraId="07A50A7F">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模块厂商名称</w:t>
            </w:r>
          </w:p>
        </w:tc>
        <w:tc>
          <w:tcPr>
            <w:tcW w:w="829" w:type="pct"/>
            <w:vAlign w:val="center"/>
          </w:tcPr>
          <w:p w14:paraId="6FDE6C5C">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芯片类型</w:t>
            </w:r>
          </w:p>
        </w:tc>
        <w:tc>
          <w:tcPr>
            <w:tcW w:w="1323" w:type="pct"/>
            <w:vAlign w:val="center"/>
          </w:tcPr>
          <w:p w14:paraId="04A158A1">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单模块国产芯片数量（颗）</w:t>
            </w:r>
          </w:p>
        </w:tc>
        <w:tc>
          <w:tcPr>
            <w:tcW w:w="1421" w:type="pct"/>
            <w:vAlign w:val="center"/>
          </w:tcPr>
          <w:p w14:paraId="57596A5D">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单模块非国产芯片数量（颗）</w:t>
            </w:r>
          </w:p>
        </w:tc>
      </w:tr>
      <w:tr w14:paraId="0654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restart"/>
            <w:vAlign w:val="center"/>
          </w:tcPr>
          <w:p w14:paraId="6A0AD8BC">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核心处理组件</w:t>
            </w:r>
          </w:p>
        </w:tc>
        <w:tc>
          <w:tcPr>
            <w:tcW w:w="712" w:type="pct"/>
            <w:vAlign w:val="center"/>
          </w:tcPr>
          <w:p w14:paraId="59F8B7D3">
            <w:pPr>
              <w:pStyle w:val="46"/>
              <w:widowControl/>
              <w:spacing w:line="420" w:lineRule="atLeast"/>
              <w:jc w:val="center"/>
              <w:rPr>
                <w:rFonts w:ascii="宋体" w:hAnsi="宋体" w:cs="宋体"/>
                <w:sz w:val="21"/>
                <w:szCs w:val="21"/>
                <w:highlight w:val="none"/>
              </w:rPr>
            </w:pPr>
          </w:p>
        </w:tc>
        <w:tc>
          <w:tcPr>
            <w:tcW w:w="829" w:type="pct"/>
            <w:vAlign w:val="center"/>
          </w:tcPr>
          <w:p w14:paraId="41C6F738">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CPU</w:t>
            </w:r>
          </w:p>
        </w:tc>
        <w:tc>
          <w:tcPr>
            <w:tcW w:w="1323" w:type="pct"/>
            <w:vAlign w:val="center"/>
          </w:tcPr>
          <w:p w14:paraId="2AF51565">
            <w:pPr>
              <w:pStyle w:val="46"/>
              <w:widowControl/>
              <w:spacing w:line="420" w:lineRule="atLeast"/>
              <w:jc w:val="center"/>
              <w:rPr>
                <w:rFonts w:ascii="宋体" w:hAnsi="宋体" w:cs="宋体"/>
                <w:sz w:val="21"/>
                <w:szCs w:val="21"/>
                <w:highlight w:val="none"/>
              </w:rPr>
            </w:pPr>
          </w:p>
        </w:tc>
        <w:tc>
          <w:tcPr>
            <w:tcW w:w="1421" w:type="pct"/>
            <w:vAlign w:val="center"/>
          </w:tcPr>
          <w:p w14:paraId="22710E94">
            <w:pPr>
              <w:pStyle w:val="46"/>
              <w:widowControl/>
              <w:spacing w:line="420" w:lineRule="atLeast"/>
              <w:jc w:val="center"/>
              <w:rPr>
                <w:rFonts w:ascii="宋体" w:hAnsi="宋体" w:cs="宋体"/>
                <w:sz w:val="21"/>
                <w:szCs w:val="21"/>
                <w:highlight w:val="none"/>
              </w:rPr>
            </w:pPr>
          </w:p>
        </w:tc>
      </w:tr>
      <w:tr w14:paraId="169C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1928F39C">
            <w:pPr>
              <w:pStyle w:val="46"/>
              <w:widowControl/>
              <w:spacing w:line="420" w:lineRule="atLeast"/>
              <w:jc w:val="center"/>
              <w:rPr>
                <w:rFonts w:ascii="宋体" w:hAnsi="宋体" w:cs="宋体"/>
                <w:sz w:val="21"/>
                <w:szCs w:val="21"/>
                <w:highlight w:val="none"/>
              </w:rPr>
            </w:pPr>
          </w:p>
        </w:tc>
        <w:tc>
          <w:tcPr>
            <w:tcW w:w="712" w:type="pct"/>
            <w:vAlign w:val="center"/>
          </w:tcPr>
          <w:p w14:paraId="3691B30B">
            <w:pPr>
              <w:pStyle w:val="46"/>
              <w:widowControl/>
              <w:spacing w:line="420" w:lineRule="atLeast"/>
              <w:jc w:val="center"/>
              <w:rPr>
                <w:rFonts w:ascii="宋体" w:hAnsi="宋体" w:cs="宋体"/>
                <w:sz w:val="21"/>
                <w:szCs w:val="21"/>
                <w:highlight w:val="none"/>
              </w:rPr>
            </w:pPr>
          </w:p>
        </w:tc>
        <w:tc>
          <w:tcPr>
            <w:tcW w:w="829" w:type="pct"/>
            <w:vAlign w:val="center"/>
          </w:tcPr>
          <w:p w14:paraId="4C1128F7">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DRAM颗粒</w:t>
            </w:r>
          </w:p>
        </w:tc>
        <w:tc>
          <w:tcPr>
            <w:tcW w:w="1323" w:type="pct"/>
            <w:vAlign w:val="center"/>
          </w:tcPr>
          <w:p w14:paraId="46E14C24">
            <w:pPr>
              <w:pStyle w:val="46"/>
              <w:widowControl/>
              <w:spacing w:line="420" w:lineRule="atLeast"/>
              <w:jc w:val="center"/>
              <w:rPr>
                <w:rFonts w:ascii="宋体" w:hAnsi="宋体" w:cs="宋体"/>
                <w:sz w:val="21"/>
                <w:szCs w:val="21"/>
                <w:highlight w:val="none"/>
              </w:rPr>
            </w:pPr>
          </w:p>
        </w:tc>
        <w:tc>
          <w:tcPr>
            <w:tcW w:w="1421" w:type="pct"/>
            <w:vAlign w:val="center"/>
          </w:tcPr>
          <w:p w14:paraId="09D5D306">
            <w:pPr>
              <w:pStyle w:val="46"/>
              <w:widowControl/>
              <w:spacing w:line="420" w:lineRule="atLeast"/>
              <w:jc w:val="center"/>
              <w:rPr>
                <w:rFonts w:ascii="宋体" w:hAnsi="宋体" w:cs="宋体"/>
                <w:sz w:val="21"/>
                <w:szCs w:val="21"/>
                <w:highlight w:val="none"/>
              </w:rPr>
            </w:pPr>
          </w:p>
        </w:tc>
      </w:tr>
      <w:tr w14:paraId="497DD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705A1F01">
            <w:pPr>
              <w:pStyle w:val="46"/>
              <w:widowControl/>
              <w:spacing w:line="420" w:lineRule="atLeast"/>
              <w:jc w:val="center"/>
              <w:rPr>
                <w:rFonts w:ascii="宋体" w:hAnsi="宋体" w:cs="宋体"/>
                <w:sz w:val="21"/>
                <w:szCs w:val="21"/>
                <w:highlight w:val="none"/>
              </w:rPr>
            </w:pPr>
          </w:p>
        </w:tc>
        <w:tc>
          <w:tcPr>
            <w:tcW w:w="712" w:type="pct"/>
            <w:vAlign w:val="center"/>
          </w:tcPr>
          <w:p w14:paraId="7CACA810">
            <w:pPr>
              <w:pStyle w:val="46"/>
              <w:widowControl/>
              <w:spacing w:line="420" w:lineRule="atLeast"/>
              <w:jc w:val="center"/>
              <w:rPr>
                <w:rFonts w:ascii="宋体" w:hAnsi="宋体" w:cs="宋体"/>
                <w:sz w:val="21"/>
                <w:szCs w:val="21"/>
                <w:highlight w:val="none"/>
              </w:rPr>
            </w:pPr>
          </w:p>
        </w:tc>
        <w:tc>
          <w:tcPr>
            <w:tcW w:w="829" w:type="pct"/>
            <w:vAlign w:val="center"/>
          </w:tcPr>
          <w:p w14:paraId="2773E5CB">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Flash</w:t>
            </w:r>
          </w:p>
        </w:tc>
        <w:tc>
          <w:tcPr>
            <w:tcW w:w="1323" w:type="pct"/>
            <w:vAlign w:val="center"/>
          </w:tcPr>
          <w:p w14:paraId="31D99DE0">
            <w:pPr>
              <w:pStyle w:val="46"/>
              <w:widowControl/>
              <w:spacing w:line="420" w:lineRule="atLeast"/>
              <w:jc w:val="center"/>
              <w:rPr>
                <w:rFonts w:ascii="宋体" w:hAnsi="宋体" w:cs="宋体"/>
                <w:sz w:val="21"/>
                <w:szCs w:val="21"/>
                <w:highlight w:val="none"/>
              </w:rPr>
            </w:pPr>
          </w:p>
        </w:tc>
        <w:tc>
          <w:tcPr>
            <w:tcW w:w="1421" w:type="pct"/>
            <w:vAlign w:val="center"/>
          </w:tcPr>
          <w:p w14:paraId="596F2D89">
            <w:pPr>
              <w:pStyle w:val="46"/>
              <w:widowControl/>
              <w:spacing w:line="420" w:lineRule="atLeast"/>
              <w:jc w:val="center"/>
              <w:rPr>
                <w:rFonts w:ascii="宋体" w:hAnsi="宋体" w:cs="宋体"/>
                <w:sz w:val="21"/>
                <w:szCs w:val="21"/>
                <w:highlight w:val="none"/>
              </w:rPr>
            </w:pPr>
          </w:p>
        </w:tc>
      </w:tr>
      <w:tr w14:paraId="2FB2D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712" w:type="pct"/>
            <w:vAlign w:val="center"/>
          </w:tcPr>
          <w:p w14:paraId="44CD861D">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通信模块</w:t>
            </w:r>
          </w:p>
        </w:tc>
        <w:tc>
          <w:tcPr>
            <w:tcW w:w="712" w:type="pct"/>
            <w:vAlign w:val="center"/>
          </w:tcPr>
          <w:p w14:paraId="0F188044">
            <w:pPr>
              <w:pStyle w:val="46"/>
              <w:widowControl/>
              <w:spacing w:line="420" w:lineRule="atLeast"/>
              <w:jc w:val="center"/>
              <w:rPr>
                <w:rFonts w:ascii="宋体" w:hAnsi="宋体" w:cs="宋体"/>
                <w:sz w:val="21"/>
                <w:szCs w:val="21"/>
                <w:highlight w:val="none"/>
              </w:rPr>
            </w:pPr>
          </w:p>
        </w:tc>
        <w:tc>
          <w:tcPr>
            <w:tcW w:w="829" w:type="pct"/>
            <w:vAlign w:val="center"/>
          </w:tcPr>
          <w:p w14:paraId="67F75417">
            <w:pPr>
              <w:pStyle w:val="46"/>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通信芯片</w:t>
            </w:r>
          </w:p>
        </w:tc>
        <w:tc>
          <w:tcPr>
            <w:tcW w:w="1323" w:type="pct"/>
            <w:vAlign w:val="center"/>
          </w:tcPr>
          <w:p w14:paraId="60F5344E">
            <w:pPr>
              <w:pStyle w:val="46"/>
              <w:widowControl/>
              <w:spacing w:line="420" w:lineRule="atLeast"/>
              <w:jc w:val="center"/>
              <w:rPr>
                <w:rFonts w:ascii="宋体" w:hAnsi="宋体" w:cs="宋体"/>
                <w:sz w:val="21"/>
                <w:szCs w:val="21"/>
                <w:highlight w:val="none"/>
              </w:rPr>
            </w:pPr>
          </w:p>
        </w:tc>
        <w:tc>
          <w:tcPr>
            <w:tcW w:w="1421" w:type="pct"/>
            <w:vAlign w:val="center"/>
          </w:tcPr>
          <w:p w14:paraId="5D8FA713">
            <w:pPr>
              <w:pStyle w:val="46"/>
              <w:widowControl/>
              <w:spacing w:line="420" w:lineRule="atLeast"/>
              <w:rPr>
                <w:rFonts w:ascii="宋体" w:hAnsi="宋体" w:cs="宋体"/>
                <w:sz w:val="21"/>
                <w:szCs w:val="21"/>
                <w:highlight w:val="none"/>
              </w:rPr>
            </w:pPr>
          </w:p>
        </w:tc>
      </w:tr>
    </w:tbl>
    <w:p w14:paraId="67C878A2">
      <w:pPr>
        <w:rPr>
          <w:highlight w:val="none"/>
        </w:rPr>
      </w:pPr>
    </w:p>
    <w:tbl>
      <w:tblPr>
        <w:tblStyle w:val="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1371"/>
        <w:gridCol w:w="1596"/>
        <w:gridCol w:w="2548"/>
        <w:gridCol w:w="2743"/>
      </w:tblGrid>
      <w:tr w14:paraId="60884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4E029E76">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天通卫星数据终端</w:t>
            </w:r>
          </w:p>
        </w:tc>
      </w:tr>
      <w:tr w14:paraId="0E55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Align w:val="center"/>
          </w:tcPr>
          <w:p w14:paraId="188368C4">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模块类型</w:t>
            </w:r>
          </w:p>
        </w:tc>
        <w:tc>
          <w:tcPr>
            <w:tcW w:w="712" w:type="pct"/>
            <w:vAlign w:val="center"/>
          </w:tcPr>
          <w:p w14:paraId="190439B8">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模块厂商名称</w:t>
            </w:r>
          </w:p>
        </w:tc>
        <w:tc>
          <w:tcPr>
            <w:tcW w:w="829" w:type="pct"/>
            <w:vAlign w:val="center"/>
          </w:tcPr>
          <w:p w14:paraId="342F7064">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芯片类型</w:t>
            </w:r>
          </w:p>
        </w:tc>
        <w:tc>
          <w:tcPr>
            <w:tcW w:w="1323" w:type="pct"/>
            <w:vAlign w:val="center"/>
          </w:tcPr>
          <w:p w14:paraId="798323C0">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单模块国产芯片数量（颗）</w:t>
            </w:r>
          </w:p>
        </w:tc>
        <w:tc>
          <w:tcPr>
            <w:tcW w:w="1421" w:type="pct"/>
            <w:vAlign w:val="center"/>
          </w:tcPr>
          <w:p w14:paraId="300A777A">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单模块非国产芯片数量（颗）</w:t>
            </w:r>
          </w:p>
        </w:tc>
      </w:tr>
      <w:tr w14:paraId="7C4F9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restart"/>
            <w:vAlign w:val="center"/>
          </w:tcPr>
          <w:p w14:paraId="3032B618">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核心处理组件</w:t>
            </w:r>
          </w:p>
        </w:tc>
        <w:tc>
          <w:tcPr>
            <w:tcW w:w="712" w:type="pct"/>
            <w:vAlign w:val="center"/>
          </w:tcPr>
          <w:p w14:paraId="5A44000A">
            <w:pPr>
              <w:pStyle w:val="46"/>
              <w:widowControl/>
              <w:spacing w:line="420" w:lineRule="atLeast"/>
              <w:jc w:val="center"/>
              <w:rPr>
                <w:rFonts w:ascii="宋体" w:hAnsi="宋体" w:cs="宋体"/>
                <w:sz w:val="21"/>
                <w:szCs w:val="21"/>
                <w:highlight w:val="none"/>
              </w:rPr>
            </w:pPr>
          </w:p>
        </w:tc>
        <w:tc>
          <w:tcPr>
            <w:tcW w:w="829" w:type="pct"/>
            <w:vAlign w:val="center"/>
          </w:tcPr>
          <w:p w14:paraId="004521E3">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CPU</w:t>
            </w:r>
          </w:p>
        </w:tc>
        <w:tc>
          <w:tcPr>
            <w:tcW w:w="1323" w:type="pct"/>
            <w:vAlign w:val="center"/>
          </w:tcPr>
          <w:p w14:paraId="17A2B4CC">
            <w:pPr>
              <w:pStyle w:val="46"/>
              <w:widowControl/>
              <w:spacing w:line="420" w:lineRule="atLeast"/>
              <w:jc w:val="center"/>
              <w:rPr>
                <w:rFonts w:ascii="宋体" w:hAnsi="宋体" w:cs="宋体"/>
                <w:sz w:val="21"/>
                <w:szCs w:val="21"/>
                <w:highlight w:val="none"/>
              </w:rPr>
            </w:pPr>
          </w:p>
        </w:tc>
        <w:tc>
          <w:tcPr>
            <w:tcW w:w="1421" w:type="pct"/>
            <w:vAlign w:val="center"/>
          </w:tcPr>
          <w:p w14:paraId="38C8ABE5">
            <w:pPr>
              <w:pStyle w:val="46"/>
              <w:widowControl/>
              <w:spacing w:line="420" w:lineRule="atLeast"/>
              <w:jc w:val="center"/>
              <w:rPr>
                <w:rFonts w:ascii="宋体" w:hAnsi="宋体" w:cs="宋体"/>
                <w:sz w:val="21"/>
                <w:szCs w:val="21"/>
                <w:highlight w:val="none"/>
              </w:rPr>
            </w:pPr>
          </w:p>
        </w:tc>
      </w:tr>
      <w:tr w14:paraId="0115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36C71B4B">
            <w:pPr>
              <w:pStyle w:val="46"/>
              <w:widowControl/>
              <w:spacing w:line="420" w:lineRule="atLeast"/>
              <w:jc w:val="center"/>
              <w:rPr>
                <w:rFonts w:ascii="宋体" w:hAnsi="宋体" w:cs="宋体"/>
                <w:sz w:val="21"/>
                <w:szCs w:val="21"/>
                <w:highlight w:val="none"/>
              </w:rPr>
            </w:pPr>
          </w:p>
        </w:tc>
        <w:tc>
          <w:tcPr>
            <w:tcW w:w="712" w:type="pct"/>
            <w:vAlign w:val="center"/>
          </w:tcPr>
          <w:p w14:paraId="5BFE1896">
            <w:pPr>
              <w:pStyle w:val="46"/>
              <w:widowControl/>
              <w:spacing w:line="420" w:lineRule="atLeast"/>
              <w:jc w:val="center"/>
              <w:rPr>
                <w:rFonts w:ascii="宋体" w:hAnsi="宋体" w:cs="宋体"/>
                <w:sz w:val="21"/>
                <w:szCs w:val="21"/>
                <w:highlight w:val="none"/>
              </w:rPr>
            </w:pPr>
          </w:p>
        </w:tc>
        <w:tc>
          <w:tcPr>
            <w:tcW w:w="829" w:type="pct"/>
            <w:vAlign w:val="center"/>
          </w:tcPr>
          <w:p w14:paraId="166E84FE">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DRAM颗粒</w:t>
            </w:r>
          </w:p>
        </w:tc>
        <w:tc>
          <w:tcPr>
            <w:tcW w:w="1323" w:type="pct"/>
            <w:vAlign w:val="center"/>
          </w:tcPr>
          <w:p w14:paraId="1A12F8D0">
            <w:pPr>
              <w:pStyle w:val="46"/>
              <w:widowControl/>
              <w:spacing w:line="420" w:lineRule="atLeast"/>
              <w:jc w:val="center"/>
              <w:rPr>
                <w:rFonts w:ascii="宋体" w:hAnsi="宋体" w:cs="宋体"/>
                <w:sz w:val="21"/>
                <w:szCs w:val="21"/>
                <w:highlight w:val="none"/>
              </w:rPr>
            </w:pPr>
          </w:p>
        </w:tc>
        <w:tc>
          <w:tcPr>
            <w:tcW w:w="1421" w:type="pct"/>
            <w:vAlign w:val="center"/>
          </w:tcPr>
          <w:p w14:paraId="3BAAEA9B">
            <w:pPr>
              <w:pStyle w:val="46"/>
              <w:widowControl/>
              <w:spacing w:line="420" w:lineRule="atLeast"/>
              <w:jc w:val="center"/>
              <w:rPr>
                <w:rFonts w:ascii="宋体" w:hAnsi="宋体" w:cs="宋体"/>
                <w:sz w:val="21"/>
                <w:szCs w:val="21"/>
                <w:highlight w:val="none"/>
              </w:rPr>
            </w:pPr>
          </w:p>
        </w:tc>
      </w:tr>
      <w:tr w14:paraId="06F8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12CD78DA">
            <w:pPr>
              <w:pStyle w:val="46"/>
              <w:widowControl/>
              <w:spacing w:line="420" w:lineRule="atLeast"/>
              <w:jc w:val="center"/>
              <w:rPr>
                <w:rFonts w:ascii="宋体" w:hAnsi="宋体" w:cs="宋体"/>
                <w:sz w:val="21"/>
                <w:szCs w:val="21"/>
                <w:highlight w:val="none"/>
              </w:rPr>
            </w:pPr>
          </w:p>
        </w:tc>
        <w:tc>
          <w:tcPr>
            <w:tcW w:w="712" w:type="pct"/>
            <w:vAlign w:val="center"/>
          </w:tcPr>
          <w:p w14:paraId="2C03E5D8">
            <w:pPr>
              <w:pStyle w:val="46"/>
              <w:widowControl/>
              <w:spacing w:line="420" w:lineRule="atLeast"/>
              <w:jc w:val="center"/>
              <w:rPr>
                <w:rFonts w:ascii="宋体" w:hAnsi="宋体" w:cs="宋体"/>
                <w:sz w:val="21"/>
                <w:szCs w:val="21"/>
                <w:highlight w:val="none"/>
              </w:rPr>
            </w:pPr>
          </w:p>
        </w:tc>
        <w:tc>
          <w:tcPr>
            <w:tcW w:w="829" w:type="pct"/>
            <w:vAlign w:val="center"/>
          </w:tcPr>
          <w:p w14:paraId="53E1BE46">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Flash</w:t>
            </w:r>
          </w:p>
        </w:tc>
        <w:tc>
          <w:tcPr>
            <w:tcW w:w="1323" w:type="pct"/>
            <w:vAlign w:val="center"/>
          </w:tcPr>
          <w:p w14:paraId="045A9687">
            <w:pPr>
              <w:pStyle w:val="46"/>
              <w:widowControl/>
              <w:spacing w:line="420" w:lineRule="atLeast"/>
              <w:jc w:val="center"/>
              <w:rPr>
                <w:rFonts w:ascii="宋体" w:hAnsi="宋体" w:cs="宋体"/>
                <w:sz w:val="21"/>
                <w:szCs w:val="21"/>
                <w:highlight w:val="none"/>
              </w:rPr>
            </w:pPr>
          </w:p>
        </w:tc>
        <w:tc>
          <w:tcPr>
            <w:tcW w:w="1421" w:type="pct"/>
            <w:vAlign w:val="center"/>
          </w:tcPr>
          <w:p w14:paraId="056F8278">
            <w:pPr>
              <w:pStyle w:val="46"/>
              <w:widowControl/>
              <w:spacing w:line="420" w:lineRule="atLeast"/>
              <w:jc w:val="center"/>
              <w:rPr>
                <w:rFonts w:ascii="宋体" w:hAnsi="宋体" w:cs="宋体"/>
                <w:sz w:val="21"/>
                <w:szCs w:val="21"/>
                <w:highlight w:val="none"/>
              </w:rPr>
            </w:pPr>
          </w:p>
        </w:tc>
      </w:tr>
      <w:tr w14:paraId="751C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712" w:type="pct"/>
            <w:vAlign w:val="center"/>
          </w:tcPr>
          <w:p w14:paraId="209634F6">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通信模块</w:t>
            </w:r>
          </w:p>
        </w:tc>
        <w:tc>
          <w:tcPr>
            <w:tcW w:w="712" w:type="pct"/>
            <w:vAlign w:val="center"/>
          </w:tcPr>
          <w:p w14:paraId="37E7B396">
            <w:pPr>
              <w:pStyle w:val="46"/>
              <w:widowControl/>
              <w:spacing w:line="420" w:lineRule="atLeast"/>
              <w:jc w:val="center"/>
              <w:rPr>
                <w:rFonts w:ascii="宋体" w:hAnsi="宋体" w:cs="宋体"/>
                <w:sz w:val="21"/>
                <w:szCs w:val="21"/>
                <w:highlight w:val="none"/>
              </w:rPr>
            </w:pPr>
          </w:p>
        </w:tc>
        <w:tc>
          <w:tcPr>
            <w:tcW w:w="829" w:type="pct"/>
            <w:vAlign w:val="center"/>
          </w:tcPr>
          <w:p w14:paraId="20C6424C">
            <w:pPr>
              <w:pStyle w:val="46"/>
              <w:jc w:val="center"/>
              <w:rPr>
                <w:rFonts w:ascii="宋体" w:hAnsi="宋体" w:cs="宋体"/>
                <w:sz w:val="21"/>
                <w:szCs w:val="21"/>
                <w:highlight w:val="none"/>
              </w:rPr>
            </w:pPr>
            <w:r>
              <w:rPr>
                <w:rFonts w:hint="eastAsia" w:ascii="宋体" w:hAnsi="宋体" w:cs="宋体"/>
                <w:sz w:val="21"/>
                <w:szCs w:val="21"/>
                <w:highlight w:val="none"/>
                <w:lang w:val="en-US" w:eastAsia="zh-CN"/>
              </w:rPr>
              <w:t>通信芯片</w:t>
            </w:r>
          </w:p>
        </w:tc>
        <w:tc>
          <w:tcPr>
            <w:tcW w:w="1323" w:type="pct"/>
            <w:vAlign w:val="center"/>
          </w:tcPr>
          <w:p w14:paraId="500B9246">
            <w:pPr>
              <w:pStyle w:val="46"/>
              <w:widowControl/>
              <w:spacing w:line="420" w:lineRule="atLeast"/>
              <w:jc w:val="center"/>
              <w:rPr>
                <w:rFonts w:ascii="宋体" w:hAnsi="宋体" w:cs="宋体"/>
                <w:sz w:val="21"/>
                <w:szCs w:val="21"/>
                <w:highlight w:val="none"/>
              </w:rPr>
            </w:pPr>
          </w:p>
        </w:tc>
        <w:tc>
          <w:tcPr>
            <w:tcW w:w="1421" w:type="pct"/>
            <w:vAlign w:val="center"/>
          </w:tcPr>
          <w:p w14:paraId="1C47E07B">
            <w:pPr>
              <w:pStyle w:val="46"/>
              <w:widowControl/>
              <w:spacing w:line="420" w:lineRule="atLeast"/>
              <w:rPr>
                <w:rFonts w:ascii="宋体" w:hAnsi="宋体" w:cs="宋体"/>
                <w:sz w:val="21"/>
                <w:szCs w:val="21"/>
                <w:highlight w:val="none"/>
              </w:rPr>
            </w:pPr>
          </w:p>
        </w:tc>
      </w:tr>
    </w:tbl>
    <w:p w14:paraId="7891703F">
      <w:pPr>
        <w:rPr>
          <w:highlight w:val="none"/>
        </w:rPr>
      </w:pPr>
    </w:p>
    <w:p w14:paraId="2DB2F133">
      <w:pPr>
        <w:pStyle w:val="371"/>
        <w:tabs>
          <w:tab w:val="left" w:pos="772"/>
        </w:tabs>
        <w:spacing w:after="100" w:line="470" w:lineRule="exact"/>
        <w:rPr>
          <w:rFonts w:ascii="Times New Roman" w:hAnsi="Times New Roman" w:cs="Times New Roman"/>
          <w:sz w:val="21"/>
          <w:szCs w:val="21"/>
          <w:highlight w:val="none"/>
          <w:lang w:val="en-US" w:eastAsia="zh-CN" w:bidi="ar-SA"/>
        </w:rPr>
      </w:pPr>
    </w:p>
    <w:tbl>
      <w:tblPr>
        <w:tblStyle w:val="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1371"/>
        <w:gridCol w:w="1596"/>
        <w:gridCol w:w="2548"/>
        <w:gridCol w:w="2743"/>
      </w:tblGrid>
      <w:tr w14:paraId="1AC0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586E15C8">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天通卫星接入终端室内机</w:t>
            </w:r>
          </w:p>
        </w:tc>
      </w:tr>
      <w:tr w14:paraId="7A091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Align w:val="center"/>
          </w:tcPr>
          <w:p w14:paraId="599C43D2">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模块类型</w:t>
            </w:r>
          </w:p>
        </w:tc>
        <w:tc>
          <w:tcPr>
            <w:tcW w:w="712" w:type="pct"/>
            <w:vAlign w:val="center"/>
          </w:tcPr>
          <w:p w14:paraId="40DC5AD6">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模块厂商名称</w:t>
            </w:r>
          </w:p>
        </w:tc>
        <w:tc>
          <w:tcPr>
            <w:tcW w:w="829" w:type="pct"/>
            <w:vAlign w:val="center"/>
          </w:tcPr>
          <w:p w14:paraId="3191E862">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芯片类型</w:t>
            </w:r>
          </w:p>
        </w:tc>
        <w:tc>
          <w:tcPr>
            <w:tcW w:w="1323" w:type="pct"/>
            <w:vAlign w:val="center"/>
          </w:tcPr>
          <w:p w14:paraId="41925AA5">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单模块国产芯片数量（颗）</w:t>
            </w:r>
          </w:p>
        </w:tc>
        <w:tc>
          <w:tcPr>
            <w:tcW w:w="1421" w:type="pct"/>
            <w:vAlign w:val="center"/>
          </w:tcPr>
          <w:p w14:paraId="51205AF8">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单模块非国产芯片数量（颗）</w:t>
            </w:r>
          </w:p>
        </w:tc>
      </w:tr>
      <w:tr w14:paraId="5C0D2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restart"/>
            <w:vAlign w:val="center"/>
          </w:tcPr>
          <w:p w14:paraId="5DAA3880">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核心处理组件</w:t>
            </w:r>
          </w:p>
        </w:tc>
        <w:tc>
          <w:tcPr>
            <w:tcW w:w="712" w:type="pct"/>
            <w:vAlign w:val="center"/>
          </w:tcPr>
          <w:p w14:paraId="13FEC547">
            <w:pPr>
              <w:pStyle w:val="46"/>
              <w:widowControl/>
              <w:spacing w:line="420" w:lineRule="atLeast"/>
              <w:jc w:val="center"/>
              <w:rPr>
                <w:rFonts w:ascii="宋体" w:hAnsi="宋体" w:cs="宋体"/>
                <w:sz w:val="21"/>
                <w:szCs w:val="21"/>
                <w:highlight w:val="none"/>
              </w:rPr>
            </w:pPr>
          </w:p>
        </w:tc>
        <w:tc>
          <w:tcPr>
            <w:tcW w:w="829" w:type="pct"/>
            <w:vAlign w:val="center"/>
          </w:tcPr>
          <w:p w14:paraId="51395230">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CPU</w:t>
            </w:r>
          </w:p>
        </w:tc>
        <w:tc>
          <w:tcPr>
            <w:tcW w:w="1323" w:type="pct"/>
            <w:vAlign w:val="center"/>
          </w:tcPr>
          <w:p w14:paraId="2FADD877">
            <w:pPr>
              <w:pStyle w:val="46"/>
              <w:widowControl/>
              <w:spacing w:line="420" w:lineRule="atLeast"/>
              <w:jc w:val="center"/>
              <w:rPr>
                <w:rFonts w:ascii="宋体" w:hAnsi="宋体" w:cs="宋体"/>
                <w:sz w:val="21"/>
                <w:szCs w:val="21"/>
                <w:highlight w:val="none"/>
              </w:rPr>
            </w:pPr>
          </w:p>
        </w:tc>
        <w:tc>
          <w:tcPr>
            <w:tcW w:w="1421" w:type="pct"/>
            <w:vAlign w:val="center"/>
          </w:tcPr>
          <w:p w14:paraId="6760D8C6">
            <w:pPr>
              <w:pStyle w:val="46"/>
              <w:widowControl/>
              <w:spacing w:line="420" w:lineRule="atLeast"/>
              <w:jc w:val="center"/>
              <w:rPr>
                <w:rFonts w:ascii="宋体" w:hAnsi="宋体" w:cs="宋体"/>
                <w:sz w:val="21"/>
                <w:szCs w:val="21"/>
                <w:highlight w:val="none"/>
              </w:rPr>
            </w:pPr>
          </w:p>
        </w:tc>
      </w:tr>
      <w:tr w14:paraId="5C16F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26E0A9FE">
            <w:pPr>
              <w:pStyle w:val="46"/>
              <w:widowControl/>
              <w:spacing w:line="420" w:lineRule="atLeast"/>
              <w:jc w:val="center"/>
              <w:rPr>
                <w:rFonts w:ascii="宋体" w:hAnsi="宋体" w:cs="宋体"/>
                <w:sz w:val="21"/>
                <w:szCs w:val="21"/>
                <w:highlight w:val="none"/>
              </w:rPr>
            </w:pPr>
          </w:p>
        </w:tc>
        <w:tc>
          <w:tcPr>
            <w:tcW w:w="712" w:type="pct"/>
            <w:vAlign w:val="center"/>
          </w:tcPr>
          <w:p w14:paraId="0FE64757">
            <w:pPr>
              <w:pStyle w:val="46"/>
              <w:widowControl/>
              <w:spacing w:line="420" w:lineRule="atLeast"/>
              <w:jc w:val="center"/>
              <w:rPr>
                <w:rFonts w:ascii="宋体" w:hAnsi="宋体" w:cs="宋体"/>
                <w:sz w:val="21"/>
                <w:szCs w:val="21"/>
                <w:highlight w:val="none"/>
              </w:rPr>
            </w:pPr>
          </w:p>
        </w:tc>
        <w:tc>
          <w:tcPr>
            <w:tcW w:w="829" w:type="pct"/>
            <w:vAlign w:val="center"/>
          </w:tcPr>
          <w:p w14:paraId="6C67E0E0">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DRAM颗粒</w:t>
            </w:r>
          </w:p>
        </w:tc>
        <w:tc>
          <w:tcPr>
            <w:tcW w:w="1323" w:type="pct"/>
            <w:vAlign w:val="center"/>
          </w:tcPr>
          <w:p w14:paraId="09DF159C">
            <w:pPr>
              <w:pStyle w:val="46"/>
              <w:widowControl/>
              <w:spacing w:line="420" w:lineRule="atLeast"/>
              <w:jc w:val="center"/>
              <w:rPr>
                <w:rFonts w:ascii="宋体" w:hAnsi="宋体" w:cs="宋体"/>
                <w:sz w:val="21"/>
                <w:szCs w:val="21"/>
                <w:highlight w:val="none"/>
              </w:rPr>
            </w:pPr>
          </w:p>
        </w:tc>
        <w:tc>
          <w:tcPr>
            <w:tcW w:w="1421" w:type="pct"/>
            <w:vAlign w:val="center"/>
          </w:tcPr>
          <w:p w14:paraId="3A0C92EF">
            <w:pPr>
              <w:pStyle w:val="46"/>
              <w:widowControl/>
              <w:spacing w:line="420" w:lineRule="atLeast"/>
              <w:jc w:val="center"/>
              <w:rPr>
                <w:rFonts w:ascii="宋体" w:hAnsi="宋体" w:cs="宋体"/>
                <w:sz w:val="21"/>
                <w:szCs w:val="21"/>
                <w:highlight w:val="none"/>
              </w:rPr>
            </w:pPr>
          </w:p>
        </w:tc>
      </w:tr>
      <w:tr w14:paraId="45EA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5853E1EC">
            <w:pPr>
              <w:pStyle w:val="46"/>
              <w:widowControl/>
              <w:spacing w:line="420" w:lineRule="atLeast"/>
              <w:jc w:val="center"/>
              <w:rPr>
                <w:rFonts w:ascii="宋体" w:hAnsi="宋体" w:cs="宋体"/>
                <w:sz w:val="21"/>
                <w:szCs w:val="21"/>
                <w:highlight w:val="none"/>
              </w:rPr>
            </w:pPr>
          </w:p>
        </w:tc>
        <w:tc>
          <w:tcPr>
            <w:tcW w:w="712" w:type="pct"/>
            <w:vAlign w:val="center"/>
          </w:tcPr>
          <w:p w14:paraId="46B7E3AE">
            <w:pPr>
              <w:pStyle w:val="46"/>
              <w:widowControl/>
              <w:spacing w:line="420" w:lineRule="atLeast"/>
              <w:jc w:val="center"/>
              <w:rPr>
                <w:rFonts w:ascii="宋体" w:hAnsi="宋体" w:cs="宋体"/>
                <w:sz w:val="21"/>
                <w:szCs w:val="21"/>
                <w:highlight w:val="none"/>
              </w:rPr>
            </w:pPr>
          </w:p>
        </w:tc>
        <w:tc>
          <w:tcPr>
            <w:tcW w:w="829" w:type="pct"/>
            <w:vAlign w:val="center"/>
          </w:tcPr>
          <w:p w14:paraId="63F68608">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Flash</w:t>
            </w:r>
          </w:p>
        </w:tc>
        <w:tc>
          <w:tcPr>
            <w:tcW w:w="1323" w:type="pct"/>
            <w:vAlign w:val="center"/>
          </w:tcPr>
          <w:p w14:paraId="00D89DCF">
            <w:pPr>
              <w:pStyle w:val="46"/>
              <w:widowControl/>
              <w:spacing w:line="420" w:lineRule="atLeast"/>
              <w:jc w:val="center"/>
              <w:rPr>
                <w:rFonts w:ascii="宋体" w:hAnsi="宋体" w:cs="宋体"/>
                <w:sz w:val="21"/>
                <w:szCs w:val="21"/>
                <w:highlight w:val="none"/>
              </w:rPr>
            </w:pPr>
          </w:p>
        </w:tc>
        <w:tc>
          <w:tcPr>
            <w:tcW w:w="1421" w:type="pct"/>
            <w:vAlign w:val="center"/>
          </w:tcPr>
          <w:p w14:paraId="40E0F82F">
            <w:pPr>
              <w:pStyle w:val="46"/>
              <w:widowControl/>
              <w:spacing w:line="420" w:lineRule="atLeast"/>
              <w:jc w:val="center"/>
              <w:rPr>
                <w:rFonts w:ascii="宋体" w:hAnsi="宋体" w:cs="宋体"/>
                <w:sz w:val="21"/>
                <w:szCs w:val="21"/>
                <w:highlight w:val="none"/>
              </w:rPr>
            </w:pPr>
          </w:p>
        </w:tc>
      </w:tr>
      <w:tr w14:paraId="2D366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712" w:type="pct"/>
            <w:vAlign w:val="center"/>
          </w:tcPr>
          <w:p w14:paraId="742636AD">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通信模块</w:t>
            </w:r>
          </w:p>
        </w:tc>
        <w:tc>
          <w:tcPr>
            <w:tcW w:w="712" w:type="pct"/>
            <w:vAlign w:val="center"/>
          </w:tcPr>
          <w:p w14:paraId="1C14A2EC">
            <w:pPr>
              <w:pStyle w:val="46"/>
              <w:widowControl/>
              <w:spacing w:line="420" w:lineRule="atLeast"/>
              <w:jc w:val="center"/>
              <w:rPr>
                <w:rFonts w:ascii="宋体" w:hAnsi="宋体" w:cs="宋体"/>
                <w:sz w:val="21"/>
                <w:szCs w:val="21"/>
                <w:highlight w:val="none"/>
              </w:rPr>
            </w:pPr>
          </w:p>
        </w:tc>
        <w:tc>
          <w:tcPr>
            <w:tcW w:w="829" w:type="pct"/>
            <w:vAlign w:val="center"/>
          </w:tcPr>
          <w:p w14:paraId="2FC7E998">
            <w:pPr>
              <w:pStyle w:val="46"/>
              <w:jc w:val="center"/>
              <w:rPr>
                <w:rFonts w:ascii="宋体" w:hAnsi="宋体" w:cs="宋体"/>
                <w:sz w:val="21"/>
                <w:szCs w:val="21"/>
                <w:highlight w:val="none"/>
              </w:rPr>
            </w:pPr>
            <w:r>
              <w:rPr>
                <w:rFonts w:hint="eastAsia" w:ascii="宋体" w:hAnsi="宋体" w:cs="宋体"/>
                <w:sz w:val="21"/>
                <w:szCs w:val="21"/>
                <w:highlight w:val="none"/>
                <w:lang w:val="en-US" w:eastAsia="zh-CN"/>
              </w:rPr>
              <w:t>通信芯片</w:t>
            </w:r>
          </w:p>
        </w:tc>
        <w:tc>
          <w:tcPr>
            <w:tcW w:w="1323" w:type="pct"/>
            <w:vAlign w:val="center"/>
          </w:tcPr>
          <w:p w14:paraId="13847CBB">
            <w:pPr>
              <w:pStyle w:val="46"/>
              <w:widowControl/>
              <w:spacing w:line="420" w:lineRule="atLeast"/>
              <w:jc w:val="center"/>
              <w:rPr>
                <w:rFonts w:ascii="宋体" w:hAnsi="宋体" w:cs="宋体"/>
                <w:sz w:val="21"/>
                <w:szCs w:val="21"/>
                <w:highlight w:val="none"/>
              </w:rPr>
            </w:pPr>
          </w:p>
        </w:tc>
        <w:tc>
          <w:tcPr>
            <w:tcW w:w="1421" w:type="pct"/>
            <w:vAlign w:val="center"/>
          </w:tcPr>
          <w:p w14:paraId="30B6D0E5">
            <w:pPr>
              <w:pStyle w:val="46"/>
              <w:widowControl/>
              <w:spacing w:line="420" w:lineRule="atLeast"/>
              <w:rPr>
                <w:rFonts w:ascii="宋体" w:hAnsi="宋体" w:cs="宋体"/>
                <w:sz w:val="21"/>
                <w:szCs w:val="21"/>
                <w:highlight w:val="none"/>
              </w:rPr>
            </w:pPr>
          </w:p>
        </w:tc>
      </w:tr>
    </w:tbl>
    <w:p w14:paraId="1EB79706">
      <w:pPr>
        <w:pStyle w:val="371"/>
        <w:tabs>
          <w:tab w:val="left" w:pos="772"/>
        </w:tabs>
        <w:spacing w:after="100" w:line="470" w:lineRule="exact"/>
        <w:rPr>
          <w:rFonts w:ascii="Times New Roman" w:hAnsi="Times New Roman" w:cs="Times New Roman"/>
          <w:sz w:val="21"/>
          <w:szCs w:val="21"/>
          <w:highlight w:val="none"/>
          <w:lang w:val="en-US" w:eastAsia="zh-CN" w:bidi="ar-SA"/>
        </w:rPr>
      </w:pPr>
    </w:p>
    <w:sectPr>
      <w:pgSz w:w="11907" w:h="16840"/>
      <w:pgMar w:top="1474" w:right="1247" w:bottom="1474" w:left="1247" w:header="850" w:footer="850"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EU-F1">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lotter">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Book Antiqua">
    <w:panose1 w:val="020406020503050303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C3869">
    <w:pPr>
      <w:pStyle w:val="35"/>
      <w:jc w:val="center"/>
    </w:pPr>
  </w:p>
  <w:p w14:paraId="6CE68CE7">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D8258">
    <w:pPr>
      <w:pStyle w:val="3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EEB648">
                          <w:pPr>
                            <w:pStyle w:val="3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AEEB648">
                    <w:pPr>
                      <w:pStyle w:val="35"/>
                    </w:pPr>
                  </w:p>
                </w:txbxContent>
              </v:textbox>
            </v:shape>
          </w:pict>
        </mc:Fallback>
      </mc:AlternateContent>
    </w:r>
  </w:p>
  <w:p w14:paraId="0F0F877C">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B0D8D">
    <w:pPr>
      <w:pStyle w:val="3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83B6E3">
                          <w:pPr>
                            <w:pStyle w:val="35"/>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383B6E3">
                    <w:pPr>
                      <w:pStyle w:val="35"/>
                    </w:pPr>
                    <w:r>
                      <w:fldChar w:fldCharType="begin"/>
                    </w:r>
                    <w:r>
                      <w:instrText xml:space="preserve"> PAGE  \* MERGEFORMAT </w:instrText>
                    </w:r>
                    <w:r>
                      <w:fldChar w:fldCharType="separate"/>
                    </w:r>
                    <w:r>
                      <w:t>26</w:t>
                    </w:r>
                    <w:r>
                      <w:fldChar w:fldCharType="end"/>
                    </w:r>
                  </w:p>
                </w:txbxContent>
              </v:textbox>
            </v:shape>
          </w:pict>
        </mc:Fallback>
      </mc:AlternateContent>
    </w:r>
  </w:p>
  <w:p w14:paraId="1E31A1CE">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29335">
    <w:pPr>
      <w:pStyle w:val="35"/>
      <w:ind w:firstLine="360"/>
      <w:jc w:val="center"/>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FF5A2">
                          <w:pPr>
                            <w:pStyle w:val="35"/>
                            <w:ind w:firstLine="360"/>
                            <w:jc w:val="center"/>
                          </w:pPr>
                          <w:r>
                            <w:fldChar w:fldCharType="begin"/>
                          </w:r>
                          <w:r>
                            <w:instrText xml:space="preserve"> PAGE   \* MERGEFORMAT </w:instrText>
                          </w:r>
                          <w:r>
                            <w:fldChar w:fldCharType="separate"/>
                          </w:r>
                          <w:r>
                            <w:rPr>
                              <w:lang w:val="zh-CN"/>
                            </w:rPr>
                            <w:t>31</w:t>
                          </w:r>
                          <w:r>
                            <w:rPr>
                              <w:lang w:val="zh-CN"/>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J8kWxgEAAJsDAAAOAAAAAAAAAAEAIAAAAB4BAABkcnMvZTJvRG9jLnht&#10;bFBLBQYAAAAABgAGAFkBAABWBQAAAAA=&#10;">
              <v:fill on="f" focussize="0,0"/>
              <v:stroke on="f"/>
              <v:imagedata o:title=""/>
              <o:lock v:ext="edit" aspectratio="f"/>
              <v:textbox inset="0mm,0mm,0mm,0mm" style="mso-fit-shape-to-text:t;">
                <w:txbxContent>
                  <w:p w14:paraId="2CDFF5A2">
                    <w:pPr>
                      <w:pStyle w:val="35"/>
                      <w:ind w:firstLine="360"/>
                      <w:jc w:val="center"/>
                    </w:pPr>
                    <w:r>
                      <w:fldChar w:fldCharType="begin"/>
                    </w:r>
                    <w:r>
                      <w:instrText xml:space="preserve"> PAGE   \* MERGEFORMAT </w:instrText>
                    </w:r>
                    <w:r>
                      <w:fldChar w:fldCharType="separate"/>
                    </w:r>
                    <w:r>
                      <w:rPr>
                        <w:lang w:val="zh-CN"/>
                      </w:rPr>
                      <w:t>31</w:t>
                    </w:r>
                    <w:r>
                      <w:rPr>
                        <w:lang w:val="zh-CN"/>
                      </w:rPr>
                      <w:fldChar w:fldCharType="end"/>
                    </w:r>
                  </w:p>
                </w:txbxContent>
              </v:textbox>
            </v:shape>
          </w:pict>
        </mc:Fallback>
      </mc:AlternateContent>
    </w:r>
  </w:p>
  <w:p w14:paraId="38328892">
    <w:pPr>
      <w:pStyle w:val="35"/>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4B072">
    <w:pPr>
      <w:pStyle w:val="35"/>
      <w:ind w:firstLine="360"/>
      <w:jc w:val="both"/>
    </w:pPr>
    <w:r>
      <w:fldChar w:fldCharType="begin"/>
    </w:r>
    <w:r>
      <w:rPr>
        <w:rStyle w:val="56"/>
      </w:rPr>
      <w:instrText xml:space="preserve"> PAGE </w:instrText>
    </w:r>
    <w:r>
      <w:fldChar w:fldCharType="separate"/>
    </w:r>
    <w:r>
      <w:rPr>
        <w:rStyle w:val="56"/>
      </w:rPr>
      <w:t>IV</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94BB1">
    <w:pPr>
      <w:pStyle w:val="36"/>
      <w:pBdr>
        <w:bottom w:val="single" w:color="auto" w:sz="4"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575B7"/>
    <w:multiLevelType w:val="multilevel"/>
    <w:tmpl w:val="A44575B7"/>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
    <w:nsid w:val="D776912E"/>
    <w:multiLevelType w:val="multilevel"/>
    <w:tmpl w:val="D776912E"/>
    <w:lvl w:ilvl="0" w:tentative="0">
      <w:start w:val="1"/>
      <w:numFmt w:val="decimal"/>
      <w:lvlText w:val="%1"/>
      <w:lvlJc w:val="left"/>
      <w:pPr>
        <w:ind w:left="0" w:firstLine="0"/>
      </w:pPr>
      <w:rPr>
        <w:rFonts w:hint="eastAsia" w:ascii="黑体" w:hAnsi="黑体" w:eastAsia="黑体"/>
      </w:rPr>
    </w:lvl>
    <w:lvl w:ilvl="1" w:tentative="0">
      <w:start w:val="1"/>
      <w:numFmt w:val="decimal"/>
      <w:lvlText w:val="%2."/>
      <w:lvlJc w:val="left"/>
      <w:pPr>
        <w:ind w:left="0" w:firstLine="0"/>
      </w:pPr>
      <w:rPr>
        <w:rFonts w:hint="eastAsia"/>
        <w:lang w:val="en-US"/>
      </w:rPr>
    </w:lvl>
    <w:lvl w:ilvl="2" w:tentative="0">
      <w:start w:val="1"/>
      <w:numFmt w:val="decimal"/>
      <w:lvlText w:val="%3."/>
      <w:lvlJc w:val="left"/>
      <w:pPr>
        <w:ind w:left="0" w:firstLine="0"/>
      </w:pPr>
      <w:rPr>
        <w:rFonts w:hint="eastAsia"/>
        <w:b w:val="0"/>
      </w:rPr>
    </w:lvl>
    <w:lvl w:ilvl="3" w:tentative="0">
      <w:start w:val="1"/>
      <w:numFmt w:val="decimal"/>
      <w:lvlText w:val="%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9."/>
      <w:lvlJc w:val="left"/>
      <w:pPr>
        <w:ind w:left="0" w:firstLine="0"/>
      </w:pPr>
      <w:rPr>
        <w:rFonts w:hint="eastAsia"/>
      </w:rPr>
    </w:lvl>
  </w:abstractNum>
  <w:abstractNum w:abstractNumId="2">
    <w:nsid w:val="D96751ED"/>
    <w:multiLevelType w:val="multilevel"/>
    <w:tmpl w:val="D96751ED"/>
    <w:lvl w:ilvl="0" w:tentative="0">
      <w:start w:val="1"/>
      <w:numFmt w:val="decimal"/>
      <w:pStyle w:val="109"/>
      <w:lvlText w:val="%1"/>
      <w:lvlJc w:val="left"/>
      <w:pPr>
        <w:ind w:left="0" w:firstLine="0"/>
      </w:pPr>
      <w:rPr>
        <w:rFonts w:hint="eastAsia" w:ascii="黑体" w:hAnsi="黑体" w:eastAsia="黑体"/>
      </w:rPr>
    </w:lvl>
    <w:lvl w:ilvl="1" w:tentative="0">
      <w:start w:val="1"/>
      <w:numFmt w:val="none"/>
      <w:lvlText w:val="2."/>
      <w:lvlJc w:val="left"/>
      <w:pPr>
        <w:ind w:left="0" w:firstLine="0"/>
      </w:pPr>
      <w:rPr>
        <w:rFonts w:hint="default" w:ascii="宋体" w:hAnsi="宋体" w:eastAsia="宋体" w:cs="宋体"/>
        <w:lang w:val="en-US"/>
      </w:rPr>
    </w:lvl>
    <w:lvl w:ilvl="2" w:tentative="0">
      <w:start w:val="1"/>
      <w:numFmt w:val="decimal"/>
      <w:lvlText w:val="%3."/>
      <w:lvlJc w:val="left"/>
      <w:pPr>
        <w:ind w:left="0" w:firstLine="0"/>
      </w:pPr>
      <w:rPr>
        <w:rFonts w:hint="default" w:ascii="宋体" w:hAnsi="宋体" w:eastAsia="宋体" w:cs="宋体"/>
        <w:b w:val="0"/>
      </w:rPr>
    </w:lvl>
    <w:lvl w:ilvl="3" w:tentative="0">
      <w:start w:val="1"/>
      <w:numFmt w:val="decimal"/>
      <w:lvlText w:val="%4."/>
      <w:lvlJc w:val="left"/>
      <w:pPr>
        <w:ind w:left="0" w:firstLine="0"/>
      </w:pPr>
      <w:rPr>
        <w:rFonts w:hint="default" w:ascii="宋体" w:hAnsi="宋体" w:eastAsia="宋体" w:cs="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
    <w:nsid w:val="DBE7BA35"/>
    <w:multiLevelType w:val="multilevel"/>
    <w:tmpl w:val="DBE7BA35"/>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
    <w:nsid w:val="F96BBE5E"/>
    <w:multiLevelType w:val="multilevel"/>
    <w:tmpl w:val="F96BBE5E"/>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5">
    <w:nsid w:val="FFFFFF7C"/>
    <w:multiLevelType w:val="singleLevel"/>
    <w:tmpl w:val="FFFFFF7C"/>
    <w:lvl w:ilvl="0" w:tentative="0">
      <w:start w:val="1"/>
      <w:numFmt w:val="decimal"/>
      <w:pStyle w:val="40"/>
      <w:lvlText w:val="%1."/>
      <w:lvlJc w:val="left"/>
      <w:pPr>
        <w:tabs>
          <w:tab w:val="left" w:pos="2040"/>
        </w:tabs>
        <w:ind w:left="2040" w:hanging="360"/>
      </w:pPr>
    </w:lvl>
  </w:abstractNum>
  <w:abstractNum w:abstractNumId="6">
    <w:nsid w:val="00000014"/>
    <w:multiLevelType w:val="multilevel"/>
    <w:tmpl w:val="00000014"/>
    <w:lvl w:ilvl="0" w:tentative="0">
      <w:start w:val="1"/>
      <w:numFmt w:val="upperLetter"/>
      <w:suff w:val="space"/>
      <w:lvlText w:val="%1"/>
      <w:lvlJc w:val="left"/>
      <w:pPr>
        <w:ind w:left="623" w:hanging="425"/>
      </w:pPr>
      <w:rPr>
        <w:rFonts w:hint="default"/>
        <w:u w:val="none"/>
      </w:rPr>
    </w:lvl>
    <w:lvl w:ilvl="1" w:tentative="0">
      <w:start w:val="1"/>
      <w:numFmt w:val="decimal"/>
      <w:pStyle w:val="363"/>
      <w:suff w:val="nothing"/>
      <w:lvlText w:val="图%1.%2　"/>
      <w:lvlJc w:val="left"/>
      <w:pPr>
        <w:ind w:left="1190" w:hanging="567"/>
      </w:pPr>
      <w:rPr>
        <w:rFonts w:hint="default"/>
        <w:u w:val="none"/>
      </w:rPr>
    </w:lvl>
    <w:lvl w:ilvl="2" w:tentative="0">
      <w:start w:val="1"/>
      <w:numFmt w:val="decimal"/>
      <w:lvlText w:val="%1.%2.%3"/>
      <w:lvlJc w:val="left"/>
      <w:pPr>
        <w:tabs>
          <w:tab w:val="left" w:pos="1616"/>
        </w:tabs>
        <w:ind w:left="1616" w:hanging="567"/>
      </w:pPr>
      <w:rPr>
        <w:rFonts w:hint="default"/>
        <w:u w:val="none"/>
      </w:rPr>
    </w:lvl>
    <w:lvl w:ilvl="3" w:tentative="0">
      <w:start w:val="1"/>
      <w:numFmt w:val="decimal"/>
      <w:lvlText w:val="%1.%2.%3.%4"/>
      <w:lvlJc w:val="left"/>
      <w:pPr>
        <w:tabs>
          <w:tab w:val="left" w:pos="2914"/>
        </w:tabs>
        <w:ind w:left="2182" w:hanging="708"/>
      </w:pPr>
      <w:rPr>
        <w:rFonts w:hint="default"/>
        <w:u w:val="none"/>
      </w:rPr>
    </w:lvl>
    <w:lvl w:ilvl="4" w:tentative="0">
      <w:start w:val="1"/>
      <w:numFmt w:val="decimal"/>
      <w:lvlText w:val="%1.%2.%3.%4.%5"/>
      <w:lvlJc w:val="left"/>
      <w:pPr>
        <w:tabs>
          <w:tab w:val="left" w:pos="3699"/>
        </w:tabs>
        <w:ind w:left="2749" w:hanging="850"/>
      </w:pPr>
      <w:rPr>
        <w:rFonts w:hint="default"/>
        <w:u w:val="none"/>
      </w:rPr>
    </w:lvl>
    <w:lvl w:ilvl="5" w:tentative="0">
      <w:start w:val="1"/>
      <w:numFmt w:val="decimal"/>
      <w:lvlText w:val="%1.%2.%3.%4.%5.%6"/>
      <w:lvlJc w:val="left"/>
      <w:pPr>
        <w:tabs>
          <w:tab w:val="left" w:pos="4484"/>
        </w:tabs>
        <w:ind w:left="3458" w:hanging="1134"/>
      </w:pPr>
      <w:rPr>
        <w:rFonts w:hint="default"/>
        <w:u w:val="none"/>
      </w:rPr>
    </w:lvl>
    <w:lvl w:ilvl="6" w:tentative="0">
      <w:start w:val="1"/>
      <w:numFmt w:val="decimal"/>
      <w:lvlText w:val="%1.%2.%3.%4.%5.%6.%7"/>
      <w:lvlJc w:val="left"/>
      <w:pPr>
        <w:tabs>
          <w:tab w:val="left" w:pos="5269"/>
        </w:tabs>
        <w:ind w:left="4025" w:hanging="1276"/>
      </w:pPr>
      <w:rPr>
        <w:rFonts w:hint="default"/>
        <w:u w:val="none"/>
      </w:rPr>
    </w:lvl>
    <w:lvl w:ilvl="7" w:tentative="0">
      <w:start w:val="1"/>
      <w:numFmt w:val="decimal"/>
      <w:lvlText w:val="%1.%2.%3.%4.%5.%6.%7.%8"/>
      <w:lvlJc w:val="left"/>
      <w:pPr>
        <w:tabs>
          <w:tab w:val="left" w:pos="6054"/>
        </w:tabs>
        <w:ind w:left="4592" w:hanging="1418"/>
      </w:pPr>
      <w:rPr>
        <w:rFonts w:hint="default"/>
        <w:u w:val="none"/>
      </w:rPr>
    </w:lvl>
    <w:lvl w:ilvl="8" w:tentative="0">
      <w:start w:val="1"/>
      <w:numFmt w:val="decimal"/>
      <w:lvlText w:val="%1.%2.%3.%4.%5.%6.%7.%8.%9"/>
      <w:lvlJc w:val="left"/>
      <w:pPr>
        <w:tabs>
          <w:tab w:val="left" w:pos="6840"/>
        </w:tabs>
        <w:ind w:left="5300" w:hanging="1700"/>
      </w:pPr>
      <w:rPr>
        <w:rFonts w:hint="default"/>
        <w:u w:val="none"/>
      </w:rPr>
    </w:lvl>
  </w:abstractNum>
  <w:abstractNum w:abstractNumId="7">
    <w:nsid w:val="00000026"/>
    <w:multiLevelType w:val="multilevel"/>
    <w:tmpl w:val="00000026"/>
    <w:lvl w:ilvl="0" w:tentative="0">
      <w:start w:val="4"/>
      <w:numFmt w:val="decimal"/>
      <w:lvlText w:val="%1"/>
      <w:lvlJc w:val="left"/>
      <w:pPr>
        <w:ind w:left="375" w:hanging="375"/>
      </w:pPr>
      <w:rPr>
        <w:rFonts w:hint="default"/>
      </w:rPr>
    </w:lvl>
    <w:lvl w:ilvl="1" w:tentative="0">
      <w:start w:val="5"/>
      <w:numFmt w:val="decimal"/>
      <w:lvlText w:val="%1.%2"/>
      <w:lvlJc w:val="left"/>
      <w:pPr>
        <w:ind w:left="375" w:hanging="375"/>
      </w:pPr>
      <w:rPr>
        <w:rFonts w:hint="default"/>
      </w:rPr>
    </w:lvl>
    <w:lvl w:ilvl="2" w:tentative="0">
      <w:start w:val="1"/>
      <w:numFmt w:val="decimal"/>
      <w:pStyle w:val="334"/>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8">
    <w:nsid w:val="02814DA5"/>
    <w:multiLevelType w:val="multilevel"/>
    <w:tmpl w:val="02814DA5"/>
    <w:lvl w:ilvl="0" w:tentative="0">
      <w:start w:val="1"/>
      <w:numFmt w:val="decimal"/>
      <w:pStyle w:val="17"/>
      <w:lvlText w:val="%1"/>
      <w:lvlJc w:val="left"/>
      <w:pPr>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6.2.%3"/>
      <w:lvlJc w:val="left"/>
      <w:pPr>
        <w:ind w:left="0" w:firstLine="0"/>
      </w:pPr>
      <w:rPr>
        <w:rFonts w:hint="eastAsia"/>
      </w:rPr>
    </w:lvl>
    <w:lvl w:ilvl="3" w:tentative="0">
      <w:start w:val="1"/>
      <w:numFmt w:val="decimal"/>
      <w:lvlText w:val="6.2.1.%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9">
    <w:nsid w:val="02F75C40"/>
    <w:multiLevelType w:val="multilevel"/>
    <w:tmpl w:val="02F75C40"/>
    <w:lvl w:ilvl="0" w:tentative="0">
      <w:start w:val="1"/>
      <w:numFmt w:val="lowerLetter"/>
      <w:pStyle w:val="255"/>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19"/>
      <w:suff w:val="nothing"/>
      <w:lvlText w:val="%1%2.%3　"/>
      <w:lvlJc w:val="left"/>
      <w:pPr>
        <w:ind w:left="0" w:firstLine="0"/>
      </w:pPr>
      <w:rPr>
        <w:rFonts w:hint="eastAsia" w:ascii="黑体" w:hAnsi="Times New Roman" w:eastAsia="黑体"/>
        <w:b w:val="0"/>
        <w:i w:val="0"/>
        <w:sz w:val="21"/>
      </w:rPr>
    </w:lvl>
    <w:lvl w:ilvl="3" w:tentative="0">
      <w:start w:val="1"/>
      <w:numFmt w:val="decimal"/>
      <w:pStyle w:val="115"/>
      <w:suff w:val="nothing"/>
      <w:lvlText w:val="%1%2.%3.%4　"/>
      <w:lvlJc w:val="left"/>
      <w:pPr>
        <w:ind w:left="0" w:firstLine="0"/>
      </w:pPr>
      <w:rPr>
        <w:rFonts w:hint="eastAsia" w:ascii="黑体" w:hAnsi="Times New Roman" w:eastAsia="黑体"/>
        <w:b w:val="0"/>
        <w:i w:val="0"/>
        <w:sz w:val="21"/>
      </w:rPr>
    </w:lvl>
    <w:lvl w:ilvl="4" w:tentative="0">
      <w:start w:val="1"/>
      <w:numFmt w:val="decimal"/>
      <w:pStyle w:val="116"/>
      <w:suff w:val="nothing"/>
      <w:lvlText w:val="%1%2.%3.%4.%5　"/>
      <w:lvlJc w:val="left"/>
      <w:pPr>
        <w:ind w:left="0" w:firstLine="0"/>
      </w:pPr>
      <w:rPr>
        <w:rFonts w:hint="eastAsia" w:ascii="黑体" w:hAnsi="Times New Roman" w:eastAsia="黑体"/>
        <w:b w:val="0"/>
        <w:i w:val="0"/>
        <w:sz w:val="21"/>
      </w:rPr>
    </w:lvl>
    <w:lvl w:ilvl="5" w:tentative="0">
      <w:start w:val="1"/>
      <w:numFmt w:val="decimal"/>
      <w:pStyle w:val="117"/>
      <w:suff w:val="nothing"/>
      <w:lvlText w:val="%1%2.%3.%4.%5.%6　"/>
      <w:lvlJc w:val="left"/>
      <w:pPr>
        <w:ind w:left="0" w:firstLine="0"/>
      </w:pPr>
      <w:rPr>
        <w:rFonts w:hint="eastAsia" w:ascii="黑体" w:hAnsi="Times New Roman" w:eastAsia="黑体"/>
        <w:b w:val="0"/>
        <w:i w:val="0"/>
        <w:sz w:val="21"/>
      </w:rPr>
    </w:lvl>
    <w:lvl w:ilvl="6" w:tentative="0">
      <w:start w:val="1"/>
      <w:numFmt w:val="decimal"/>
      <w:pStyle w:val="11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621564A"/>
    <w:multiLevelType w:val="multilevel"/>
    <w:tmpl w:val="0621564A"/>
    <w:lvl w:ilvl="0" w:tentative="0">
      <w:start w:val="1"/>
      <w:numFmt w:val="bullet"/>
      <w:pStyle w:val="375"/>
      <w:lvlText w:val=""/>
      <w:lvlJc w:val="left"/>
      <w:pPr>
        <w:tabs>
          <w:tab w:val="left" w:pos="1701"/>
        </w:tabs>
        <w:ind w:left="1701" w:hanging="397"/>
      </w:pPr>
      <w:rPr>
        <w:rFonts w:hint="default" w:ascii="Wingdings" w:hAnsi="Wingdings"/>
      </w:rPr>
    </w:lvl>
    <w:lvl w:ilvl="1" w:tentative="0">
      <w:start w:val="1"/>
      <w:numFmt w:val="bullet"/>
      <w:lvlText w:val=""/>
      <w:lvlJc w:val="left"/>
      <w:pPr>
        <w:tabs>
          <w:tab w:val="left" w:pos="2054"/>
        </w:tabs>
        <w:ind w:left="2054" w:hanging="420"/>
      </w:pPr>
      <w:rPr>
        <w:rFonts w:hint="default" w:ascii="Wingdings" w:hAnsi="Wingdings"/>
      </w:rPr>
    </w:lvl>
    <w:lvl w:ilvl="2" w:tentative="0">
      <w:start w:val="1"/>
      <w:numFmt w:val="bullet"/>
      <w:lvlText w:val=""/>
      <w:lvlJc w:val="left"/>
      <w:pPr>
        <w:tabs>
          <w:tab w:val="left" w:pos="2474"/>
        </w:tabs>
        <w:ind w:left="2474" w:hanging="420"/>
      </w:pPr>
      <w:rPr>
        <w:rFonts w:hint="default" w:ascii="Wingdings" w:hAnsi="Wingdings"/>
      </w:rPr>
    </w:lvl>
    <w:lvl w:ilvl="3" w:tentative="0">
      <w:start w:val="1"/>
      <w:numFmt w:val="bullet"/>
      <w:lvlText w:val=""/>
      <w:lvlJc w:val="left"/>
      <w:pPr>
        <w:tabs>
          <w:tab w:val="left" w:pos="2894"/>
        </w:tabs>
        <w:ind w:left="2894" w:hanging="420"/>
      </w:pPr>
      <w:rPr>
        <w:rFonts w:hint="default" w:ascii="Wingdings" w:hAnsi="Wingdings"/>
      </w:rPr>
    </w:lvl>
    <w:lvl w:ilvl="4" w:tentative="0">
      <w:start w:val="1"/>
      <w:numFmt w:val="bullet"/>
      <w:lvlText w:val=""/>
      <w:lvlJc w:val="left"/>
      <w:pPr>
        <w:tabs>
          <w:tab w:val="left" w:pos="3314"/>
        </w:tabs>
        <w:ind w:left="3314" w:hanging="420"/>
      </w:pPr>
      <w:rPr>
        <w:rFonts w:hint="default" w:ascii="Wingdings" w:hAnsi="Wingdings"/>
      </w:rPr>
    </w:lvl>
    <w:lvl w:ilvl="5" w:tentative="0">
      <w:start w:val="1"/>
      <w:numFmt w:val="bullet"/>
      <w:lvlText w:val=""/>
      <w:lvlJc w:val="left"/>
      <w:pPr>
        <w:tabs>
          <w:tab w:val="left" w:pos="3734"/>
        </w:tabs>
        <w:ind w:left="3734" w:hanging="420"/>
      </w:pPr>
      <w:rPr>
        <w:rFonts w:hint="default" w:ascii="Wingdings" w:hAnsi="Wingdings"/>
      </w:rPr>
    </w:lvl>
    <w:lvl w:ilvl="6" w:tentative="0">
      <w:start w:val="1"/>
      <w:numFmt w:val="bullet"/>
      <w:lvlText w:val=""/>
      <w:lvlJc w:val="left"/>
      <w:pPr>
        <w:tabs>
          <w:tab w:val="left" w:pos="4154"/>
        </w:tabs>
        <w:ind w:left="4154" w:hanging="420"/>
      </w:pPr>
      <w:rPr>
        <w:rFonts w:hint="default" w:ascii="Wingdings" w:hAnsi="Wingdings"/>
      </w:rPr>
    </w:lvl>
    <w:lvl w:ilvl="7" w:tentative="0">
      <w:start w:val="1"/>
      <w:numFmt w:val="bullet"/>
      <w:lvlText w:val=""/>
      <w:lvlJc w:val="left"/>
      <w:pPr>
        <w:tabs>
          <w:tab w:val="left" w:pos="4574"/>
        </w:tabs>
        <w:ind w:left="4574" w:hanging="420"/>
      </w:pPr>
      <w:rPr>
        <w:rFonts w:hint="default" w:ascii="Wingdings" w:hAnsi="Wingdings"/>
      </w:rPr>
    </w:lvl>
    <w:lvl w:ilvl="8" w:tentative="0">
      <w:start w:val="1"/>
      <w:numFmt w:val="bullet"/>
      <w:lvlText w:val=""/>
      <w:lvlJc w:val="left"/>
      <w:pPr>
        <w:tabs>
          <w:tab w:val="left" w:pos="4994"/>
        </w:tabs>
        <w:ind w:left="4994" w:hanging="420"/>
      </w:pPr>
      <w:rPr>
        <w:rFonts w:hint="default" w:ascii="Wingdings" w:hAnsi="Wingdings"/>
      </w:rPr>
    </w:lvl>
  </w:abstractNum>
  <w:abstractNum w:abstractNumId="12">
    <w:nsid w:val="07F502A4"/>
    <w:multiLevelType w:val="multilevel"/>
    <w:tmpl w:val="07F502A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B9B7337"/>
    <w:multiLevelType w:val="multilevel"/>
    <w:tmpl w:val="0B9B7337"/>
    <w:lvl w:ilvl="0" w:tentative="0">
      <w:start w:val="1"/>
      <w:numFmt w:val="lowerLetter"/>
      <w:pStyle w:val="254"/>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4">
    <w:nsid w:val="0FAE49ED"/>
    <w:multiLevelType w:val="multilevel"/>
    <w:tmpl w:val="0FAE49ED"/>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5">
    <w:nsid w:val="11F401D6"/>
    <w:multiLevelType w:val="multilevel"/>
    <w:tmpl w:val="11F401D6"/>
    <w:lvl w:ilvl="0" w:tentative="0">
      <w:start w:val="1"/>
      <w:numFmt w:val="lowerLetter"/>
      <w:pStyle w:val="350"/>
      <w:lvlText w:val="%1）"/>
      <w:lvlJc w:val="left"/>
      <w:pPr>
        <w:tabs>
          <w:tab w:val="left" w:pos="0"/>
        </w:tabs>
        <w:ind w:left="1140" w:hanging="420"/>
      </w:pPr>
      <w:rPr>
        <w:rFonts w:hint="eastAsia" w:ascii="Times New Roman" w:hAnsi="Times New Roman" w:cs="Times New Roman"/>
        <w:b w:val="0"/>
        <w:bCs w:val="0"/>
        <w:i w:val="0"/>
        <w:iCs w:val="0"/>
        <w:caps w:val="0"/>
        <w:smallCaps w:val="0"/>
        <w:strike w:val="0"/>
        <w:dstrike w:val="0"/>
        <w:vanish w:val="0"/>
        <w:spacing w:val="0"/>
        <w:position w:val="0"/>
        <w:u w:val="none"/>
        <w:vertAlign w:val="baseline"/>
      </w:rPr>
    </w:lvl>
    <w:lvl w:ilvl="1" w:tentative="0">
      <w:start w:val="1"/>
      <w:numFmt w:val="lowerLetter"/>
      <w:lvlText w:val="%2)"/>
      <w:lvlJc w:val="left"/>
      <w:pPr>
        <w:ind w:left="825" w:hanging="420"/>
      </w:pPr>
    </w:lvl>
    <w:lvl w:ilvl="2" w:tentative="0">
      <w:start w:val="1"/>
      <w:numFmt w:val="lowerRoman"/>
      <w:lvlText w:val="%3."/>
      <w:lvlJc w:val="right"/>
      <w:pPr>
        <w:ind w:left="615" w:hanging="420"/>
      </w:pPr>
    </w:lvl>
    <w:lvl w:ilvl="3" w:tentative="0">
      <w:start w:val="1"/>
      <w:numFmt w:val="decimal"/>
      <w:lvlText w:val="%4."/>
      <w:lvlJc w:val="left"/>
      <w:pPr>
        <w:ind w:left="1665" w:hanging="420"/>
      </w:pPr>
    </w:lvl>
    <w:lvl w:ilvl="4" w:tentative="0">
      <w:start w:val="1"/>
      <w:numFmt w:val="lowerLetter"/>
      <w:lvlText w:val="%5)"/>
      <w:lvlJc w:val="left"/>
      <w:pPr>
        <w:ind w:left="2085" w:hanging="420"/>
      </w:pPr>
    </w:lvl>
    <w:lvl w:ilvl="5" w:tentative="0">
      <w:start w:val="1"/>
      <w:numFmt w:val="lowerRoman"/>
      <w:lvlText w:val="%6."/>
      <w:lvlJc w:val="right"/>
      <w:pPr>
        <w:ind w:left="2505" w:hanging="420"/>
      </w:pPr>
    </w:lvl>
    <w:lvl w:ilvl="6" w:tentative="0">
      <w:start w:val="1"/>
      <w:numFmt w:val="decimal"/>
      <w:lvlText w:val="%7."/>
      <w:lvlJc w:val="left"/>
      <w:pPr>
        <w:ind w:left="2925" w:hanging="420"/>
      </w:pPr>
    </w:lvl>
    <w:lvl w:ilvl="7" w:tentative="0">
      <w:start w:val="1"/>
      <w:numFmt w:val="lowerLetter"/>
      <w:lvlText w:val="%8)"/>
      <w:lvlJc w:val="left"/>
      <w:pPr>
        <w:ind w:left="3345" w:hanging="420"/>
      </w:pPr>
    </w:lvl>
    <w:lvl w:ilvl="8" w:tentative="0">
      <w:start w:val="1"/>
      <w:numFmt w:val="lowerRoman"/>
      <w:lvlText w:val="%9."/>
      <w:lvlJc w:val="right"/>
      <w:pPr>
        <w:ind w:left="3765" w:hanging="420"/>
      </w:pPr>
    </w:lvl>
  </w:abstractNum>
  <w:abstractNum w:abstractNumId="16">
    <w:nsid w:val="13A26E29"/>
    <w:multiLevelType w:val="multilevel"/>
    <w:tmpl w:val="13A26E29"/>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7"/>
      <w:lvlText w:val="%1.%2.%3.%4"/>
      <w:lvlJc w:val="left"/>
      <w:pPr>
        <w:tabs>
          <w:tab w:val="left" w:pos="864"/>
        </w:tabs>
        <w:ind w:left="864" w:hanging="864"/>
      </w:pPr>
      <w:rPr>
        <w:rFonts w:hint="eastAsia"/>
      </w:rPr>
    </w:lvl>
    <w:lvl w:ilvl="4" w:tentative="0">
      <w:start w:val="1"/>
      <w:numFmt w:val="decimal"/>
      <w:pStyle w:val="8"/>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7">
    <w:nsid w:val="17293B56"/>
    <w:multiLevelType w:val="multilevel"/>
    <w:tmpl w:val="17293B56"/>
    <w:lvl w:ilvl="0" w:tentative="0">
      <w:start w:val="1"/>
      <w:numFmt w:val="decimal"/>
      <w:pStyle w:val="232"/>
      <w:lvlText w:val="%1)"/>
      <w:lvlJc w:val="left"/>
      <w:pPr>
        <w:tabs>
          <w:tab w:val="left" w:pos="817"/>
        </w:tabs>
        <w:ind w:left="817" w:hanging="420"/>
      </w:pPr>
    </w:lvl>
    <w:lvl w:ilvl="1" w:tentative="0">
      <w:start w:val="1"/>
      <w:numFmt w:val="lowerLetter"/>
      <w:lvlText w:val="%2)"/>
      <w:lvlJc w:val="left"/>
      <w:pPr>
        <w:tabs>
          <w:tab w:val="left" w:pos="817"/>
        </w:tabs>
        <w:ind w:left="817" w:hanging="420"/>
      </w:pPr>
    </w:lvl>
    <w:lvl w:ilvl="2" w:tentative="0">
      <w:start w:val="1"/>
      <w:numFmt w:val="lowerRoman"/>
      <w:lvlText w:val="%3."/>
      <w:lvlJc w:val="right"/>
      <w:pPr>
        <w:tabs>
          <w:tab w:val="left" w:pos="1237"/>
        </w:tabs>
        <w:ind w:left="1237" w:hanging="420"/>
      </w:pPr>
    </w:lvl>
    <w:lvl w:ilvl="3" w:tentative="0">
      <w:start w:val="1"/>
      <w:numFmt w:val="decimal"/>
      <w:lvlText w:val="%4."/>
      <w:lvlJc w:val="left"/>
      <w:pPr>
        <w:tabs>
          <w:tab w:val="left" w:pos="1657"/>
        </w:tabs>
        <w:ind w:left="1657" w:hanging="420"/>
      </w:pPr>
    </w:lvl>
    <w:lvl w:ilvl="4" w:tentative="0">
      <w:start w:val="1"/>
      <w:numFmt w:val="lowerLetter"/>
      <w:lvlText w:val="%5)"/>
      <w:lvlJc w:val="left"/>
      <w:pPr>
        <w:tabs>
          <w:tab w:val="left" w:pos="2077"/>
        </w:tabs>
        <w:ind w:left="2077" w:hanging="420"/>
      </w:pPr>
    </w:lvl>
    <w:lvl w:ilvl="5" w:tentative="0">
      <w:start w:val="1"/>
      <w:numFmt w:val="lowerRoman"/>
      <w:lvlText w:val="%6."/>
      <w:lvlJc w:val="right"/>
      <w:pPr>
        <w:tabs>
          <w:tab w:val="left" w:pos="2497"/>
        </w:tabs>
        <w:ind w:left="2497" w:hanging="420"/>
      </w:pPr>
    </w:lvl>
    <w:lvl w:ilvl="6" w:tentative="0">
      <w:start w:val="1"/>
      <w:numFmt w:val="decimal"/>
      <w:lvlText w:val="%7."/>
      <w:lvlJc w:val="left"/>
      <w:pPr>
        <w:tabs>
          <w:tab w:val="left" w:pos="2917"/>
        </w:tabs>
        <w:ind w:left="2917" w:hanging="420"/>
      </w:pPr>
    </w:lvl>
    <w:lvl w:ilvl="7" w:tentative="0">
      <w:start w:val="1"/>
      <w:numFmt w:val="lowerLetter"/>
      <w:lvlText w:val="%8)"/>
      <w:lvlJc w:val="left"/>
      <w:pPr>
        <w:tabs>
          <w:tab w:val="left" w:pos="3337"/>
        </w:tabs>
        <w:ind w:left="3337" w:hanging="420"/>
      </w:pPr>
    </w:lvl>
    <w:lvl w:ilvl="8" w:tentative="0">
      <w:start w:val="1"/>
      <w:numFmt w:val="lowerRoman"/>
      <w:lvlText w:val="%9."/>
      <w:lvlJc w:val="right"/>
      <w:pPr>
        <w:tabs>
          <w:tab w:val="left" w:pos="3757"/>
        </w:tabs>
        <w:ind w:left="3757" w:hanging="420"/>
      </w:pPr>
    </w:lvl>
  </w:abstractNum>
  <w:abstractNum w:abstractNumId="18">
    <w:nsid w:val="1AA02396"/>
    <w:multiLevelType w:val="multilevel"/>
    <w:tmpl w:val="1AA02396"/>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9">
    <w:nsid w:val="1B136F61"/>
    <w:multiLevelType w:val="multilevel"/>
    <w:tmpl w:val="1B136F61"/>
    <w:lvl w:ilvl="0" w:tentative="0">
      <w:start w:val="1"/>
      <w:numFmt w:val="none"/>
      <w:pStyle w:val="96"/>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1DE75E1E"/>
    <w:multiLevelType w:val="multilevel"/>
    <w:tmpl w:val="1DE75E1E"/>
    <w:lvl w:ilvl="0" w:tentative="0">
      <w:start w:val="1"/>
      <w:numFmt w:val="decimal"/>
      <w:pStyle w:val="364"/>
      <w:lvlText w:val="%1）"/>
      <w:lvlJc w:val="left"/>
      <w:pPr>
        <w:ind w:left="780" w:hanging="420"/>
      </w:pPr>
      <w:rPr>
        <w:rFonts w:hint="default"/>
        <w:u w:val="none"/>
      </w:rPr>
    </w:lvl>
    <w:lvl w:ilvl="1" w:tentative="0">
      <w:start w:val="1"/>
      <w:numFmt w:val="lowerLetter"/>
      <w:lvlText w:val="%2)"/>
      <w:lvlJc w:val="left"/>
      <w:pPr>
        <w:ind w:left="1200" w:hanging="420"/>
      </w:pPr>
      <w:rPr>
        <w:rFonts w:hint="default"/>
        <w:u w:val="none"/>
      </w:rPr>
    </w:lvl>
    <w:lvl w:ilvl="2" w:tentative="0">
      <w:start w:val="1"/>
      <w:numFmt w:val="lowerRoman"/>
      <w:lvlText w:val="%3."/>
      <w:lvlJc w:val="right"/>
      <w:pPr>
        <w:ind w:left="1620" w:hanging="420"/>
      </w:pPr>
      <w:rPr>
        <w:rFonts w:hint="default"/>
        <w:u w:val="none"/>
      </w:rPr>
    </w:lvl>
    <w:lvl w:ilvl="3" w:tentative="0">
      <w:start w:val="1"/>
      <w:numFmt w:val="decimal"/>
      <w:lvlText w:val="%4."/>
      <w:lvlJc w:val="left"/>
      <w:pPr>
        <w:ind w:left="2040" w:hanging="420"/>
      </w:pPr>
      <w:rPr>
        <w:rFonts w:hint="default"/>
        <w:u w:val="none"/>
      </w:rPr>
    </w:lvl>
    <w:lvl w:ilvl="4" w:tentative="0">
      <w:start w:val="1"/>
      <w:numFmt w:val="lowerLetter"/>
      <w:lvlText w:val="%5)"/>
      <w:lvlJc w:val="left"/>
      <w:pPr>
        <w:ind w:left="2460" w:hanging="420"/>
      </w:pPr>
      <w:rPr>
        <w:rFonts w:hint="default"/>
        <w:u w:val="none"/>
      </w:rPr>
    </w:lvl>
    <w:lvl w:ilvl="5" w:tentative="0">
      <w:start w:val="1"/>
      <w:numFmt w:val="lowerRoman"/>
      <w:lvlText w:val="%6."/>
      <w:lvlJc w:val="right"/>
      <w:pPr>
        <w:ind w:left="2880" w:hanging="420"/>
      </w:pPr>
      <w:rPr>
        <w:rFonts w:hint="default"/>
        <w:u w:val="none"/>
      </w:rPr>
    </w:lvl>
    <w:lvl w:ilvl="6" w:tentative="0">
      <w:start w:val="1"/>
      <w:numFmt w:val="decimal"/>
      <w:lvlText w:val="%7."/>
      <w:lvlJc w:val="left"/>
      <w:pPr>
        <w:ind w:left="3300" w:hanging="420"/>
      </w:pPr>
      <w:rPr>
        <w:rFonts w:hint="default"/>
        <w:u w:val="none"/>
      </w:rPr>
    </w:lvl>
    <w:lvl w:ilvl="7" w:tentative="0">
      <w:start w:val="1"/>
      <w:numFmt w:val="lowerLetter"/>
      <w:lvlText w:val="%8)"/>
      <w:lvlJc w:val="left"/>
      <w:pPr>
        <w:ind w:left="3720" w:hanging="420"/>
      </w:pPr>
      <w:rPr>
        <w:rFonts w:hint="default"/>
        <w:u w:val="none"/>
      </w:rPr>
    </w:lvl>
    <w:lvl w:ilvl="8" w:tentative="0">
      <w:start w:val="1"/>
      <w:numFmt w:val="lowerRoman"/>
      <w:lvlText w:val="%9."/>
      <w:lvlJc w:val="right"/>
      <w:pPr>
        <w:ind w:left="4140" w:hanging="420"/>
      </w:pPr>
      <w:rPr>
        <w:rFonts w:hint="default"/>
        <w:u w:val="none"/>
      </w:rPr>
    </w:lvl>
  </w:abstractNum>
  <w:abstractNum w:abstractNumId="21">
    <w:nsid w:val="217822F9"/>
    <w:multiLevelType w:val="multilevel"/>
    <w:tmpl w:val="217822F9"/>
    <w:lvl w:ilvl="0" w:tentative="0">
      <w:start w:val="1"/>
      <w:numFmt w:val="lowerLetter"/>
      <w:pStyle w:val="14"/>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2">
    <w:nsid w:val="2B44175B"/>
    <w:multiLevelType w:val="multilevel"/>
    <w:tmpl w:val="2B44175B"/>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3">
    <w:nsid w:val="2C8369E4"/>
    <w:multiLevelType w:val="multilevel"/>
    <w:tmpl w:val="2C8369E4"/>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4">
    <w:nsid w:val="306B47B3"/>
    <w:multiLevelType w:val="multilevel"/>
    <w:tmpl w:val="306B47B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5">
    <w:nsid w:val="33F92752"/>
    <w:multiLevelType w:val="multilevel"/>
    <w:tmpl w:val="33F92752"/>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6">
    <w:nsid w:val="385127D0"/>
    <w:multiLevelType w:val="multilevel"/>
    <w:tmpl w:val="385127D0"/>
    <w:lvl w:ilvl="0" w:tentative="0">
      <w:start w:val="1"/>
      <w:numFmt w:val="lowerLetter"/>
      <w:pStyle w:val="272"/>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7">
    <w:nsid w:val="3B236D1E"/>
    <w:multiLevelType w:val="multilevel"/>
    <w:tmpl w:val="3B236D1E"/>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8">
    <w:nsid w:val="3B585FD6"/>
    <w:multiLevelType w:val="multilevel"/>
    <w:tmpl w:val="3B585FD6"/>
    <w:lvl w:ilvl="0" w:tentative="0">
      <w:start w:val="1"/>
      <w:numFmt w:val="decimal"/>
      <w:lvlText w:val="%1"/>
      <w:lvlJc w:val="left"/>
      <w:pPr>
        <w:ind w:left="0" w:firstLine="0"/>
      </w:pPr>
      <w:rPr>
        <w:rFonts w:hint="eastAsia" w:ascii="黑体" w:hAnsi="黑体" w:eastAsia="黑体"/>
      </w:rPr>
    </w:lvl>
    <w:lvl w:ilvl="1" w:tentative="0">
      <w:start w:val="1"/>
      <w:numFmt w:val="decimal"/>
      <w:lvlText w:val="%2."/>
      <w:lvlJc w:val="left"/>
      <w:pPr>
        <w:ind w:left="0" w:firstLine="0"/>
      </w:pPr>
      <w:rPr>
        <w:rFonts w:hint="default"/>
        <w:lang w:val="en-US"/>
      </w:rPr>
    </w:lvl>
    <w:lvl w:ilvl="2" w:tentative="0">
      <w:start w:val="1"/>
      <w:numFmt w:val="decimal"/>
      <w:lvlText w:val="%3."/>
      <w:lvlJc w:val="left"/>
      <w:pPr>
        <w:ind w:left="0" w:firstLine="0"/>
      </w:pPr>
      <w:rPr>
        <w:rFonts w:hint="default" w:ascii="宋体" w:hAnsi="宋体" w:eastAsia="宋体" w:cs="宋体"/>
        <w:b w:val="0"/>
      </w:rPr>
    </w:lvl>
    <w:lvl w:ilvl="3" w:tentative="0">
      <w:start w:val="1"/>
      <w:numFmt w:val="decimal"/>
      <w:lvlText w:val="%4."/>
      <w:lvlJc w:val="left"/>
      <w:pPr>
        <w:ind w:left="0" w:firstLine="0"/>
      </w:pPr>
      <w:rPr>
        <w:rFonts w:hint="default" w:ascii="宋体" w:hAnsi="宋体" w:eastAsia="宋体" w:cs="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29">
    <w:nsid w:val="3E66022B"/>
    <w:multiLevelType w:val="multilevel"/>
    <w:tmpl w:val="3E66022B"/>
    <w:lvl w:ilvl="0" w:tentative="0">
      <w:start w:val="1"/>
      <w:numFmt w:val="decimal"/>
      <w:pStyle w:val="353"/>
      <w:lvlText w:val="%1"/>
      <w:lvlJc w:val="center"/>
      <w:pPr>
        <w:ind w:left="420" w:hanging="420"/>
      </w:pPr>
      <w:rPr>
        <w:rFonts w:hint="default" w:ascii="Times New Roman" w:hAnsi="Times New Roman" w:eastAsia="宋体"/>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436E0578"/>
    <w:multiLevelType w:val="multilevel"/>
    <w:tmpl w:val="436E057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42A5196"/>
    <w:multiLevelType w:val="multilevel"/>
    <w:tmpl w:val="442A5196"/>
    <w:lvl w:ilvl="0" w:tentative="0">
      <w:start w:val="1"/>
      <w:numFmt w:val="decimal"/>
      <w:pStyle w:val="244"/>
      <w:lvlText w:val="%1)"/>
      <w:lvlJc w:val="left"/>
      <w:pPr>
        <w:tabs>
          <w:tab w:val="left" w:pos="817"/>
        </w:tabs>
        <w:ind w:left="817" w:hanging="420"/>
      </w:pPr>
    </w:lvl>
    <w:lvl w:ilvl="1" w:tentative="0">
      <w:start w:val="1"/>
      <w:numFmt w:val="lowerLetter"/>
      <w:lvlText w:val="%2)"/>
      <w:lvlJc w:val="left"/>
      <w:pPr>
        <w:tabs>
          <w:tab w:val="left" w:pos="817"/>
        </w:tabs>
        <w:ind w:left="817" w:hanging="420"/>
      </w:pPr>
    </w:lvl>
    <w:lvl w:ilvl="2" w:tentative="0">
      <w:start w:val="1"/>
      <w:numFmt w:val="lowerRoman"/>
      <w:lvlText w:val="%3."/>
      <w:lvlJc w:val="right"/>
      <w:pPr>
        <w:tabs>
          <w:tab w:val="left" w:pos="1237"/>
        </w:tabs>
        <w:ind w:left="1237" w:hanging="420"/>
      </w:pPr>
    </w:lvl>
    <w:lvl w:ilvl="3" w:tentative="0">
      <w:start w:val="1"/>
      <w:numFmt w:val="decimal"/>
      <w:lvlText w:val="%4."/>
      <w:lvlJc w:val="left"/>
      <w:pPr>
        <w:tabs>
          <w:tab w:val="left" w:pos="1657"/>
        </w:tabs>
        <w:ind w:left="1657" w:hanging="420"/>
      </w:pPr>
    </w:lvl>
    <w:lvl w:ilvl="4" w:tentative="0">
      <w:start w:val="1"/>
      <w:numFmt w:val="lowerLetter"/>
      <w:lvlText w:val="%5)"/>
      <w:lvlJc w:val="left"/>
      <w:pPr>
        <w:tabs>
          <w:tab w:val="left" w:pos="2077"/>
        </w:tabs>
        <w:ind w:left="2077" w:hanging="420"/>
      </w:pPr>
    </w:lvl>
    <w:lvl w:ilvl="5" w:tentative="0">
      <w:start w:val="1"/>
      <w:numFmt w:val="lowerRoman"/>
      <w:lvlText w:val="%6."/>
      <w:lvlJc w:val="right"/>
      <w:pPr>
        <w:tabs>
          <w:tab w:val="left" w:pos="2497"/>
        </w:tabs>
        <w:ind w:left="2497" w:hanging="420"/>
      </w:pPr>
    </w:lvl>
    <w:lvl w:ilvl="6" w:tentative="0">
      <w:start w:val="1"/>
      <w:numFmt w:val="decimal"/>
      <w:lvlText w:val="%7."/>
      <w:lvlJc w:val="left"/>
      <w:pPr>
        <w:tabs>
          <w:tab w:val="left" w:pos="2917"/>
        </w:tabs>
        <w:ind w:left="2917" w:hanging="420"/>
      </w:pPr>
    </w:lvl>
    <w:lvl w:ilvl="7" w:tentative="0">
      <w:start w:val="1"/>
      <w:numFmt w:val="lowerLetter"/>
      <w:lvlText w:val="%8)"/>
      <w:lvlJc w:val="left"/>
      <w:pPr>
        <w:tabs>
          <w:tab w:val="left" w:pos="3337"/>
        </w:tabs>
        <w:ind w:left="3337" w:hanging="420"/>
      </w:pPr>
    </w:lvl>
    <w:lvl w:ilvl="8" w:tentative="0">
      <w:start w:val="1"/>
      <w:numFmt w:val="lowerRoman"/>
      <w:lvlText w:val="%9."/>
      <w:lvlJc w:val="right"/>
      <w:pPr>
        <w:tabs>
          <w:tab w:val="left" w:pos="3757"/>
        </w:tabs>
        <w:ind w:left="3757" w:hanging="420"/>
      </w:pPr>
    </w:lvl>
  </w:abstractNum>
  <w:abstractNum w:abstractNumId="32">
    <w:nsid w:val="45267586"/>
    <w:multiLevelType w:val="multilevel"/>
    <w:tmpl w:val="45267586"/>
    <w:lvl w:ilvl="0" w:tentative="0">
      <w:start w:val="1"/>
      <w:numFmt w:val="decimal"/>
      <w:lvlText w:val="%1"/>
      <w:lvlJc w:val="left"/>
      <w:pPr>
        <w:ind w:left="0" w:firstLine="0"/>
      </w:pPr>
      <w:rPr>
        <w:rFonts w:hint="eastAsia" w:ascii="黑体" w:hAnsi="黑体" w:eastAsia="黑体"/>
      </w:rPr>
    </w:lvl>
    <w:lvl w:ilvl="1" w:tentative="0">
      <w:start w:val="1"/>
      <w:numFmt w:val="decimal"/>
      <w:lvlText w:val="%2."/>
      <w:lvlJc w:val="left"/>
      <w:pPr>
        <w:ind w:left="0" w:firstLine="0"/>
      </w:pPr>
      <w:rPr>
        <w:rFonts w:hint="default"/>
        <w:lang w:val="en-US"/>
      </w:rPr>
    </w:lvl>
    <w:lvl w:ilvl="2" w:tentative="0">
      <w:start w:val="1"/>
      <w:numFmt w:val="decimal"/>
      <w:lvlText w:val="%3."/>
      <w:lvlJc w:val="left"/>
      <w:pPr>
        <w:ind w:left="0" w:firstLine="0"/>
      </w:pPr>
      <w:rPr>
        <w:rFonts w:hint="default" w:ascii="宋体" w:hAnsi="宋体" w:eastAsia="宋体" w:cs="宋体"/>
        <w:b w:val="0"/>
      </w:rPr>
    </w:lvl>
    <w:lvl w:ilvl="3" w:tentative="0">
      <w:start w:val="1"/>
      <w:numFmt w:val="decimal"/>
      <w:lvlText w:val="%4."/>
      <w:lvlJc w:val="left"/>
      <w:pPr>
        <w:ind w:left="0" w:firstLine="0"/>
      </w:pPr>
      <w:rPr>
        <w:rFonts w:hint="default" w:ascii="宋体" w:hAnsi="宋体" w:eastAsia="宋体" w:cs="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3">
    <w:nsid w:val="4A154966"/>
    <w:multiLevelType w:val="multilevel"/>
    <w:tmpl w:val="4A154966"/>
    <w:lvl w:ilvl="0" w:tentative="0">
      <w:start w:val="1"/>
      <w:numFmt w:val="decimal"/>
      <w:pStyle w:val="85"/>
      <w:lvlText w:val="%1"/>
      <w:lvlJc w:val="left"/>
      <w:pPr>
        <w:ind w:left="425" w:hanging="425"/>
      </w:pPr>
      <w:rPr>
        <w:rFonts w:hint="eastAsia"/>
      </w:rPr>
    </w:lvl>
    <w:lvl w:ilvl="1" w:tentative="0">
      <w:start w:val="1"/>
      <w:numFmt w:val="decimal"/>
      <w:lvlText w:val="4.%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4">
    <w:nsid w:val="4A6A033A"/>
    <w:multiLevelType w:val="multilevel"/>
    <w:tmpl w:val="4A6A033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5">
    <w:nsid w:val="4FCC0085"/>
    <w:multiLevelType w:val="multilevel"/>
    <w:tmpl w:val="4FCC0085"/>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6">
    <w:nsid w:val="533726BC"/>
    <w:multiLevelType w:val="multilevel"/>
    <w:tmpl w:val="533726BC"/>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7">
    <w:nsid w:val="56A9543A"/>
    <w:multiLevelType w:val="multilevel"/>
    <w:tmpl w:val="56A9543A"/>
    <w:lvl w:ilvl="0" w:tentative="0">
      <w:start w:val="1"/>
      <w:numFmt w:val="decimal"/>
      <w:suff w:val="space"/>
      <w:lvlText w:val="%1."/>
      <w:lvlJc w:val="left"/>
      <w:pPr>
        <w:ind w:left="0" w:firstLine="0"/>
      </w:pPr>
      <w:rPr>
        <w:rFonts w:hint="default" w:ascii="Arial" w:hAnsi="Arial" w:eastAsia="黑体" w:cs="Arial"/>
        <w:b/>
        <w:i w:val="0"/>
        <w:sz w:val="21"/>
        <w:szCs w:val="21"/>
      </w:rPr>
    </w:lvl>
    <w:lvl w:ilvl="1" w:tentative="0">
      <w:start w:val="1"/>
      <w:numFmt w:val="decimal"/>
      <w:lvlRestart w:val="0"/>
      <w:isLgl/>
      <w:suff w:val="space"/>
      <w:lvlText w:val="%1.%2 "/>
      <w:lvlJc w:val="left"/>
      <w:pPr>
        <w:ind w:left="0" w:firstLine="0"/>
      </w:pPr>
      <w:rPr>
        <w:rFonts w:hint="default" w:ascii="Arial" w:hAnsi="Arial" w:eastAsia="黑体" w:cs="Arial"/>
        <w:b/>
        <w:i w:val="0"/>
        <w:sz w:val="21"/>
        <w:szCs w:val="21"/>
      </w:rPr>
    </w:lvl>
    <w:lvl w:ilvl="2" w:tentative="0">
      <w:start w:val="1"/>
      <w:numFmt w:val="decimal"/>
      <w:isLgl/>
      <w:suff w:val="space"/>
      <w:lvlText w:val="%1.%2.%3 "/>
      <w:lvlJc w:val="left"/>
      <w:pPr>
        <w:ind w:left="0" w:firstLine="0"/>
      </w:pPr>
      <w:rPr>
        <w:rFonts w:hint="default" w:ascii="Arial" w:hAnsi="Arial" w:eastAsia="黑体" w:cs="Arial"/>
        <w:b/>
        <w:i w:val="0"/>
        <w:sz w:val="21"/>
        <w:szCs w:val="28"/>
      </w:rPr>
    </w:lvl>
    <w:lvl w:ilvl="3" w:tentative="0">
      <w:start w:val="1"/>
      <w:numFmt w:val="decimal"/>
      <w:isLgl/>
      <w:suff w:val="space"/>
      <w:lvlText w:val="%1.%2.%3.%4 "/>
      <w:lvlJc w:val="left"/>
      <w:pPr>
        <w:ind w:left="0" w:firstLine="0"/>
      </w:pPr>
      <w:rPr>
        <w:rFonts w:hint="default" w:ascii="Arial" w:hAnsi="Arial" w:eastAsia="黑体" w:cs="Arial"/>
        <w:b/>
        <w:i w:val="0"/>
        <w:sz w:val="21"/>
        <w:szCs w:val="21"/>
      </w:rPr>
    </w:lvl>
    <w:lvl w:ilvl="4" w:tentative="0">
      <w:start w:val="1"/>
      <w:numFmt w:val="decimal"/>
      <w:pStyle w:val="112"/>
      <w:suff w:val="space"/>
      <w:lvlText w:val="%1.%2.%3.%4.%5 "/>
      <w:lvlJc w:val="left"/>
      <w:pPr>
        <w:ind w:left="0" w:firstLine="0"/>
      </w:pPr>
      <w:rPr>
        <w:rFonts w:hint="default" w:ascii="Verdana" w:hAnsi="Verdana" w:eastAsia="黑体"/>
        <w:b/>
        <w:i w:val="0"/>
        <w:sz w:val="21"/>
        <w:szCs w:val="21"/>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38">
    <w:nsid w:val="62897609"/>
    <w:multiLevelType w:val="multilevel"/>
    <w:tmpl w:val="62897609"/>
    <w:lvl w:ilvl="0" w:tentative="0">
      <w:start w:val="1"/>
      <w:numFmt w:val="decimal"/>
      <w:pStyle w:val="124"/>
      <w:lvlText w:val="%1)"/>
      <w:lvlJc w:val="left"/>
      <w:pPr>
        <w:tabs>
          <w:tab w:val="left" w:pos="817"/>
        </w:tabs>
        <w:ind w:left="817" w:hanging="420"/>
      </w:pPr>
      <w:rPr>
        <w:rFonts w:hint="eastAsia"/>
      </w:rPr>
    </w:lvl>
    <w:lvl w:ilvl="1" w:tentative="0">
      <w:start w:val="1"/>
      <w:numFmt w:val="lowerLetter"/>
      <w:lvlText w:val="%2)"/>
      <w:lvlJc w:val="left"/>
      <w:pPr>
        <w:tabs>
          <w:tab w:val="left" w:pos="1237"/>
        </w:tabs>
        <w:ind w:left="1237" w:hanging="420"/>
      </w:pPr>
    </w:lvl>
    <w:lvl w:ilvl="2" w:tentative="0">
      <w:start w:val="1"/>
      <w:numFmt w:val="lowerRoman"/>
      <w:lvlText w:val="%3."/>
      <w:lvlJc w:val="right"/>
      <w:pPr>
        <w:tabs>
          <w:tab w:val="left" w:pos="1657"/>
        </w:tabs>
        <w:ind w:left="1657" w:hanging="420"/>
      </w:pPr>
    </w:lvl>
    <w:lvl w:ilvl="3" w:tentative="0">
      <w:start w:val="1"/>
      <w:numFmt w:val="decimal"/>
      <w:lvlText w:val="%4."/>
      <w:lvlJc w:val="left"/>
      <w:pPr>
        <w:tabs>
          <w:tab w:val="left" w:pos="2077"/>
        </w:tabs>
        <w:ind w:left="2077" w:hanging="420"/>
      </w:pPr>
    </w:lvl>
    <w:lvl w:ilvl="4" w:tentative="0">
      <w:start w:val="1"/>
      <w:numFmt w:val="lowerLetter"/>
      <w:lvlText w:val="%5)"/>
      <w:lvlJc w:val="left"/>
      <w:pPr>
        <w:tabs>
          <w:tab w:val="left" w:pos="2497"/>
        </w:tabs>
        <w:ind w:left="2497" w:hanging="420"/>
      </w:pPr>
    </w:lvl>
    <w:lvl w:ilvl="5" w:tentative="0">
      <w:start w:val="1"/>
      <w:numFmt w:val="lowerRoman"/>
      <w:lvlText w:val="%6."/>
      <w:lvlJc w:val="right"/>
      <w:pPr>
        <w:tabs>
          <w:tab w:val="left" w:pos="2917"/>
        </w:tabs>
        <w:ind w:left="2917" w:hanging="420"/>
      </w:pPr>
    </w:lvl>
    <w:lvl w:ilvl="6" w:tentative="0">
      <w:start w:val="1"/>
      <w:numFmt w:val="decimal"/>
      <w:lvlText w:val="%7."/>
      <w:lvlJc w:val="left"/>
      <w:pPr>
        <w:tabs>
          <w:tab w:val="left" w:pos="3337"/>
        </w:tabs>
        <w:ind w:left="3337" w:hanging="420"/>
      </w:pPr>
    </w:lvl>
    <w:lvl w:ilvl="7" w:tentative="0">
      <w:start w:val="1"/>
      <w:numFmt w:val="lowerLetter"/>
      <w:lvlText w:val="%8)"/>
      <w:lvlJc w:val="left"/>
      <w:pPr>
        <w:tabs>
          <w:tab w:val="left" w:pos="3757"/>
        </w:tabs>
        <w:ind w:left="3757" w:hanging="420"/>
      </w:pPr>
    </w:lvl>
    <w:lvl w:ilvl="8" w:tentative="0">
      <w:start w:val="1"/>
      <w:numFmt w:val="lowerRoman"/>
      <w:lvlText w:val="%9."/>
      <w:lvlJc w:val="right"/>
      <w:pPr>
        <w:tabs>
          <w:tab w:val="left" w:pos="4177"/>
        </w:tabs>
        <w:ind w:left="4177" w:hanging="420"/>
      </w:pPr>
    </w:lvl>
  </w:abstractNum>
  <w:abstractNum w:abstractNumId="39">
    <w:nsid w:val="63A615AE"/>
    <w:multiLevelType w:val="multilevel"/>
    <w:tmpl w:val="63A615AE"/>
    <w:lvl w:ilvl="0" w:tentative="0">
      <w:start w:val="1"/>
      <w:numFmt w:val="decimal"/>
      <w:lvlText w:val="%1"/>
      <w:lvlJc w:val="left"/>
      <w:pPr>
        <w:ind w:left="0" w:firstLine="0"/>
      </w:pPr>
      <w:rPr>
        <w:rFonts w:hint="eastAsia" w:ascii="黑体" w:hAnsi="黑体" w:eastAsia="黑体"/>
      </w:rPr>
    </w:lvl>
    <w:lvl w:ilvl="1" w:tentative="0">
      <w:start w:val="1"/>
      <w:numFmt w:val="decimal"/>
      <w:lvlText w:val="%2."/>
      <w:lvlJc w:val="left"/>
      <w:pPr>
        <w:ind w:left="0" w:firstLine="0"/>
      </w:pPr>
      <w:rPr>
        <w:rFonts w:hint="default"/>
        <w:lang w:val="en-US"/>
      </w:rPr>
    </w:lvl>
    <w:lvl w:ilvl="2" w:tentative="0">
      <w:start w:val="1"/>
      <w:numFmt w:val="decimal"/>
      <w:lvlText w:val="%3."/>
      <w:lvlJc w:val="left"/>
      <w:pPr>
        <w:ind w:left="0" w:firstLine="0"/>
      </w:pPr>
      <w:rPr>
        <w:rFonts w:hint="default" w:ascii="宋体" w:hAnsi="宋体" w:eastAsia="宋体" w:cs="宋体"/>
        <w:b w:val="0"/>
      </w:rPr>
    </w:lvl>
    <w:lvl w:ilvl="3" w:tentative="0">
      <w:start w:val="1"/>
      <w:numFmt w:val="decimal"/>
      <w:lvlText w:val="%4."/>
      <w:lvlJc w:val="left"/>
      <w:pPr>
        <w:ind w:left="0" w:firstLine="0"/>
      </w:pPr>
      <w:rPr>
        <w:rFonts w:hint="default" w:ascii="宋体" w:hAnsi="宋体" w:eastAsia="宋体" w:cs="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0">
    <w:nsid w:val="68F01BEF"/>
    <w:multiLevelType w:val="multilevel"/>
    <w:tmpl w:val="68F01BEF"/>
    <w:lvl w:ilvl="0" w:tentative="0">
      <w:start w:val="1"/>
      <w:numFmt w:val="decimal"/>
      <w:suff w:val="space"/>
      <w:lvlText w:val="表%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6BC53236"/>
    <w:multiLevelType w:val="multilevel"/>
    <w:tmpl w:val="6BC53236"/>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2">
    <w:nsid w:val="70303B88"/>
    <w:multiLevelType w:val="multilevel"/>
    <w:tmpl w:val="70303B88"/>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3">
    <w:nsid w:val="73F66FC4"/>
    <w:multiLevelType w:val="multilevel"/>
    <w:tmpl w:val="73F66FC4"/>
    <w:lvl w:ilvl="0" w:tentative="0">
      <w:start w:val="1"/>
      <w:numFmt w:val="decimal"/>
      <w:pStyle w:val="25"/>
      <w:lvlText w:val="%1"/>
      <w:lvlJc w:val="left"/>
      <w:pPr>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6.%2.%3"/>
      <w:lvlJc w:val="left"/>
      <w:pPr>
        <w:ind w:left="0" w:firstLine="0"/>
      </w:pPr>
      <w:rPr>
        <w:rFonts w:hint="eastAsia"/>
      </w:rPr>
    </w:lvl>
    <w:lvl w:ilvl="3" w:tentative="0">
      <w:start w:val="1"/>
      <w:numFmt w:val="decimal"/>
      <w:lvlText w:val="6.%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4">
    <w:nsid w:val="7C407EA4"/>
    <w:multiLevelType w:val="multilevel"/>
    <w:tmpl w:val="7C407EA4"/>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5">
    <w:nsid w:val="7D3D7262"/>
    <w:multiLevelType w:val="multilevel"/>
    <w:tmpl w:val="7D3D726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7DC94C51"/>
    <w:multiLevelType w:val="multilevel"/>
    <w:tmpl w:val="7DC94C51"/>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16"/>
  </w:num>
  <w:num w:numId="2">
    <w:abstractNumId w:val="21"/>
  </w:num>
  <w:num w:numId="3">
    <w:abstractNumId w:val="8"/>
  </w:num>
  <w:num w:numId="4">
    <w:abstractNumId w:val="43"/>
  </w:num>
  <w:num w:numId="5">
    <w:abstractNumId w:val="5"/>
  </w:num>
  <w:num w:numId="6">
    <w:abstractNumId w:val="33"/>
  </w:num>
  <w:num w:numId="7">
    <w:abstractNumId w:val="19"/>
  </w:num>
  <w:num w:numId="8">
    <w:abstractNumId w:val="2"/>
  </w:num>
  <w:num w:numId="9">
    <w:abstractNumId w:val="37"/>
  </w:num>
  <w:num w:numId="10">
    <w:abstractNumId w:val="10"/>
  </w:num>
  <w:num w:numId="11">
    <w:abstractNumId w:val="38"/>
  </w:num>
  <w:num w:numId="12">
    <w:abstractNumId w:val="17"/>
  </w:num>
  <w:num w:numId="13">
    <w:abstractNumId w:val="31"/>
  </w:num>
  <w:num w:numId="14">
    <w:abstractNumId w:val="13"/>
  </w:num>
  <w:num w:numId="15">
    <w:abstractNumId w:val="9"/>
  </w:num>
  <w:num w:numId="16">
    <w:abstractNumId w:val="26"/>
  </w:num>
  <w:num w:numId="17">
    <w:abstractNumId w:val="7"/>
  </w:num>
  <w:num w:numId="18">
    <w:abstractNumId w:val="15"/>
    <w:lvlOverride w:ilvl="0">
      <w:startOverride w:val="1"/>
    </w:lvlOverride>
  </w:num>
  <w:num w:numId="19">
    <w:abstractNumId w:val="29"/>
  </w:num>
  <w:num w:numId="20">
    <w:abstractNumId w:val="6"/>
  </w:num>
  <w:num w:numId="21">
    <w:abstractNumId w:val="20"/>
  </w:num>
  <w:num w:numId="22">
    <w:abstractNumId w:val="11"/>
  </w:num>
  <w:num w:numId="23">
    <w:abstractNumId w:val="39"/>
  </w:num>
  <w:num w:numId="24">
    <w:abstractNumId w:val="28"/>
  </w:num>
  <w:num w:numId="25">
    <w:abstractNumId w:val="32"/>
  </w:num>
  <w:num w:numId="26">
    <w:abstractNumId w:val="45"/>
  </w:num>
  <w:num w:numId="27">
    <w:abstractNumId w:val="34"/>
  </w:num>
  <w:num w:numId="28">
    <w:abstractNumId w:val="12"/>
  </w:num>
  <w:num w:numId="29">
    <w:abstractNumId w:val="25"/>
  </w:num>
  <w:num w:numId="30">
    <w:abstractNumId w:val="30"/>
  </w:num>
  <w:num w:numId="31">
    <w:abstractNumId w:val="35"/>
  </w:num>
  <w:num w:numId="32">
    <w:abstractNumId w:val="24"/>
  </w:num>
  <w:num w:numId="33">
    <w:abstractNumId w:val="0"/>
  </w:num>
  <w:num w:numId="34">
    <w:abstractNumId w:val="42"/>
  </w:num>
  <w:num w:numId="35">
    <w:abstractNumId w:val="46"/>
  </w:num>
  <w:num w:numId="36">
    <w:abstractNumId w:val="3"/>
  </w:num>
  <w:num w:numId="37">
    <w:abstractNumId w:val="14"/>
  </w:num>
  <w:num w:numId="38">
    <w:abstractNumId w:val="22"/>
  </w:num>
  <w:num w:numId="39">
    <w:abstractNumId w:val="36"/>
  </w:num>
  <w:num w:numId="40">
    <w:abstractNumId w:val="4"/>
  </w:num>
  <w:num w:numId="41">
    <w:abstractNumId w:val="41"/>
  </w:num>
  <w:num w:numId="42">
    <w:abstractNumId w:val="23"/>
  </w:num>
  <w:num w:numId="43">
    <w:abstractNumId w:val="18"/>
  </w:num>
  <w:num w:numId="44">
    <w:abstractNumId w:val="44"/>
  </w:num>
  <w:num w:numId="45">
    <w:abstractNumId w:val="27"/>
  </w:num>
  <w:num w:numId="46">
    <w:abstractNumId w:val="40"/>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50"/>
  <w:drawingGridHorizontalSpacing w:val="105"/>
  <w:drawingGridVerticalSpacing w:val="156"/>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RkZTk2YzlkYWUxMTdhMTA0NzVmMTEyMGNmNDM3OTQifQ=="/>
  </w:docVars>
  <w:rsids>
    <w:rsidRoot w:val="00172A27"/>
    <w:rsid w:val="00000061"/>
    <w:rsid w:val="00001E17"/>
    <w:rsid w:val="00003418"/>
    <w:rsid w:val="00003CED"/>
    <w:rsid w:val="0000464E"/>
    <w:rsid w:val="00004D69"/>
    <w:rsid w:val="00004F64"/>
    <w:rsid w:val="0000696D"/>
    <w:rsid w:val="00006C9D"/>
    <w:rsid w:val="00007168"/>
    <w:rsid w:val="000071FD"/>
    <w:rsid w:val="00007AAB"/>
    <w:rsid w:val="00007F79"/>
    <w:rsid w:val="00011290"/>
    <w:rsid w:val="00014363"/>
    <w:rsid w:val="00014C2B"/>
    <w:rsid w:val="00015C25"/>
    <w:rsid w:val="00017784"/>
    <w:rsid w:val="000219D8"/>
    <w:rsid w:val="00021A1B"/>
    <w:rsid w:val="00021AD2"/>
    <w:rsid w:val="00022F35"/>
    <w:rsid w:val="00025200"/>
    <w:rsid w:val="00027B73"/>
    <w:rsid w:val="00027F06"/>
    <w:rsid w:val="000305AF"/>
    <w:rsid w:val="00031D7C"/>
    <w:rsid w:val="00032173"/>
    <w:rsid w:val="000347EE"/>
    <w:rsid w:val="00034967"/>
    <w:rsid w:val="00036287"/>
    <w:rsid w:val="00036976"/>
    <w:rsid w:val="00037532"/>
    <w:rsid w:val="00041378"/>
    <w:rsid w:val="000418E2"/>
    <w:rsid w:val="00042350"/>
    <w:rsid w:val="0004244E"/>
    <w:rsid w:val="00042DF9"/>
    <w:rsid w:val="00043132"/>
    <w:rsid w:val="000437D8"/>
    <w:rsid w:val="00044598"/>
    <w:rsid w:val="00044B31"/>
    <w:rsid w:val="00047A20"/>
    <w:rsid w:val="000501FB"/>
    <w:rsid w:val="00051116"/>
    <w:rsid w:val="00051818"/>
    <w:rsid w:val="0005199B"/>
    <w:rsid w:val="00052073"/>
    <w:rsid w:val="00053902"/>
    <w:rsid w:val="00054C49"/>
    <w:rsid w:val="000556C8"/>
    <w:rsid w:val="00055AEF"/>
    <w:rsid w:val="00055CB6"/>
    <w:rsid w:val="00055D31"/>
    <w:rsid w:val="00056527"/>
    <w:rsid w:val="00057282"/>
    <w:rsid w:val="0005736D"/>
    <w:rsid w:val="00060A95"/>
    <w:rsid w:val="000628BD"/>
    <w:rsid w:val="00062B09"/>
    <w:rsid w:val="0006503A"/>
    <w:rsid w:val="0006512D"/>
    <w:rsid w:val="00065B38"/>
    <w:rsid w:val="00066160"/>
    <w:rsid w:val="00066462"/>
    <w:rsid w:val="00070D78"/>
    <w:rsid w:val="0007341C"/>
    <w:rsid w:val="00073B56"/>
    <w:rsid w:val="0007434A"/>
    <w:rsid w:val="000761CD"/>
    <w:rsid w:val="00076251"/>
    <w:rsid w:val="00076A84"/>
    <w:rsid w:val="00076D77"/>
    <w:rsid w:val="0007709D"/>
    <w:rsid w:val="0007779D"/>
    <w:rsid w:val="00080747"/>
    <w:rsid w:val="00080E99"/>
    <w:rsid w:val="00081BFB"/>
    <w:rsid w:val="00082E35"/>
    <w:rsid w:val="00084149"/>
    <w:rsid w:val="0008433E"/>
    <w:rsid w:val="000847F8"/>
    <w:rsid w:val="00084ABE"/>
    <w:rsid w:val="00085413"/>
    <w:rsid w:val="0008575A"/>
    <w:rsid w:val="00085BCD"/>
    <w:rsid w:val="00086923"/>
    <w:rsid w:val="00086D70"/>
    <w:rsid w:val="00087685"/>
    <w:rsid w:val="00090B0B"/>
    <w:rsid w:val="00090F1E"/>
    <w:rsid w:val="00091747"/>
    <w:rsid w:val="00095514"/>
    <w:rsid w:val="00096235"/>
    <w:rsid w:val="00096D41"/>
    <w:rsid w:val="000A0421"/>
    <w:rsid w:val="000A0B4A"/>
    <w:rsid w:val="000A4658"/>
    <w:rsid w:val="000A46B9"/>
    <w:rsid w:val="000A4F43"/>
    <w:rsid w:val="000A658F"/>
    <w:rsid w:val="000A7C5B"/>
    <w:rsid w:val="000B0D48"/>
    <w:rsid w:val="000B1EC7"/>
    <w:rsid w:val="000B2A96"/>
    <w:rsid w:val="000B30EC"/>
    <w:rsid w:val="000B3A53"/>
    <w:rsid w:val="000B61B2"/>
    <w:rsid w:val="000B65D9"/>
    <w:rsid w:val="000C0704"/>
    <w:rsid w:val="000C0B41"/>
    <w:rsid w:val="000C1108"/>
    <w:rsid w:val="000C12CE"/>
    <w:rsid w:val="000C3580"/>
    <w:rsid w:val="000C5697"/>
    <w:rsid w:val="000C5E7C"/>
    <w:rsid w:val="000C776A"/>
    <w:rsid w:val="000D0887"/>
    <w:rsid w:val="000D2613"/>
    <w:rsid w:val="000D2E7F"/>
    <w:rsid w:val="000D36EF"/>
    <w:rsid w:val="000D41F2"/>
    <w:rsid w:val="000D78FA"/>
    <w:rsid w:val="000E016E"/>
    <w:rsid w:val="000E1106"/>
    <w:rsid w:val="000E190E"/>
    <w:rsid w:val="000E1F6E"/>
    <w:rsid w:val="000E2352"/>
    <w:rsid w:val="000E24AE"/>
    <w:rsid w:val="000E25EB"/>
    <w:rsid w:val="000E4948"/>
    <w:rsid w:val="000E4C02"/>
    <w:rsid w:val="000E6888"/>
    <w:rsid w:val="000E6FC2"/>
    <w:rsid w:val="000E7EEC"/>
    <w:rsid w:val="000F00C5"/>
    <w:rsid w:val="000F0A80"/>
    <w:rsid w:val="000F29DA"/>
    <w:rsid w:val="000F377A"/>
    <w:rsid w:val="000F46CA"/>
    <w:rsid w:val="000F530F"/>
    <w:rsid w:val="00100411"/>
    <w:rsid w:val="001031AF"/>
    <w:rsid w:val="001032C1"/>
    <w:rsid w:val="0010405B"/>
    <w:rsid w:val="00105EF1"/>
    <w:rsid w:val="001072F2"/>
    <w:rsid w:val="00110FB2"/>
    <w:rsid w:val="00111D84"/>
    <w:rsid w:val="0011231A"/>
    <w:rsid w:val="00112637"/>
    <w:rsid w:val="0011426E"/>
    <w:rsid w:val="00114C2D"/>
    <w:rsid w:val="00115B73"/>
    <w:rsid w:val="00116A32"/>
    <w:rsid w:val="001178BA"/>
    <w:rsid w:val="001207CD"/>
    <w:rsid w:val="00120A2C"/>
    <w:rsid w:val="00121A41"/>
    <w:rsid w:val="00122EBB"/>
    <w:rsid w:val="00123604"/>
    <w:rsid w:val="00126CA7"/>
    <w:rsid w:val="001273C5"/>
    <w:rsid w:val="00127A9F"/>
    <w:rsid w:val="00127C03"/>
    <w:rsid w:val="0013220E"/>
    <w:rsid w:val="00133531"/>
    <w:rsid w:val="00133EC8"/>
    <w:rsid w:val="00134BED"/>
    <w:rsid w:val="00135AAB"/>
    <w:rsid w:val="00136AC3"/>
    <w:rsid w:val="001375D9"/>
    <w:rsid w:val="00137DA6"/>
    <w:rsid w:val="00142043"/>
    <w:rsid w:val="00142173"/>
    <w:rsid w:val="001422E5"/>
    <w:rsid w:val="001429B3"/>
    <w:rsid w:val="0014370D"/>
    <w:rsid w:val="001456CE"/>
    <w:rsid w:val="00145A3A"/>
    <w:rsid w:val="00146AFE"/>
    <w:rsid w:val="00146C35"/>
    <w:rsid w:val="0014709E"/>
    <w:rsid w:val="00147A3B"/>
    <w:rsid w:val="00150B4B"/>
    <w:rsid w:val="00150ED1"/>
    <w:rsid w:val="00152A97"/>
    <w:rsid w:val="00152F3A"/>
    <w:rsid w:val="00153A03"/>
    <w:rsid w:val="00153D7F"/>
    <w:rsid w:val="00154FC3"/>
    <w:rsid w:val="00155093"/>
    <w:rsid w:val="001554DF"/>
    <w:rsid w:val="00155B85"/>
    <w:rsid w:val="00157643"/>
    <w:rsid w:val="00161D30"/>
    <w:rsid w:val="0016229E"/>
    <w:rsid w:val="00162BB1"/>
    <w:rsid w:val="00163288"/>
    <w:rsid w:val="00163686"/>
    <w:rsid w:val="00163A81"/>
    <w:rsid w:val="001658DB"/>
    <w:rsid w:val="001672EF"/>
    <w:rsid w:val="00170BD7"/>
    <w:rsid w:val="00171CE4"/>
    <w:rsid w:val="00172A27"/>
    <w:rsid w:val="00173D70"/>
    <w:rsid w:val="00174003"/>
    <w:rsid w:val="00174CFD"/>
    <w:rsid w:val="00174E55"/>
    <w:rsid w:val="0017559F"/>
    <w:rsid w:val="00176C7A"/>
    <w:rsid w:val="00176F6E"/>
    <w:rsid w:val="00177B74"/>
    <w:rsid w:val="00180099"/>
    <w:rsid w:val="001815CA"/>
    <w:rsid w:val="00181963"/>
    <w:rsid w:val="00182270"/>
    <w:rsid w:val="00183208"/>
    <w:rsid w:val="00183718"/>
    <w:rsid w:val="00184ECC"/>
    <w:rsid w:val="0018527A"/>
    <w:rsid w:val="0018593C"/>
    <w:rsid w:val="00187A87"/>
    <w:rsid w:val="00190753"/>
    <w:rsid w:val="001918E0"/>
    <w:rsid w:val="0019278F"/>
    <w:rsid w:val="00192BE0"/>
    <w:rsid w:val="001930E1"/>
    <w:rsid w:val="001941AD"/>
    <w:rsid w:val="00196235"/>
    <w:rsid w:val="00197857"/>
    <w:rsid w:val="001A0142"/>
    <w:rsid w:val="001A034F"/>
    <w:rsid w:val="001A23F2"/>
    <w:rsid w:val="001A2550"/>
    <w:rsid w:val="001A3AB4"/>
    <w:rsid w:val="001A3CE7"/>
    <w:rsid w:val="001A4B51"/>
    <w:rsid w:val="001A5391"/>
    <w:rsid w:val="001A65BE"/>
    <w:rsid w:val="001A6A37"/>
    <w:rsid w:val="001A7B48"/>
    <w:rsid w:val="001B4001"/>
    <w:rsid w:val="001B469D"/>
    <w:rsid w:val="001B6259"/>
    <w:rsid w:val="001B6BA8"/>
    <w:rsid w:val="001B6E9E"/>
    <w:rsid w:val="001B7D2C"/>
    <w:rsid w:val="001C12EE"/>
    <w:rsid w:val="001C1676"/>
    <w:rsid w:val="001C1CFF"/>
    <w:rsid w:val="001C2107"/>
    <w:rsid w:val="001C3429"/>
    <w:rsid w:val="001C3646"/>
    <w:rsid w:val="001C3875"/>
    <w:rsid w:val="001C40A1"/>
    <w:rsid w:val="001C484C"/>
    <w:rsid w:val="001C5F71"/>
    <w:rsid w:val="001D0332"/>
    <w:rsid w:val="001D19A4"/>
    <w:rsid w:val="001D1A43"/>
    <w:rsid w:val="001D2576"/>
    <w:rsid w:val="001D2842"/>
    <w:rsid w:val="001D5F82"/>
    <w:rsid w:val="001D6249"/>
    <w:rsid w:val="001D63B3"/>
    <w:rsid w:val="001D6D4C"/>
    <w:rsid w:val="001D7884"/>
    <w:rsid w:val="001D7B28"/>
    <w:rsid w:val="001E08A5"/>
    <w:rsid w:val="001F107E"/>
    <w:rsid w:val="001F1A61"/>
    <w:rsid w:val="001F1A85"/>
    <w:rsid w:val="001F20C4"/>
    <w:rsid w:val="001F4CF9"/>
    <w:rsid w:val="00201DBE"/>
    <w:rsid w:val="00203BC9"/>
    <w:rsid w:val="002059A3"/>
    <w:rsid w:val="0020607F"/>
    <w:rsid w:val="002077BC"/>
    <w:rsid w:val="002103BC"/>
    <w:rsid w:val="0021084B"/>
    <w:rsid w:val="00210C6F"/>
    <w:rsid w:val="00210E65"/>
    <w:rsid w:val="0021223B"/>
    <w:rsid w:val="0021666F"/>
    <w:rsid w:val="00216EE4"/>
    <w:rsid w:val="00217CD4"/>
    <w:rsid w:val="00221723"/>
    <w:rsid w:val="00222F23"/>
    <w:rsid w:val="0022322F"/>
    <w:rsid w:val="002233F9"/>
    <w:rsid w:val="00223C7C"/>
    <w:rsid w:val="00224A57"/>
    <w:rsid w:val="00227353"/>
    <w:rsid w:val="00230EA1"/>
    <w:rsid w:val="002315CF"/>
    <w:rsid w:val="00231EED"/>
    <w:rsid w:val="002323C8"/>
    <w:rsid w:val="002325EA"/>
    <w:rsid w:val="002330CA"/>
    <w:rsid w:val="00233B48"/>
    <w:rsid w:val="002369B0"/>
    <w:rsid w:val="0023740D"/>
    <w:rsid w:val="0023768C"/>
    <w:rsid w:val="00237A64"/>
    <w:rsid w:val="00240084"/>
    <w:rsid w:val="00241F66"/>
    <w:rsid w:val="002422FC"/>
    <w:rsid w:val="0024231F"/>
    <w:rsid w:val="00243762"/>
    <w:rsid w:val="0024433F"/>
    <w:rsid w:val="00246580"/>
    <w:rsid w:val="00246864"/>
    <w:rsid w:val="00247758"/>
    <w:rsid w:val="00247D02"/>
    <w:rsid w:val="00250581"/>
    <w:rsid w:val="002512A0"/>
    <w:rsid w:val="00251466"/>
    <w:rsid w:val="00252639"/>
    <w:rsid w:val="002534FE"/>
    <w:rsid w:val="002537D9"/>
    <w:rsid w:val="00253D53"/>
    <w:rsid w:val="00255348"/>
    <w:rsid w:val="00255505"/>
    <w:rsid w:val="00255541"/>
    <w:rsid w:val="002564F6"/>
    <w:rsid w:val="00256858"/>
    <w:rsid w:val="002568CD"/>
    <w:rsid w:val="00256FB3"/>
    <w:rsid w:val="00257026"/>
    <w:rsid w:val="002601DA"/>
    <w:rsid w:val="002608A9"/>
    <w:rsid w:val="002641A4"/>
    <w:rsid w:val="0026524A"/>
    <w:rsid w:val="00265D62"/>
    <w:rsid w:val="002666E9"/>
    <w:rsid w:val="00271F6A"/>
    <w:rsid w:val="002723CB"/>
    <w:rsid w:val="00272A2F"/>
    <w:rsid w:val="00273C88"/>
    <w:rsid w:val="00274725"/>
    <w:rsid w:val="00274778"/>
    <w:rsid w:val="00276208"/>
    <w:rsid w:val="00277E34"/>
    <w:rsid w:val="002809D4"/>
    <w:rsid w:val="00282959"/>
    <w:rsid w:val="002829DB"/>
    <w:rsid w:val="00282E23"/>
    <w:rsid w:val="00283814"/>
    <w:rsid w:val="00283A73"/>
    <w:rsid w:val="0028716A"/>
    <w:rsid w:val="00287B09"/>
    <w:rsid w:val="00291462"/>
    <w:rsid w:val="00291838"/>
    <w:rsid w:val="00291EDB"/>
    <w:rsid w:val="002939A7"/>
    <w:rsid w:val="00293EC3"/>
    <w:rsid w:val="0029444A"/>
    <w:rsid w:val="00294DFB"/>
    <w:rsid w:val="00295647"/>
    <w:rsid w:val="00295983"/>
    <w:rsid w:val="00295C20"/>
    <w:rsid w:val="002969EE"/>
    <w:rsid w:val="0029714E"/>
    <w:rsid w:val="002A0656"/>
    <w:rsid w:val="002A0D86"/>
    <w:rsid w:val="002A174B"/>
    <w:rsid w:val="002A3276"/>
    <w:rsid w:val="002A44AD"/>
    <w:rsid w:val="002A47AF"/>
    <w:rsid w:val="002A47F0"/>
    <w:rsid w:val="002A554F"/>
    <w:rsid w:val="002A593C"/>
    <w:rsid w:val="002A678B"/>
    <w:rsid w:val="002A6972"/>
    <w:rsid w:val="002B1627"/>
    <w:rsid w:val="002B33C9"/>
    <w:rsid w:val="002B3F3D"/>
    <w:rsid w:val="002B5181"/>
    <w:rsid w:val="002B5BE2"/>
    <w:rsid w:val="002B5E01"/>
    <w:rsid w:val="002B5EA7"/>
    <w:rsid w:val="002B625C"/>
    <w:rsid w:val="002B72A2"/>
    <w:rsid w:val="002C1200"/>
    <w:rsid w:val="002C2C98"/>
    <w:rsid w:val="002C3789"/>
    <w:rsid w:val="002C38DF"/>
    <w:rsid w:val="002C4F33"/>
    <w:rsid w:val="002C5739"/>
    <w:rsid w:val="002C6C5A"/>
    <w:rsid w:val="002C6F16"/>
    <w:rsid w:val="002C7176"/>
    <w:rsid w:val="002D1772"/>
    <w:rsid w:val="002D25B0"/>
    <w:rsid w:val="002D2BE0"/>
    <w:rsid w:val="002D3FE9"/>
    <w:rsid w:val="002D4930"/>
    <w:rsid w:val="002D4AE3"/>
    <w:rsid w:val="002D66DA"/>
    <w:rsid w:val="002D7322"/>
    <w:rsid w:val="002D7F95"/>
    <w:rsid w:val="002E037C"/>
    <w:rsid w:val="002E12AD"/>
    <w:rsid w:val="002E1BEB"/>
    <w:rsid w:val="002E4081"/>
    <w:rsid w:val="002E48BF"/>
    <w:rsid w:val="002E4D48"/>
    <w:rsid w:val="002E5B6B"/>
    <w:rsid w:val="002E5EB9"/>
    <w:rsid w:val="002E672C"/>
    <w:rsid w:val="002E6EB3"/>
    <w:rsid w:val="002E767F"/>
    <w:rsid w:val="002F01E2"/>
    <w:rsid w:val="002F0C56"/>
    <w:rsid w:val="002F1088"/>
    <w:rsid w:val="002F14D3"/>
    <w:rsid w:val="002F17A4"/>
    <w:rsid w:val="002F1D30"/>
    <w:rsid w:val="002F25BD"/>
    <w:rsid w:val="002F2CB6"/>
    <w:rsid w:val="002F2EE4"/>
    <w:rsid w:val="002F40F9"/>
    <w:rsid w:val="002F4F10"/>
    <w:rsid w:val="002F58A0"/>
    <w:rsid w:val="002F5CED"/>
    <w:rsid w:val="002F69D0"/>
    <w:rsid w:val="002F6A2C"/>
    <w:rsid w:val="002F7058"/>
    <w:rsid w:val="002F7328"/>
    <w:rsid w:val="002F76F5"/>
    <w:rsid w:val="00302CB4"/>
    <w:rsid w:val="00302CFC"/>
    <w:rsid w:val="003033E4"/>
    <w:rsid w:val="0030417C"/>
    <w:rsid w:val="0030490E"/>
    <w:rsid w:val="00305B96"/>
    <w:rsid w:val="00306E3C"/>
    <w:rsid w:val="00307823"/>
    <w:rsid w:val="0031043A"/>
    <w:rsid w:val="00310C95"/>
    <w:rsid w:val="00311F38"/>
    <w:rsid w:val="003124EB"/>
    <w:rsid w:val="0031309D"/>
    <w:rsid w:val="003145AB"/>
    <w:rsid w:val="00314D8F"/>
    <w:rsid w:val="003161D1"/>
    <w:rsid w:val="003165C1"/>
    <w:rsid w:val="0031713A"/>
    <w:rsid w:val="00323196"/>
    <w:rsid w:val="0032325E"/>
    <w:rsid w:val="00323327"/>
    <w:rsid w:val="0032338F"/>
    <w:rsid w:val="00324148"/>
    <w:rsid w:val="00324557"/>
    <w:rsid w:val="00324A80"/>
    <w:rsid w:val="00324DE4"/>
    <w:rsid w:val="00325102"/>
    <w:rsid w:val="00325408"/>
    <w:rsid w:val="00325EC1"/>
    <w:rsid w:val="00327131"/>
    <w:rsid w:val="00327461"/>
    <w:rsid w:val="003277CF"/>
    <w:rsid w:val="00327850"/>
    <w:rsid w:val="00327870"/>
    <w:rsid w:val="00327D5B"/>
    <w:rsid w:val="003308EC"/>
    <w:rsid w:val="00331B8B"/>
    <w:rsid w:val="00331CE1"/>
    <w:rsid w:val="003327CB"/>
    <w:rsid w:val="00332B46"/>
    <w:rsid w:val="00332BE1"/>
    <w:rsid w:val="00333584"/>
    <w:rsid w:val="003335A3"/>
    <w:rsid w:val="00333B72"/>
    <w:rsid w:val="00335076"/>
    <w:rsid w:val="00335313"/>
    <w:rsid w:val="00335F13"/>
    <w:rsid w:val="003361F8"/>
    <w:rsid w:val="00336B32"/>
    <w:rsid w:val="00336D84"/>
    <w:rsid w:val="00341C06"/>
    <w:rsid w:val="00342BD6"/>
    <w:rsid w:val="00343CD2"/>
    <w:rsid w:val="003442B3"/>
    <w:rsid w:val="00345256"/>
    <w:rsid w:val="00345DEE"/>
    <w:rsid w:val="00346726"/>
    <w:rsid w:val="00346F64"/>
    <w:rsid w:val="00347FBC"/>
    <w:rsid w:val="003515D7"/>
    <w:rsid w:val="00352E75"/>
    <w:rsid w:val="0035460A"/>
    <w:rsid w:val="00354D15"/>
    <w:rsid w:val="00354F11"/>
    <w:rsid w:val="0035513D"/>
    <w:rsid w:val="003551E9"/>
    <w:rsid w:val="00356EA2"/>
    <w:rsid w:val="003572D2"/>
    <w:rsid w:val="00357551"/>
    <w:rsid w:val="00360EF1"/>
    <w:rsid w:val="00362817"/>
    <w:rsid w:val="00363BEE"/>
    <w:rsid w:val="003649E9"/>
    <w:rsid w:val="00364CB2"/>
    <w:rsid w:val="00364CBA"/>
    <w:rsid w:val="003651D2"/>
    <w:rsid w:val="00365202"/>
    <w:rsid w:val="003670D2"/>
    <w:rsid w:val="003672C3"/>
    <w:rsid w:val="0037005B"/>
    <w:rsid w:val="003712CE"/>
    <w:rsid w:val="00371B03"/>
    <w:rsid w:val="00371CB0"/>
    <w:rsid w:val="003723CC"/>
    <w:rsid w:val="00372B5C"/>
    <w:rsid w:val="00373FA7"/>
    <w:rsid w:val="003756B3"/>
    <w:rsid w:val="0037599B"/>
    <w:rsid w:val="003759CC"/>
    <w:rsid w:val="00380437"/>
    <w:rsid w:val="00381C03"/>
    <w:rsid w:val="00381CD2"/>
    <w:rsid w:val="00381DA3"/>
    <w:rsid w:val="00382398"/>
    <w:rsid w:val="00382FED"/>
    <w:rsid w:val="003840FC"/>
    <w:rsid w:val="00384779"/>
    <w:rsid w:val="003848AB"/>
    <w:rsid w:val="00385008"/>
    <w:rsid w:val="00385544"/>
    <w:rsid w:val="00390A8D"/>
    <w:rsid w:val="00390C55"/>
    <w:rsid w:val="00391654"/>
    <w:rsid w:val="003919BF"/>
    <w:rsid w:val="00391C8E"/>
    <w:rsid w:val="00392BFB"/>
    <w:rsid w:val="00394ABC"/>
    <w:rsid w:val="00395417"/>
    <w:rsid w:val="003955A6"/>
    <w:rsid w:val="00395D6F"/>
    <w:rsid w:val="00396C38"/>
    <w:rsid w:val="0039722F"/>
    <w:rsid w:val="00397C78"/>
    <w:rsid w:val="003A0433"/>
    <w:rsid w:val="003A1BCC"/>
    <w:rsid w:val="003A2172"/>
    <w:rsid w:val="003A2835"/>
    <w:rsid w:val="003A2CDC"/>
    <w:rsid w:val="003A3353"/>
    <w:rsid w:val="003A4B6F"/>
    <w:rsid w:val="003A4BB5"/>
    <w:rsid w:val="003A4F0A"/>
    <w:rsid w:val="003A58AB"/>
    <w:rsid w:val="003A6A58"/>
    <w:rsid w:val="003A7B5C"/>
    <w:rsid w:val="003A7C8A"/>
    <w:rsid w:val="003B1E1E"/>
    <w:rsid w:val="003B1FCB"/>
    <w:rsid w:val="003B2563"/>
    <w:rsid w:val="003B2B3A"/>
    <w:rsid w:val="003B31EF"/>
    <w:rsid w:val="003B3914"/>
    <w:rsid w:val="003B3F51"/>
    <w:rsid w:val="003B46AA"/>
    <w:rsid w:val="003B5124"/>
    <w:rsid w:val="003B7636"/>
    <w:rsid w:val="003C08F5"/>
    <w:rsid w:val="003C1A9D"/>
    <w:rsid w:val="003C1BC4"/>
    <w:rsid w:val="003C26E7"/>
    <w:rsid w:val="003C326B"/>
    <w:rsid w:val="003C3BCE"/>
    <w:rsid w:val="003C4F3B"/>
    <w:rsid w:val="003C5470"/>
    <w:rsid w:val="003C5EE1"/>
    <w:rsid w:val="003D01B6"/>
    <w:rsid w:val="003D147F"/>
    <w:rsid w:val="003D2372"/>
    <w:rsid w:val="003D2738"/>
    <w:rsid w:val="003D32EE"/>
    <w:rsid w:val="003D590B"/>
    <w:rsid w:val="003D5B7E"/>
    <w:rsid w:val="003D7911"/>
    <w:rsid w:val="003E05F3"/>
    <w:rsid w:val="003E163B"/>
    <w:rsid w:val="003E1B2F"/>
    <w:rsid w:val="003E1DAD"/>
    <w:rsid w:val="003E31A6"/>
    <w:rsid w:val="003E3878"/>
    <w:rsid w:val="003E3F27"/>
    <w:rsid w:val="003E4DC4"/>
    <w:rsid w:val="003E501D"/>
    <w:rsid w:val="003E5FF8"/>
    <w:rsid w:val="003F1A04"/>
    <w:rsid w:val="003F362A"/>
    <w:rsid w:val="003F461D"/>
    <w:rsid w:val="003F55DE"/>
    <w:rsid w:val="003F59F1"/>
    <w:rsid w:val="003F680A"/>
    <w:rsid w:val="003F6F37"/>
    <w:rsid w:val="003F726A"/>
    <w:rsid w:val="003F7A68"/>
    <w:rsid w:val="0040111F"/>
    <w:rsid w:val="004023E2"/>
    <w:rsid w:val="00404E55"/>
    <w:rsid w:val="00405C56"/>
    <w:rsid w:val="00405D22"/>
    <w:rsid w:val="0040678B"/>
    <w:rsid w:val="00407498"/>
    <w:rsid w:val="004079E1"/>
    <w:rsid w:val="00407AEA"/>
    <w:rsid w:val="00407FD7"/>
    <w:rsid w:val="00410502"/>
    <w:rsid w:val="004105FB"/>
    <w:rsid w:val="00410E89"/>
    <w:rsid w:val="00411078"/>
    <w:rsid w:val="004121E6"/>
    <w:rsid w:val="0041229D"/>
    <w:rsid w:val="00413565"/>
    <w:rsid w:val="0041409C"/>
    <w:rsid w:val="00414D04"/>
    <w:rsid w:val="00415CAA"/>
    <w:rsid w:val="00416222"/>
    <w:rsid w:val="0041766A"/>
    <w:rsid w:val="00417C77"/>
    <w:rsid w:val="00420567"/>
    <w:rsid w:val="004219B9"/>
    <w:rsid w:val="00421D6B"/>
    <w:rsid w:val="004223CC"/>
    <w:rsid w:val="004226CE"/>
    <w:rsid w:val="00422B14"/>
    <w:rsid w:val="00422E20"/>
    <w:rsid w:val="00425071"/>
    <w:rsid w:val="00426859"/>
    <w:rsid w:val="00431CB8"/>
    <w:rsid w:val="00432010"/>
    <w:rsid w:val="00432989"/>
    <w:rsid w:val="0043572F"/>
    <w:rsid w:val="004367C2"/>
    <w:rsid w:val="004374E8"/>
    <w:rsid w:val="00440B64"/>
    <w:rsid w:val="00440CC8"/>
    <w:rsid w:val="004424BC"/>
    <w:rsid w:val="00442616"/>
    <w:rsid w:val="00442A2E"/>
    <w:rsid w:val="00445423"/>
    <w:rsid w:val="00446696"/>
    <w:rsid w:val="00446CAF"/>
    <w:rsid w:val="00447B2C"/>
    <w:rsid w:val="0045003D"/>
    <w:rsid w:val="004519E0"/>
    <w:rsid w:val="00451D31"/>
    <w:rsid w:val="00452776"/>
    <w:rsid w:val="00452CBE"/>
    <w:rsid w:val="00453393"/>
    <w:rsid w:val="00454CB9"/>
    <w:rsid w:val="00455323"/>
    <w:rsid w:val="0045545C"/>
    <w:rsid w:val="004562FA"/>
    <w:rsid w:val="0045707F"/>
    <w:rsid w:val="00457487"/>
    <w:rsid w:val="00457A3E"/>
    <w:rsid w:val="0046178E"/>
    <w:rsid w:val="00462361"/>
    <w:rsid w:val="00462B1B"/>
    <w:rsid w:val="0046415C"/>
    <w:rsid w:val="0046679A"/>
    <w:rsid w:val="00470C21"/>
    <w:rsid w:val="0047136C"/>
    <w:rsid w:val="00472965"/>
    <w:rsid w:val="0047339B"/>
    <w:rsid w:val="00474451"/>
    <w:rsid w:val="00474B73"/>
    <w:rsid w:val="00474CF0"/>
    <w:rsid w:val="00476BE3"/>
    <w:rsid w:val="0047781D"/>
    <w:rsid w:val="00477AF3"/>
    <w:rsid w:val="00477E42"/>
    <w:rsid w:val="0048144F"/>
    <w:rsid w:val="0048222B"/>
    <w:rsid w:val="00482C3F"/>
    <w:rsid w:val="0048419A"/>
    <w:rsid w:val="00484980"/>
    <w:rsid w:val="0049029E"/>
    <w:rsid w:val="00490835"/>
    <w:rsid w:val="00491465"/>
    <w:rsid w:val="00491BE8"/>
    <w:rsid w:val="00492D2F"/>
    <w:rsid w:val="00492D6D"/>
    <w:rsid w:val="00493951"/>
    <w:rsid w:val="00495AD9"/>
    <w:rsid w:val="00495CC6"/>
    <w:rsid w:val="004A0487"/>
    <w:rsid w:val="004A04F0"/>
    <w:rsid w:val="004A2979"/>
    <w:rsid w:val="004A2CCF"/>
    <w:rsid w:val="004A329A"/>
    <w:rsid w:val="004A399F"/>
    <w:rsid w:val="004A4DB2"/>
    <w:rsid w:val="004A60B1"/>
    <w:rsid w:val="004A7561"/>
    <w:rsid w:val="004B0DCE"/>
    <w:rsid w:val="004B1A3C"/>
    <w:rsid w:val="004B2177"/>
    <w:rsid w:val="004B2A6B"/>
    <w:rsid w:val="004B302D"/>
    <w:rsid w:val="004B62A6"/>
    <w:rsid w:val="004B62BF"/>
    <w:rsid w:val="004B760C"/>
    <w:rsid w:val="004B798E"/>
    <w:rsid w:val="004B7AA8"/>
    <w:rsid w:val="004C1A3F"/>
    <w:rsid w:val="004C1C5E"/>
    <w:rsid w:val="004C25BA"/>
    <w:rsid w:val="004C2BBA"/>
    <w:rsid w:val="004C3108"/>
    <w:rsid w:val="004C5B6F"/>
    <w:rsid w:val="004C63AF"/>
    <w:rsid w:val="004D104E"/>
    <w:rsid w:val="004D1EB2"/>
    <w:rsid w:val="004D1F85"/>
    <w:rsid w:val="004D2A72"/>
    <w:rsid w:val="004D3E9D"/>
    <w:rsid w:val="004D6418"/>
    <w:rsid w:val="004E157B"/>
    <w:rsid w:val="004E1F59"/>
    <w:rsid w:val="004E5D41"/>
    <w:rsid w:val="004F01A2"/>
    <w:rsid w:val="004F02FA"/>
    <w:rsid w:val="004F05F3"/>
    <w:rsid w:val="004F1633"/>
    <w:rsid w:val="004F383B"/>
    <w:rsid w:val="004F3C5C"/>
    <w:rsid w:val="004F410F"/>
    <w:rsid w:val="004F44A3"/>
    <w:rsid w:val="004F44FD"/>
    <w:rsid w:val="004F4BC1"/>
    <w:rsid w:val="004F6CAC"/>
    <w:rsid w:val="004F71AA"/>
    <w:rsid w:val="00500FB3"/>
    <w:rsid w:val="005012A8"/>
    <w:rsid w:val="005023F7"/>
    <w:rsid w:val="005028E4"/>
    <w:rsid w:val="005041F1"/>
    <w:rsid w:val="005046BB"/>
    <w:rsid w:val="005058B8"/>
    <w:rsid w:val="005059A3"/>
    <w:rsid w:val="00506048"/>
    <w:rsid w:val="005077FC"/>
    <w:rsid w:val="005105AE"/>
    <w:rsid w:val="00511B5C"/>
    <w:rsid w:val="005122C6"/>
    <w:rsid w:val="00513D16"/>
    <w:rsid w:val="00514269"/>
    <w:rsid w:val="00515501"/>
    <w:rsid w:val="005239BE"/>
    <w:rsid w:val="00523AE3"/>
    <w:rsid w:val="005252C8"/>
    <w:rsid w:val="00525D30"/>
    <w:rsid w:val="00525FBF"/>
    <w:rsid w:val="00526724"/>
    <w:rsid w:val="0053135F"/>
    <w:rsid w:val="00531747"/>
    <w:rsid w:val="005327FC"/>
    <w:rsid w:val="00532AB9"/>
    <w:rsid w:val="00532B44"/>
    <w:rsid w:val="00532BBE"/>
    <w:rsid w:val="00534780"/>
    <w:rsid w:val="005358E0"/>
    <w:rsid w:val="005378FE"/>
    <w:rsid w:val="005402FF"/>
    <w:rsid w:val="0054045E"/>
    <w:rsid w:val="005415A5"/>
    <w:rsid w:val="005425D2"/>
    <w:rsid w:val="00543778"/>
    <w:rsid w:val="00544625"/>
    <w:rsid w:val="00545340"/>
    <w:rsid w:val="00545BCD"/>
    <w:rsid w:val="00546023"/>
    <w:rsid w:val="005461D0"/>
    <w:rsid w:val="00546698"/>
    <w:rsid w:val="00546E9D"/>
    <w:rsid w:val="00551E01"/>
    <w:rsid w:val="00553568"/>
    <w:rsid w:val="0055406C"/>
    <w:rsid w:val="005540DF"/>
    <w:rsid w:val="00555217"/>
    <w:rsid w:val="00557B3B"/>
    <w:rsid w:val="00557D9A"/>
    <w:rsid w:val="00560FA3"/>
    <w:rsid w:val="005615B0"/>
    <w:rsid w:val="00562378"/>
    <w:rsid w:val="005624E0"/>
    <w:rsid w:val="005628C6"/>
    <w:rsid w:val="00563146"/>
    <w:rsid w:val="005641E1"/>
    <w:rsid w:val="005641FD"/>
    <w:rsid w:val="005647C1"/>
    <w:rsid w:val="0056568B"/>
    <w:rsid w:val="00566201"/>
    <w:rsid w:val="00566732"/>
    <w:rsid w:val="00567B42"/>
    <w:rsid w:val="0057005D"/>
    <w:rsid w:val="00570480"/>
    <w:rsid w:val="00571BBA"/>
    <w:rsid w:val="00571F5A"/>
    <w:rsid w:val="00572440"/>
    <w:rsid w:val="0057297A"/>
    <w:rsid w:val="0057317B"/>
    <w:rsid w:val="00573665"/>
    <w:rsid w:val="00574575"/>
    <w:rsid w:val="00575A8D"/>
    <w:rsid w:val="0058039A"/>
    <w:rsid w:val="005827B2"/>
    <w:rsid w:val="005828B7"/>
    <w:rsid w:val="00585277"/>
    <w:rsid w:val="005869BB"/>
    <w:rsid w:val="00586DDC"/>
    <w:rsid w:val="00587126"/>
    <w:rsid w:val="005879A2"/>
    <w:rsid w:val="005915CC"/>
    <w:rsid w:val="005920F9"/>
    <w:rsid w:val="005921E7"/>
    <w:rsid w:val="0059397E"/>
    <w:rsid w:val="00597064"/>
    <w:rsid w:val="005A069F"/>
    <w:rsid w:val="005A0AC4"/>
    <w:rsid w:val="005A0B27"/>
    <w:rsid w:val="005A2A37"/>
    <w:rsid w:val="005A2B81"/>
    <w:rsid w:val="005A426A"/>
    <w:rsid w:val="005A4B8F"/>
    <w:rsid w:val="005A6160"/>
    <w:rsid w:val="005A6305"/>
    <w:rsid w:val="005A6918"/>
    <w:rsid w:val="005A6F79"/>
    <w:rsid w:val="005A77B7"/>
    <w:rsid w:val="005B08C5"/>
    <w:rsid w:val="005B11A8"/>
    <w:rsid w:val="005B2208"/>
    <w:rsid w:val="005B30B0"/>
    <w:rsid w:val="005B3753"/>
    <w:rsid w:val="005B4164"/>
    <w:rsid w:val="005B41A0"/>
    <w:rsid w:val="005B42A1"/>
    <w:rsid w:val="005B6852"/>
    <w:rsid w:val="005B6944"/>
    <w:rsid w:val="005C0962"/>
    <w:rsid w:val="005C0C3F"/>
    <w:rsid w:val="005C19BF"/>
    <w:rsid w:val="005C2381"/>
    <w:rsid w:val="005C3D20"/>
    <w:rsid w:val="005C421E"/>
    <w:rsid w:val="005C58D0"/>
    <w:rsid w:val="005C66FC"/>
    <w:rsid w:val="005C67EF"/>
    <w:rsid w:val="005C6C8F"/>
    <w:rsid w:val="005D2EB2"/>
    <w:rsid w:val="005D450C"/>
    <w:rsid w:val="005D5748"/>
    <w:rsid w:val="005D6CB1"/>
    <w:rsid w:val="005E102E"/>
    <w:rsid w:val="005E20C8"/>
    <w:rsid w:val="005E2180"/>
    <w:rsid w:val="005E2373"/>
    <w:rsid w:val="005E3104"/>
    <w:rsid w:val="005E35F3"/>
    <w:rsid w:val="005E3EAB"/>
    <w:rsid w:val="005E3EC5"/>
    <w:rsid w:val="005E4606"/>
    <w:rsid w:val="005E48F1"/>
    <w:rsid w:val="005E4ADC"/>
    <w:rsid w:val="005E4EDB"/>
    <w:rsid w:val="005E506D"/>
    <w:rsid w:val="005F022B"/>
    <w:rsid w:val="005F48CB"/>
    <w:rsid w:val="005F51C8"/>
    <w:rsid w:val="005F6368"/>
    <w:rsid w:val="005F7B7D"/>
    <w:rsid w:val="006004A5"/>
    <w:rsid w:val="00600CA1"/>
    <w:rsid w:val="00601799"/>
    <w:rsid w:val="00601FA1"/>
    <w:rsid w:val="00602D29"/>
    <w:rsid w:val="00602FD3"/>
    <w:rsid w:val="00603C5A"/>
    <w:rsid w:val="00603F95"/>
    <w:rsid w:val="006056D5"/>
    <w:rsid w:val="00605901"/>
    <w:rsid w:val="00605E1A"/>
    <w:rsid w:val="006061E9"/>
    <w:rsid w:val="00610C18"/>
    <w:rsid w:val="0061350E"/>
    <w:rsid w:val="00615C0D"/>
    <w:rsid w:val="006168ED"/>
    <w:rsid w:val="00616E96"/>
    <w:rsid w:val="0061773A"/>
    <w:rsid w:val="00617BCD"/>
    <w:rsid w:val="006204EF"/>
    <w:rsid w:val="006234B0"/>
    <w:rsid w:val="00624BC1"/>
    <w:rsid w:val="006262B8"/>
    <w:rsid w:val="00627DB1"/>
    <w:rsid w:val="00630014"/>
    <w:rsid w:val="006301A1"/>
    <w:rsid w:val="0063193A"/>
    <w:rsid w:val="00631F77"/>
    <w:rsid w:val="006326D0"/>
    <w:rsid w:val="006329FA"/>
    <w:rsid w:val="00633ACD"/>
    <w:rsid w:val="00633C79"/>
    <w:rsid w:val="00634D4B"/>
    <w:rsid w:val="00637895"/>
    <w:rsid w:val="00637BA4"/>
    <w:rsid w:val="006408BC"/>
    <w:rsid w:val="0064130A"/>
    <w:rsid w:val="00641952"/>
    <w:rsid w:val="00641B50"/>
    <w:rsid w:val="00642277"/>
    <w:rsid w:val="00642C6E"/>
    <w:rsid w:val="00643C03"/>
    <w:rsid w:val="00644035"/>
    <w:rsid w:val="0064711B"/>
    <w:rsid w:val="006478DD"/>
    <w:rsid w:val="00647A58"/>
    <w:rsid w:val="006507BA"/>
    <w:rsid w:val="00651758"/>
    <w:rsid w:val="006517D7"/>
    <w:rsid w:val="00652222"/>
    <w:rsid w:val="0065279C"/>
    <w:rsid w:val="00653CE7"/>
    <w:rsid w:val="00653EE2"/>
    <w:rsid w:val="00653F15"/>
    <w:rsid w:val="00656515"/>
    <w:rsid w:val="006576D0"/>
    <w:rsid w:val="0066026E"/>
    <w:rsid w:val="00660560"/>
    <w:rsid w:val="00660D42"/>
    <w:rsid w:val="00660D6D"/>
    <w:rsid w:val="006616BF"/>
    <w:rsid w:val="006625CF"/>
    <w:rsid w:val="00663958"/>
    <w:rsid w:val="00665095"/>
    <w:rsid w:val="006652DE"/>
    <w:rsid w:val="006653AC"/>
    <w:rsid w:val="00665D46"/>
    <w:rsid w:val="0066705C"/>
    <w:rsid w:val="006675FB"/>
    <w:rsid w:val="00667758"/>
    <w:rsid w:val="00667D68"/>
    <w:rsid w:val="0067182A"/>
    <w:rsid w:val="00671C3B"/>
    <w:rsid w:val="006727F4"/>
    <w:rsid w:val="006729BA"/>
    <w:rsid w:val="006746CC"/>
    <w:rsid w:val="00676081"/>
    <w:rsid w:val="00677145"/>
    <w:rsid w:val="0068014B"/>
    <w:rsid w:val="00680179"/>
    <w:rsid w:val="00680638"/>
    <w:rsid w:val="0068094C"/>
    <w:rsid w:val="00681F34"/>
    <w:rsid w:val="006821A5"/>
    <w:rsid w:val="00683988"/>
    <w:rsid w:val="006840A1"/>
    <w:rsid w:val="00685641"/>
    <w:rsid w:val="006860B4"/>
    <w:rsid w:val="006861FC"/>
    <w:rsid w:val="00686A33"/>
    <w:rsid w:val="006911F9"/>
    <w:rsid w:val="006915E8"/>
    <w:rsid w:val="006925FA"/>
    <w:rsid w:val="00693F1E"/>
    <w:rsid w:val="00695F4F"/>
    <w:rsid w:val="006974CD"/>
    <w:rsid w:val="00697D05"/>
    <w:rsid w:val="006A1314"/>
    <w:rsid w:val="006A2012"/>
    <w:rsid w:val="006A22EE"/>
    <w:rsid w:val="006A34BF"/>
    <w:rsid w:val="006A352C"/>
    <w:rsid w:val="006A39BB"/>
    <w:rsid w:val="006A3D05"/>
    <w:rsid w:val="006A4644"/>
    <w:rsid w:val="006A4814"/>
    <w:rsid w:val="006A4831"/>
    <w:rsid w:val="006A5342"/>
    <w:rsid w:val="006A64B6"/>
    <w:rsid w:val="006A652D"/>
    <w:rsid w:val="006A732A"/>
    <w:rsid w:val="006A771C"/>
    <w:rsid w:val="006B294D"/>
    <w:rsid w:val="006B36B7"/>
    <w:rsid w:val="006B3AEB"/>
    <w:rsid w:val="006B486D"/>
    <w:rsid w:val="006B4F56"/>
    <w:rsid w:val="006B593D"/>
    <w:rsid w:val="006C2EBC"/>
    <w:rsid w:val="006C463D"/>
    <w:rsid w:val="006C4BE2"/>
    <w:rsid w:val="006C4DDD"/>
    <w:rsid w:val="006C5215"/>
    <w:rsid w:val="006C64EE"/>
    <w:rsid w:val="006D34B7"/>
    <w:rsid w:val="006D4F31"/>
    <w:rsid w:val="006D4F6E"/>
    <w:rsid w:val="006D5B7B"/>
    <w:rsid w:val="006D700D"/>
    <w:rsid w:val="006D74C9"/>
    <w:rsid w:val="006D7F03"/>
    <w:rsid w:val="006E15CC"/>
    <w:rsid w:val="006E1A27"/>
    <w:rsid w:val="006E21FB"/>
    <w:rsid w:val="006E42D2"/>
    <w:rsid w:val="006E460F"/>
    <w:rsid w:val="006E5914"/>
    <w:rsid w:val="006E5D83"/>
    <w:rsid w:val="006E5F2A"/>
    <w:rsid w:val="006E6AEE"/>
    <w:rsid w:val="006E7786"/>
    <w:rsid w:val="006E7BED"/>
    <w:rsid w:val="006F03B9"/>
    <w:rsid w:val="006F070A"/>
    <w:rsid w:val="006F1817"/>
    <w:rsid w:val="006F1B91"/>
    <w:rsid w:val="006F1BD5"/>
    <w:rsid w:val="006F2DED"/>
    <w:rsid w:val="006F3F4A"/>
    <w:rsid w:val="006F4194"/>
    <w:rsid w:val="006F742B"/>
    <w:rsid w:val="007002ED"/>
    <w:rsid w:val="00701287"/>
    <w:rsid w:val="007012E8"/>
    <w:rsid w:val="00701F96"/>
    <w:rsid w:val="007034A4"/>
    <w:rsid w:val="00703D90"/>
    <w:rsid w:val="00703F93"/>
    <w:rsid w:val="00704051"/>
    <w:rsid w:val="0070428F"/>
    <w:rsid w:val="00705B3B"/>
    <w:rsid w:val="00707691"/>
    <w:rsid w:val="00707C98"/>
    <w:rsid w:val="0071086B"/>
    <w:rsid w:val="00710B0D"/>
    <w:rsid w:val="007110BA"/>
    <w:rsid w:val="007125B2"/>
    <w:rsid w:val="007128E6"/>
    <w:rsid w:val="00712B69"/>
    <w:rsid w:val="007141FC"/>
    <w:rsid w:val="00716F73"/>
    <w:rsid w:val="0071707D"/>
    <w:rsid w:val="00717413"/>
    <w:rsid w:val="0071776F"/>
    <w:rsid w:val="0072043D"/>
    <w:rsid w:val="00720C49"/>
    <w:rsid w:val="00721C7A"/>
    <w:rsid w:val="00723457"/>
    <w:rsid w:val="00724362"/>
    <w:rsid w:val="00724DB1"/>
    <w:rsid w:val="0072585C"/>
    <w:rsid w:val="00725EFD"/>
    <w:rsid w:val="00726446"/>
    <w:rsid w:val="00727F49"/>
    <w:rsid w:val="00730D22"/>
    <w:rsid w:val="007316EA"/>
    <w:rsid w:val="007330A9"/>
    <w:rsid w:val="0073488A"/>
    <w:rsid w:val="00734F7F"/>
    <w:rsid w:val="00735698"/>
    <w:rsid w:val="007365BA"/>
    <w:rsid w:val="00736A2E"/>
    <w:rsid w:val="00736C10"/>
    <w:rsid w:val="007405D5"/>
    <w:rsid w:val="00741289"/>
    <w:rsid w:val="00742D4E"/>
    <w:rsid w:val="007437B7"/>
    <w:rsid w:val="007465F8"/>
    <w:rsid w:val="0074668A"/>
    <w:rsid w:val="007471B3"/>
    <w:rsid w:val="0075125C"/>
    <w:rsid w:val="007526A4"/>
    <w:rsid w:val="00753726"/>
    <w:rsid w:val="00753F22"/>
    <w:rsid w:val="00754115"/>
    <w:rsid w:val="007545BB"/>
    <w:rsid w:val="00754AF8"/>
    <w:rsid w:val="00754D5A"/>
    <w:rsid w:val="00760067"/>
    <w:rsid w:val="007618BC"/>
    <w:rsid w:val="00761B32"/>
    <w:rsid w:val="00762402"/>
    <w:rsid w:val="00763474"/>
    <w:rsid w:val="0076396B"/>
    <w:rsid w:val="00764676"/>
    <w:rsid w:val="0076794D"/>
    <w:rsid w:val="007706DC"/>
    <w:rsid w:val="0077140D"/>
    <w:rsid w:val="00771C72"/>
    <w:rsid w:val="0077229D"/>
    <w:rsid w:val="00772506"/>
    <w:rsid w:val="007733F5"/>
    <w:rsid w:val="00775441"/>
    <w:rsid w:val="007778F9"/>
    <w:rsid w:val="007800CB"/>
    <w:rsid w:val="00781400"/>
    <w:rsid w:val="00783E50"/>
    <w:rsid w:val="0078493F"/>
    <w:rsid w:val="00784C49"/>
    <w:rsid w:val="0078582D"/>
    <w:rsid w:val="007864A3"/>
    <w:rsid w:val="007867D3"/>
    <w:rsid w:val="00787056"/>
    <w:rsid w:val="00790353"/>
    <w:rsid w:val="00790650"/>
    <w:rsid w:val="007916B7"/>
    <w:rsid w:val="00791EF4"/>
    <w:rsid w:val="00793D1A"/>
    <w:rsid w:val="00794397"/>
    <w:rsid w:val="0079465A"/>
    <w:rsid w:val="0079510C"/>
    <w:rsid w:val="007951A7"/>
    <w:rsid w:val="00796312"/>
    <w:rsid w:val="0079634D"/>
    <w:rsid w:val="007971C4"/>
    <w:rsid w:val="0079777F"/>
    <w:rsid w:val="00797BF3"/>
    <w:rsid w:val="007A1D6E"/>
    <w:rsid w:val="007A24CC"/>
    <w:rsid w:val="007A3AFE"/>
    <w:rsid w:val="007A4807"/>
    <w:rsid w:val="007A51B4"/>
    <w:rsid w:val="007A566C"/>
    <w:rsid w:val="007A5779"/>
    <w:rsid w:val="007A597A"/>
    <w:rsid w:val="007A686F"/>
    <w:rsid w:val="007A7EB5"/>
    <w:rsid w:val="007B3185"/>
    <w:rsid w:val="007B32BB"/>
    <w:rsid w:val="007B4008"/>
    <w:rsid w:val="007B4C9A"/>
    <w:rsid w:val="007B5F48"/>
    <w:rsid w:val="007B6F29"/>
    <w:rsid w:val="007B7FBF"/>
    <w:rsid w:val="007C05AC"/>
    <w:rsid w:val="007C0B10"/>
    <w:rsid w:val="007C27A1"/>
    <w:rsid w:val="007C2823"/>
    <w:rsid w:val="007C4F67"/>
    <w:rsid w:val="007C4F79"/>
    <w:rsid w:val="007C53C5"/>
    <w:rsid w:val="007C54D2"/>
    <w:rsid w:val="007C6624"/>
    <w:rsid w:val="007C66C8"/>
    <w:rsid w:val="007C6ADA"/>
    <w:rsid w:val="007C733F"/>
    <w:rsid w:val="007D0348"/>
    <w:rsid w:val="007D07C5"/>
    <w:rsid w:val="007D09DE"/>
    <w:rsid w:val="007D1195"/>
    <w:rsid w:val="007D1FEB"/>
    <w:rsid w:val="007D20A6"/>
    <w:rsid w:val="007D226B"/>
    <w:rsid w:val="007D2345"/>
    <w:rsid w:val="007D2D1E"/>
    <w:rsid w:val="007D3FFA"/>
    <w:rsid w:val="007D44CC"/>
    <w:rsid w:val="007D491F"/>
    <w:rsid w:val="007D542C"/>
    <w:rsid w:val="007D638B"/>
    <w:rsid w:val="007D6975"/>
    <w:rsid w:val="007D74DB"/>
    <w:rsid w:val="007E0661"/>
    <w:rsid w:val="007E200D"/>
    <w:rsid w:val="007E2745"/>
    <w:rsid w:val="007E27A1"/>
    <w:rsid w:val="007E2B5C"/>
    <w:rsid w:val="007E2F25"/>
    <w:rsid w:val="007E3B46"/>
    <w:rsid w:val="007E4D3E"/>
    <w:rsid w:val="007E6FA6"/>
    <w:rsid w:val="007E7C11"/>
    <w:rsid w:val="007F0403"/>
    <w:rsid w:val="007F0D3B"/>
    <w:rsid w:val="007F0E62"/>
    <w:rsid w:val="007F2411"/>
    <w:rsid w:val="007F31B4"/>
    <w:rsid w:val="007F37FE"/>
    <w:rsid w:val="007F3AD0"/>
    <w:rsid w:val="007F4510"/>
    <w:rsid w:val="007F562C"/>
    <w:rsid w:val="007F7FDA"/>
    <w:rsid w:val="00800AFB"/>
    <w:rsid w:val="0080166A"/>
    <w:rsid w:val="008039DF"/>
    <w:rsid w:val="008041A7"/>
    <w:rsid w:val="0080449E"/>
    <w:rsid w:val="00805E0C"/>
    <w:rsid w:val="00806A11"/>
    <w:rsid w:val="00806B0D"/>
    <w:rsid w:val="00806C86"/>
    <w:rsid w:val="00807DCD"/>
    <w:rsid w:val="0081078A"/>
    <w:rsid w:val="00813B1C"/>
    <w:rsid w:val="00813FE3"/>
    <w:rsid w:val="00815CA4"/>
    <w:rsid w:val="00815ED5"/>
    <w:rsid w:val="00816611"/>
    <w:rsid w:val="008200B4"/>
    <w:rsid w:val="00820D2E"/>
    <w:rsid w:val="00822CCC"/>
    <w:rsid w:val="008253C8"/>
    <w:rsid w:val="00826141"/>
    <w:rsid w:val="008277A0"/>
    <w:rsid w:val="00827ECD"/>
    <w:rsid w:val="0083087D"/>
    <w:rsid w:val="008334E5"/>
    <w:rsid w:val="008342A5"/>
    <w:rsid w:val="00834BEF"/>
    <w:rsid w:val="00835DE2"/>
    <w:rsid w:val="0083705C"/>
    <w:rsid w:val="00842EC7"/>
    <w:rsid w:val="008438E5"/>
    <w:rsid w:val="008449CD"/>
    <w:rsid w:val="008453B5"/>
    <w:rsid w:val="00846AFB"/>
    <w:rsid w:val="00846EEC"/>
    <w:rsid w:val="008470D8"/>
    <w:rsid w:val="008471A3"/>
    <w:rsid w:val="00847ED4"/>
    <w:rsid w:val="00847F5D"/>
    <w:rsid w:val="008501C3"/>
    <w:rsid w:val="00851222"/>
    <w:rsid w:val="0085132E"/>
    <w:rsid w:val="00852A78"/>
    <w:rsid w:val="00853775"/>
    <w:rsid w:val="008537C8"/>
    <w:rsid w:val="008544D8"/>
    <w:rsid w:val="00854A9B"/>
    <w:rsid w:val="0085593F"/>
    <w:rsid w:val="00855DDE"/>
    <w:rsid w:val="00860A25"/>
    <w:rsid w:val="00861274"/>
    <w:rsid w:val="008614A3"/>
    <w:rsid w:val="00862498"/>
    <w:rsid w:val="00862552"/>
    <w:rsid w:val="008636B8"/>
    <w:rsid w:val="00864480"/>
    <w:rsid w:val="00870FA2"/>
    <w:rsid w:val="00871F82"/>
    <w:rsid w:val="008728F2"/>
    <w:rsid w:val="00872CD0"/>
    <w:rsid w:val="008731EF"/>
    <w:rsid w:val="00873DA8"/>
    <w:rsid w:val="00874653"/>
    <w:rsid w:val="00875771"/>
    <w:rsid w:val="00877A56"/>
    <w:rsid w:val="00881084"/>
    <w:rsid w:val="00881E5B"/>
    <w:rsid w:val="00883086"/>
    <w:rsid w:val="00883B9D"/>
    <w:rsid w:val="00885440"/>
    <w:rsid w:val="00885FE0"/>
    <w:rsid w:val="008867BF"/>
    <w:rsid w:val="0088711D"/>
    <w:rsid w:val="0088713C"/>
    <w:rsid w:val="00891430"/>
    <w:rsid w:val="0089192C"/>
    <w:rsid w:val="008921C5"/>
    <w:rsid w:val="00892CBD"/>
    <w:rsid w:val="008938E2"/>
    <w:rsid w:val="00893A2C"/>
    <w:rsid w:val="00894021"/>
    <w:rsid w:val="0089484B"/>
    <w:rsid w:val="008A0A5E"/>
    <w:rsid w:val="008A0AB3"/>
    <w:rsid w:val="008A144C"/>
    <w:rsid w:val="008A2639"/>
    <w:rsid w:val="008A649A"/>
    <w:rsid w:val="008A69BE"/>
    <w:rsid w:val="008A7132"/>
    <w:rsid w:val="008A7637"/>
    <w:rsid w:val="008A76A2"/>
    <w:rsid w:val="008B0F94"/>
    <w:rsid w:val="008B1003"/>
    <w:rsid w:val="008B1B46"/>
    <w:rsid w:val="008B277D"/>
    <w:rsid w:val="008B29ED"/>
    <w:rsid w:val="008B2FFD"/>
    <w:rsid w:val="008B36E9"/>
    <w:rsid w:val="008B45CC"/>
    <w:rsid w:val="008B4704"/>
    <w:rsid w:val="008B4B14"/>
    <w:rsid w:val="008B4F38"/>
    <w:rsid w:val="008B6F47"/>
    <w:rsid w:val="008B76AC"/>
    <w:rsid w:val="008C1753"/>
    <w:rsid w:val="008C3E80"/>
    <w:rsid w:val="008C499A"/>
    <w:rsid w:val="008C5040"/>
    <w:rsid w:val="008C5F55"/>
    <w:rsid w:val="008D2754"/>
    <w:rsid w:val="008D2ACC"/>
    <w:rsid w:val="008D3F7E"/>
    <w:rsid w:val="008D5AB3"/>
    <w:rsid w:val="008D64F2"/>
    <w:rsid w:val="008D7040"/>
    <w:rsid w:val="008D744D"/>
    <w:rsid w:val="008D79A1"/>
    <w:rsid w:val="008E0363"/>
    <w:rsid w:val="008E25E1"/>
    <w:rsid w:val="008E2D71"/>
    <w:rsid w:val="008E391E"/>
    <w:rsid w:val="008E3C78"/>
    <w:rsid w:val="008E3F07"/>
    <w:rsid w:val="008E4649"/>
    <w:rsid w:val="008E488F"/>
    <w:rsid w:val="008E514B"/>
    <w:rsid w:val="008E55E9"/>
    <w:rsid w:val="008E74A6"/>
    <w:rsid w:val="008E7563"/>
    <w:rsid w:val="008F165B"/>
    <w:rsid w:val="008F1ED8"/>
    <w:rsid w:val="008F39B4"/>
    <w:rsid w:val="008F3AD2"/>
    <w:rsid w:val="008F5D88"/>
    <w:rsid w:val="008F67D5"/>
    <w:rsid w:val="00900F1B"/>
    <w:rsid w:val="0090141F"/>
    <w:rsid w:val="00901BE1"/>
    <w:rsid w:val="00902A17"/>
    <w:rsid w:val="0090305C"/>
    <w:rsid w:val="0090380F"/>
    <w:rsid w:val="009045DF"/>
    <w:rsid w:val="00904CD1"/>
    <w:rsid w:val="00905F8D"/>
    <w:rsid w:val="009061C7"/>
    <w:rsid w:val="0090642F"/>
    <w:rsid w:val="00911297"/>
    <w:rsid w:val="009115F7"/>
    <w:rsid w:val="00911D2E"/>
    <w:rsid w:val="009147A4"/>
    <w:rsid w:val="00914A7F"/>
    <w:rsid w:val="00914C52"/>
    <w:rsid w:val="0091643C"/>
    <w:rsid w:val="00916FDA"/>
    <w:rsid w:val="00917C77"/>
    <w:rsid w:val="00920960"/>
    <w:rsid w:val="00920A39"/>
    <w:rsid w:val="009218BB"/>
    <w:rsid w:val="00923114"/>
    <w:rsid w:val="009231AF"/>
    <w:rsid w:val="0092450E"/>
    <w:rsid w:val="00930F81"/>
    <w:rsid w:val="00932DA0"/>
    <w:rsid w:val="00933106"/>
    <w:rsid w:val="00933876"/>
    <w:rsid w:val="009343A8"/>
    <w:rsid w:val="009348A2"/>
    <w:rsid w:val="0093602A"/>
    <w:rsid w:val="0093737C"/>
    <w:rsid w:val="00937FB3"/>
    <w:rsid w:val="00940431"/>
    <w:rsid w:val="00941188"/>
    <w:rsid w:val="009416CA"/>
    <w:rsid w:val="00942EB0"/>
    <w:rsid w:val="00943C20"/>
    <w:rsid w:val="009454F6"/>
    <w:rsid w:val="00945918"/>
    <w:rsid w:val="00950875"/>
    <w:rsid w:val="00950F38"/>
    <w:rsid w:val="009521FC"/>
    <w:rsid w:val="00952DD2"/>
    <w:rsid w:val="00953416"/>
    <w:rsid w:val="0095355D"/>
    <w:rsid w:val="00957663"/>
    <w:rsid w:val="00961D64"/>
    <w:rsid w:val="00963053"/>
    <w:rsid w:val="00963ACC"/>
    <w:rsid w:val="00963F01"/>
    <w:rsid w:val="0096410D"/>
    <w:rsid w:val="00964449"/>
    <w:rsid w:val="00965759"/>
    <w:rsid w:val="00967557"/>
    <w:rsid w:val="009705A4"/>
    <w:rsid w:val="009719F7"/>
    <w:rsid w:val="0097298B"/>
    <w:rsid w:val="00972CB6"/>
    <w:rsid w:val="00974143"/>
    <w:rsid w:val="009741E8"/>
    <w:rsid w:val="0097514C"/>
    <w:rsid w:val="00975F9B"/>
    <w:rsid w:val="00977102"/>
    <w:rsid w:val="009801E5"/>
    <w:rsid w:val="009808CA"/>
    <w:rsid w:val="00981401"/>
    <w:rsid w:val="00981584"/>
    <w:rsid w:val="009837D3"/>
    <w:rsid w:val="00983A85"/>
    <w:rsid w:val="00984469"/>
    <w:rsid w:val="0098488D"/>
    <w:rsid w:val="0098755D"/>
    <w:rsid w:val="00990530"/>
    <w:rsid w:val="0099315B"/>
    <w:rsid w:val="00993787"/>
    <w:rsid w:val="00993AB6"/>
    <w:rsid w:val="009955FE"/>
    <w:rsid w:val="009960FD"/>
    <w:rsid w:val="00997140"/>
    <w:rsid w:val="009A1070"/>
    <w:rsid w:val="009A2A44"/>
    <w:rsid w:val="009A2D51"/>
    <w:rsid w:val="009A487A"/>
    <w:rsid w:val="009A60C1"/>
    <w:rsid w:val="009A6393"/>
    <w:rsid w:val="009A6C91"/>
    <w:rsid w:val="009A6EFA"/>
    <w:rsid w:val="009A7AE3"/>
    <w:rsid w:val="009B0685"/>
    <w:rsid w:val="009B0A4E"/>
    <w:rsid w:val="009B3BD4"/>
    <w:rsid w:val="009B426A"/>
    <w:rsid w:val="009B5421"/>
    <w:rsid w:val="009B5F77"/>
    <w:rsid w:val="009B6F6A"/>
    <w:rsid w:val="009C1F50"/>
    <w:rsid w:val="009C2237"/>
    <w:rsid w:val="009C281A"/>
    <w:rsid w:val="009C3073"/>
    <w:rsid w:val="009C30E4"/>
    <w:rsid w:val="009C5F55"/>
    <w:rsid w:val="009C63D1"/>
    <w:rsid w:val="009D0298"/>
    <w:rsid w:val="009D18F6"/>
    <w:rsid w:val="009D2354"/>
    <w:rsid w:val="009D498E"/>
    <w:rsid w:val="009D4FFB"/>
    <w:rsid w:val="009D6622"/>
    <w:rsid w:val="009D6A97"/>
    <w:rsid w:val="009D6EEA"/>
    <w:rsid w:val="009D7418"/>
    <w:rsid w:val="009E0FFC"/>
    <w:rsid w:val="009E4D42"/>
    <w:rsid w:val="009E7204"/>
    <w:rsid w:val="009E7592"/>
    <w:rsid w:val="009F0E0C"/>
    <w:rsid w:val="009F3994"/>
    <w:rsid w:val="009F5133"/>
    <w:rsid w:val="009F5458"/>
    <w:rsid w:val="009F57B0"/>
    <w:rsid w:val="009F6CF3"/>
    <w:rsid w:val="00A000FA"/>
    <w:rsid w:val="00A00199"/>
    <w:rsid w:val="00A017A6"/>
    <w:rsid w:val="00A0324B"/>
    <w:rsid w:val="00A03C6F"/>
    <w:rsid w:val="00A0478F"/>
    <w:rsid w:val="00A0489B"/>
    <w:rsid w:val="00A05D7A"/>
    <w:rsid w:val="00A112E0"/>
    <w:rsid w:val="00A1162A"/>
    <w:rsid w:val="00A11C4C"/>
    <w:rsid w:val="00A13EB3"/>
    <w:rsid w:val="00A142DC"/>
    <w:rsid w:val="00A143D0"/>
    <w:rsid w:val="00A14495"/>
    <w:rsid w:val="00A1519F"/>
    <w:rsid w:val="00A155F2"/>
    <w:rsid w:val="00A1576B"/>
    <w:rsid w:val="00A15CA1"/>
    <w:rsid w:val="00A20AD5"/>
    <w:rsid w:val="00A211D7"/>
    <w:rsid w:val="00A221C2"/>
    <w:rsid w:val="00A22276"/>
    <w:rsid w:val="00A22822"/>
    <w:rsid w:val="00A235B6"/>
    <w:rsid w:val="00A23A7E"/>
    <w:rsid w:val="00A23C06"/>
    <w:rsid w:val="00A2514F"/>
    <w:rsid w:val="00A2755D"/>
    <w:rsid w:val="00A27F00"/>
    <w:rsid w:val="00A314E7"/>
    <w:rsid w:val="00A31500"/>
    <w:rsid w:val="00A31ACC"/>
    <w:rsid w:val="00A33C29"/>
    <w:rsid w:val="00A35797"/>
    <w:rsid w:val="00A35846"/>
    <w:rsid w:val="00A359F6"/>
    <w:rsid w:val="00A35D58"/>
    <w:rsid w:val="00A36254"/>
    <w:rsid w:val="00A36447"/>
    <w:rsid w:val="00A36CBD"/>
    <w:rsid w:val="00A36F41"/>
    <w:rsid w:val="00A400B2"/>
    <w:rsid w:val="00A417C1"/>
    <w:rsid w:val="00A41AA1"/>
    <w:rsid w:val="00A42866"/>
    <w:rsid w:val="00A42A1D"/>
    <w:rsid w:val="00A42A54"/>
    <w:rsid w:val="00A43132"/>
    <w:rsid w:val="00A4424F"/>
    <w:rsid w:val="00A444AC"/>
    <w:rsid w:val="00A4730E"/>
    <w:rsid w:val="00A47794"/>
    <w:rsid w:val="00A47803"/>
    <w:rsid w:val="00A50A8C"/>
    <w:rsid w:val="00A51CAA"/>
    <w:rsid w:val="00A52096"/>
    <w:rsid w:val="00A522C2"/>
    <w:rsid w:val="00A5524A"/>
    <w:rsid w:val="00A55CB1"/>
    <w:rsid w:val="00A55DC8"/>
    <w:rsid w:val="00A60341"/>
    <w:rsid w:val="00A6147F"/>
    <w:rsid w:val="00A61954"/>
    <w:rsid w:val="00A61B04"/>
    <w:rsid w:val="00A61EC3"/>
    <w:rsid w:val="00A6261B"/>
    <w:rsid w:val="00A628A6"/>
    <w:rsid w:val="00A63881"/>
    <w:rsid w:val="00A654E0"/>
    <w:rsid w:val="00A655C0"/>
    <w:rsid w:val="00A66866"/>
    <w:rsid w:val="00A66C58"/>
    <w:rsid w:val="00A66C69"/>
    <w:rsid w:val="00A67756"/>
    <w:rsid w:val="00A70486"/>
    <w:rsid w:val="00A7102F"/>
    <w:rsid w:val="00A71705"/>
    <w:rsid w:val="00A71988"/>
    <w:rsid w:val="00A72394"/>
    <w:rsid w:val="00A73EBD"/>
    <w:rsid w:val="00A75A4A"/>
    <w:rsid w:val="00A765D8"/>
    <w:rsid w:val="00A7754D"/>
    <w:rsid w:val="00A77616"/>
    <w:rsid w:val="00A81309"/>
    <w:rsid w:val="00A831E6"/>
    <w:rsid w:val="00A83B39"/>
    <w:rsid w:val="00A8627E"/>
    <w:rsid w:val="00A8654B"/>
    <w:rsid w:val="00A86714"/>
    <w:rsid w:val="00A8752F"/>
    <w:rsid w:val="00A87AE0"/>
    <w:rsid w:val="00A928F5"/>
    <w:rsid w:val="00A928F6"/>
    <w:rsid w:val="00A96275"/>
    <w:rsid w:val="00A9673D"/>
    <w:rsid w:val="00A96D3B"/>
    <w:rsid w:val="00A96D8A"/>
    <w:rsid w:val="00AA0C48"/>
    <w:rsid w:val="00AA1B9A"/>
    <w:rsid w:val="00AA29B5"/>
    <w:rsid w:val="00AA373A"/>
    <w:rsid w:val="00AA383C"/>
    <w:rsid w:val="00AA3F12"/>
    <w:rsid w:val="00AA40DC"/>
    <w:rsid w:val="00AA4688"/>
    <w:rsid w:val="00AA4D26"/>
    <w:rsid w:val="00AA4FFC"/>
    <w:rsid w:val="00AA550A"/>
    <w:rsid w:val="00AA6EBA"/>
    <w:rsid w:val="00AA7947"/>
    <w:rsid w:val="00AB0342"/>
    <w:rsid w:val="00AB0627"/>
    <w:rsid w:val="00AB0F4F"/>
    <w:rsid w:val="00AB0FAB"/>
    <w:rsid w:val="00AB17E1"/>
    <w:rsid w:val="00AB2D82"/>
    <w:rsid w:val="00AB50B2"/>
    <w:rsid w:val="00AB78CE"/>
    <w:rsid w:val="00AC004C"/>
    <w:rsid w:val="00AC3549"/>
    <w:rsid w:val="00AC3694"/>
    <w:rsid w:val="00AC4C61"/>
    <w:rsid w:val="00AC6075"/>
    <w:rsid w:val="00AC74C7"/>
    <w:rsid w:val="00AC75BB"/>
    <w:rsid w:val="00AD02D0"/>
    <w:rsid w:val="00AD1E0F"/>
    <w:rsid w:val="00AD47F0"/>
    <w:rsid w:val="00AD4EF5"/>
    <w:rsid w:val="00AD5BB2"/>
    <w:rsid w:val="00AD7F8D"/>
    <w:rsid w:val="00AE0424"/>
    <w:rsid w:val="00AE051B"/>
    <w:rsid w:val="00AE30BA"/>
    <w:rsid w:val="00AE3DD1"/>
    <w:rsid w:val="00AE485C"/>
    <w:rsid w:val="00AE4D16"/>
    <w:rsid w:val="00AF0BBC"/>
    <w:rsid w:val="00AF1C7E"/>
    <w:rsid w:val="00AF24F9"/>
    <w:rsid w:val="00AF25D0"/>
    <w:rsid w:val="00AF41FB"/>
    <w:rsid w:val="00AF45F4"/>
    <w:rsid w:val="00AF4C5C"/>
    <w:rsid w:val="00AF4F42"/>
    <w:rsid w:val="00AF5FB1"/>
    <w:rsid w:val="00AF6393"/>
    <w:rsid w:val="00AF6684"/>
    <w:rsid w:val="00AF6811"/>
    <w:rsid w:val="00AF6C00"/>
    <w:rsid w:val="00AF76A6"/>
    <w:rsid w:val="00AF7A31"/>
    <w:rsid w:val="00B001FD"/>
    <w:rsid w:val="00B00C27"/>
    <w:rsid w:val="00B01E26"/>
    <w:rsid w:val="00B03345"/>
    <w:rsid w:val="00B0485B"/>
    <w:rsid w:val="00B04981"/>
    <w:rsid w:val="00B04F8D"/>
    <w:rsid w:val="00B05B9B"/>
    <w:rsid w:val="00B0669F"/>
    <w:rsid w:val="00B072ED"/>
    <w:rsid w:val="00B074DE"/>
    <w:rsid w:val="00B07927"/>
    <w:rsid w:val="00B119F1"/>
    <w:rsid w:val="00B1266A"/>
    <w:rsid w:val="00B142B5"/>
    <w:rsid w:val="00B17812"/>
    <w:rsid w:val="00B17AEF"/>
    <w:rsid w:val="00B2285C"/>
    <w:rsid w:val="00B23425"/>
    <w:rsid w:val="00B2358A"/>
    <w:rsid w:val="00B239E2"/>
    <w:rsid w:val="00B242AA"/>
    <w:rsid w:val="00B27335"/>
    <w:rsid w:val="00B27602"/>
    <w:rsid w:val="00B30690"/>
    <w:rsid w:val="00B321E1"/>
    <w:rsid w:val="00B333B2"/>
    <w:rsid w:val="00B333EF"/>
    <w:rsid w:val="00B337EA"/>
    <w:rsid w:val="00B3429C"/>
    <w:rsid w:val="00B342AF"/>
    <w:rsid w:val="00B361CD"/>
    <w:rsid w:val="00B377E7"/>
    <w:rsid w:val="00B40E75"/>
    <w:rsid w:val="00B4124E"/>
    <w:rsid w:val="00B42338"/>
    <w:rsid w:val="00B42849"/>
    <w:rsid w:val="00B42F8F"/>
    <w:rsid w:val="00B434DB"/>
    <w:rsid w:val="00B43FC0"/>
    <w:rsid w:val="00B4453C"/>
    <w:rsid w:val="00B45137"/>
    <w:rsid w:val="00B457DF"/>
    <w:rsid w:val="00B45E51"/>
    <w:rsid w:val="00B46DE5"/>
    <w:rsid w:val="00B51271"/>
    <w:rsid w:val="00B51408"/>
    <w:rsid w:val="00B51A76"/>
    <w:rsid w:val="00B5305D"/>
    <w:rsid w:val="00B53316"/>
    <w:rsid w:val="00B54425"/>
    <w:rsid w:val="00B54B68"/>
    <w:rsid w:val="00B5530C"/>
    <w:rsid w:val="00B55699"/>
    <w:rsid w:val="00B556B9"/>
    <w:rsid w:val="00B57529"/>
    <w:rsid w:val="00B578F0"/>
    <w:rsid w:val="00B60F94"/>
    <w:rsid w:val="00B61688"/>
    <w:rsid w:val="00B61F03"/>
    <w:rsid w:val="00B6271F"/>
    <w:rsid w:val="00B62E96"/>
    <w:rsid w:val="00B6329F"/>
    <w:rsid w:val="00B664DF"/>
    <w:rsid w:val="00B67130"/>
    <w:rsid w:val="00B67AA1"/>
    <w:rsid w:val="00B70DDA"/>
    <w:rsid w:val="00B727D5"/>
    <w:rsid w:val="00B72A39"/>
    <w:rsid w:val="00B7525F"/>
    <w:rsid w:val="00B75D37"/>
    <w:rsid w:val="00B76BF5"/>
    <w:rsid w:val="00B80EE7"/>
    <w:rsid w:val="00B81EE6"/>
    <w:rsid w:val="00B8206E"/>
    <w:rsid w:val="00B82A2C"/>
    <w:rsid w:val="00B82B4D"/>
    <w:rsid w:val="00B835EA"/>
    <w:rsid w:val="00B85F4E"/>
    <w:rsid w:val="00B87265"/>
    <w:rsid w:val="00B87472"/>
    <w:rsid w:val="00B90767"/>
    <w:rsid w:val="00B91183"/>
    <w:rsid w:val="00B92451"/>
    <w:rsid w:val="00B92AE8"/>
    <w:rsid w:val="00B92ECC"/>
    <w:rsid w:val="00B948FF"/>
    <w:rsid w:val="00B96C2E"/>
    <w:rsid w:val="00B97B56"/>
    <w:rsid w:val="00BA04A4"/>
    <w:rsid w:val="00BA11D2"/>
    <w:rsid w:val="00BA226B"/>
    <w:rsid w:val="00BA2443"/>
    <w:rsid w:val="00BA2C2B"/>
    <w:rsid w:val="00BA3D69"/>
    <w:rsid w:val="00BA4E53"/>
    <w:rsid w:val="00BA5433"/>
    <w:rsid w:val="00BA5613"/>
    <w:rsid w:val="00BA69EA"/>
    <w:rsid w:val="00BB4447"/>
    <w:rsid w:val="00BB7103"/>
    <w:rsid w:val="00BC0F9E"/>
    <w:rsid w:val="00BC1147"/>
    <w:rsid w:val="00BC1626"/>
    <w:rsid w:val="00BC1995"/>
    <w:rsid w:val="00BC1F01"/>
    <w:rsid w:val="00BC2E9E"/>
    <w:rsid w:val="00BC37EA"/>
    <w:rsid w:val="00BC4B76"/>
    <w:rsid w:val="00BC62C6"/>
    <w:rsid w:val="00BD0C26"/>
    <w:rsid w:val="00BD10AF"/>
    <w:rsid w:val="00BD1480"/>
    <w:rsid w:val="00BD40A2"/>
    <w:rsid w:val="00BD46E5"/>
    <w:rsid w:val="00BD4DD6"/>
    <w:rsid w:val="00BD510E"/>
    <w:rsid w:val="00BD6118"/>
    <w:rsid w:val="00BD62BF"/>
    <w:rsid w:val="00BD6883"/>
    <w:rsid w:val="00BE0037"/>
    <w:rsid w:val="00BE0D9D"/>
    <w:rsid w:val="00BE2F12"/>
    <w:rsid w:val="00BE307D"/>
    <w:rsid w:val="00BE3C69"/>
    <w:rsid w:val="00BE3FFD"/>
    <w:rsid w:val="00BE58CF"/>
    <w:rsid w:val="00BE6C32"/>
    <w:rsid w:val="00BF1A55"/>
    <w:rsid w:val="00BF1FB2"/>
    <w:rsid w:val="00BF2BEA"/>
    <w:rsid w:val="00BF3E23"/>
    <w:rsid w:val="00BF4B00"/>
    <w:rsid w:val="00BF4FA4"/>
    <w:rsid w:val="00BF6BE9"/>
    <w:rsid w:val="00BF7554"/>
    <w:rsid w:val="00BF7CFE"/>
    <w:rsid w:val="00C000C0"/>
    <w:rsid w:val="00C01E9F"/>
    <w:rsid w:val="00C01F6C"/>
    <w:rsid w:val="00C02102"/>
    <w:rsid w:val="00C02164"/>
    <w:rsid w:val="00C02D3A"/>
    <w:rsid w:val="00C0300E"/>
    <w:rsid w:val="00C033D2"/>
    <w:rsid w:val="00C03715"/>
    <w:rsid w:val="00C0410A"/>
    <w:rsid w:val="00C05AD9"/>
    <w:rsid w:val="00C05EBB"/>
    <w:rsid w:val="00C05FCC"/>
    <w:rsid w:val="00C067BC"/>
    <w:rsid w:val="00C067C0"/>
    <w:rsid w:val="00C0695F"/>
    <w:rsid w:val="00C06AB9"/>
    <w:rsid w:val="00C07A36"/>
    <w:rsid w:val="00C07B4C"/>
    <w:rsid w:val="00C07CFB"/>
    <w:rsid w:val="00C07F4C"/>
    <w:rsid w:val="00C10CE7"/>
    <w:rsid w:val="00C10D0F"/>
    <w:rsid w:val="00C12F0E"/>
    <w:rsid w:val="00C13100"/>
    <w:rsid w:val="00C14A92"/>
    <w:rsid w:val="00C14B0E"/>
    <w:rsid w:val="00C162AB"/>
    <w:rsid w:val="00C171B0"/>
    <w:rsid w:val="00C1749A"/>
    <w:rsid w:val="00C20399"/>
    <w:rsid w:val="00C20474"/>
    <w:rsid w:val="00C2086B"/>
    <w:rsid w:val="00C20A2F"/>
    <w:rsid w:val="00C21974"/>
    <w:rsid w:val="00C24CCE"/>
    <w:rsid w:val="00C25AFB"/>
    <w:rsid w:val="00C26BC1"/>
    <w:rsid w:val="00C31623"/>
    <w:rsid w:val="00C3475A"/>
    <w:rsid w:val="00C34F68"/>
    <w:rsid w:val="00C36CAC"/>
    <w:rsid w:val="00C40607"/>
    <w:rsid w:val="00C40697"/>
    <w:rsid w:val="00C40D28"/>
    <w:rsid w:val="00C42307"/>
    <w:rsid w:val="00C42FD4"/>
    <w:rsid w:val="00C43686"/>
    <w:rsid w:val="00C43AEF"/>
    <w:rsid w:val="00C46349"/>
    <w:rsid w:val="00C515B3"/>
    <w:rsid w:val="00C519E7"/>
    <w:rsid w:val="00C52DD8"/>
    <w:rsid w:val="00C537D0"/>
    <w:rsid w:val="00C53C79"/>
    <w:rsid w:val="00C53EF9"/>
    <w:rsid w:val="00C54994"/>
    <w:rsid w:val="00C54CFD"/>
    <w:rsid w:val="00C557EB"/>
    <w:rsid w:val="00C64240"/>
    <w:rsid w:val="00C64472"/>
    <w:rsid w:val="00C646F7"/>
    <w:rsid w:val="00C6487A"/>
    <w:rsid w:val="00C64F15"/>
    <w:rsid w:val="00C67EE3"/>
    <w:rsid w:val="00C71A8E"/>
    <w:rsid w:val="00C743AA"/>
    <w:rsid w:val="00C75815"/>
    <w:rsid w:val="00C7766C"/>
    <w:rsid w:val="00C7779F"/>
    <w:rsid w:val="00C77DA9"/>
    <w:rsid w:val="00C802CD"/>
    <w:rsid w:val="00C823A1"/>
    <w:rsid w:val="00C82E80"/>
    <w:rsid w:val="00C84B6B"/>
    <w:rsid w:val="00C85750"/>
    <w:rsid w:val="00C876C3"/>
    <w:rsid w:val="00C87AD1"/>
    <w:rsid w:val="00C87F6C"/>
    <w:rsid w:val="00C90A09"/>
    <w:rsid w:val="00C9181D"/>
    <w:rsid w:val="00C91BD7"/>
    <w:rsid w:val="00C933C5"/>
    <w:rsid w:val="00C954FB"/>
    <w:rsid w:val="00C9651F"/>
    <w:rsid w:val="00C97FC1"/>
    <w:rsid w:val="00CA1224"/>
    <w:rsid w:val="00CA1A68"/>
    <w:rsid w:val="00CA3355"/>
    <w:rsid w:val="00CA336B"/>
    <w:rsid w:val="00CA429F"/>
    <w:rsid w:val="00CA4B08"/>
    <w:rsid w:val="00CA5FA0"/>
    <w:rsid w:val="00CA6922"/>
    <w:rsid w:val="00CA7A0E"/>
    <w:rsid w:val="00CB0C7B"/>
    <w:rsid w:val="00CB1047"/>
    <w:rsid w:val="00CB1C6D"/>
    <w:rsid w:val="00CB1FBA"/>
    <w:rsid w:val="00CB3AC3"/>
    <w:rsid w:val="00CB51C5"/>
    <w:rsid w:val="00CB5AF7"/>
    <w:rsid w:val="00CB62F0"/>
    <w:rsid w:val="00CB6C0A"/>
    <w:rsid w:val="00CC0E0E"/>
    <w:rsid w:val="00CC13FC"/>
    <w:rsid w:val="00CC27D8"/>
    <w:rsid w:val="00CC5E9C"/>
    <w:rsid w:val="00CC6504"/>
    <w:rsid w:val="00CC6B03"/>
    <w:rsid w:val="00CD0E73"/>
    <w:rsid w:val="00CD2A32"/>
    <w:rsid w:val="00CD358F"/>
    <w:rsid w:val="00CD3686"/>
    <w:rsid w:val="00CD3B99"/>
    <w:rsid w:val="00CD4979"/>
    <w:rsid w:val="00CD55C3"/>
    <w:rsid w:val="00CD6A70"/>
    <w:rsid w:val="00CD70E4"/>
    <w:rsid w:val="00CD7FCA"/>
    <w:rsid w:val="00CE1035"/>
    <w:rsid w:val="00CE2023"/>
    <w:rsid w:val="00CE2CEC"/>
    <w:rsid w:val="00CE2DA8"/>
    <w:rsid w:val="00CE3BA5"/>
    <w:rsid w:val="00CE6009"/>
    <w:rsid w:val="00CE7311"/>
    <w:rsid w:val="00CE778F"/>
    <w:rsid w:val="00CF1490"/>
    <w:rsid w:val="00CF153A"/>
    <w:rsid w:val="00CF15A1"/>
    <w:rsid w:val="00CF1D75"/>
    <w:rsid w:val="00CF22AE"/>
    <w:rsid w:val="00CF3AD4"/>
    <w:rsid w:val="00CF3AF4"/>
    <w:rsid w:val="00CF47B7"/>
    <w:rsid w:val="00CF5BBF"/>
    <w:rsid w:val="00CF67D3"/>
    <w:rsid w:val="00D008D3"/>
    <w:rsid w:val="00D00F5A"/>
    <w:rsid w:val="00D02217"/>
    <w:rsid w:val="00D022A4"/>
    <w:rsid w:val="00D02B90"/>
    <w:rsid w:val="00D0481C"/>
    <w:rsid w:val="00D06542"/>
    <w:rsid w:val="00D07E5F"/>
    <w:rsid w:val="00D07FBC"/>
    <w:rsid w:val="00D1214A"/>
    <w:rsid w:val="00D13AD2"/>
    <w:rsid w:val="00D143C3"/>
    <w:rsid w:val="00D15271"/>
    <w:rsid w:val="00D15AE8"/>
    <w:rsid w:val="00D16A1B"/>
    <w:rsid w:val="00D17941"/>
    <w:rsid w:val="00D17FA2"/>
    <w:rsid w:val="00D20E4B"/>
    <w:rsid w:val="00D21B0E"/>
    <w:rsid w:val="00D23676"/>
    <w:rsid w:val="00D23764"/>
    <w:rsid w:val="00D24727"/>
    <w:rsid w:val="00D24B22"/>
    <w:rsid w:val="00D254A1"/>
    <w:rsid w:val="00D25EB0"/>
    <w:rsid w:val="00D27CD0"/>
    <w:rsid w:val="00D30DB5"/>
    <w:rsid w:val="00D319DE"/>
    <w:rsid w:val="00D32346"/>
    <w:rsid w:val="00D32EDC"/>
    <w:rsid w:val="00D33267"/>
    <w:rsid w:val="00D33584"/>
    <w:rsid w:val="00D336C2"/>
    <w:rsid w:val="00D33FDB"/>
    <w:rsid w:val="00D3468A"/>
    <w:rsid w:val="00D34C1C"/>
    <w:rsid w:val="00D3601C"/>
    <w:rsid w:val="00D361F4"/>
    <w:rsid w:val="00D363CD"/>
    <w:rsid w:val="00D3652F"/>
    <w:rsid w:val="00D3719F"/>
    <w:rsid w:val="00D401A3"/>
    <w:rsid w:val="00D40CAF"/>
    <w:rsid w:val="00D41F35"/>
    <w:rsid w:val="00D41F74"/>
    <w:rsid w:val="00D42A62"/>
    <w:rsid w:val="00D42BA9"/>
    <w:rsid w:val="00D4535B"/>
    <w:rsid w:val="00D47E88"/>
    <w:rsid w:val="00D47EC8"/>
    <w:rsid w:val="00D50F9C"/>
    <w:rsid w:val="00D510E5"/>
    <w:rsid w:val="00D525E6"/>
    <w:rsid w:val="00D532FB"/>
    <w:rsid w:val="00D53A7C"/>
    <w:rsid w:val="00D54212"/>
    <w:rsid w:val="00D54D42"/>
    <w:rsid w:val="00D55CA0"/>
    <w:rsid w:val="00D57C76"/>
    <w:rsid w:val="00D608A4"/>
    <w:rsid w:val="00D608CD"/>
    <w:rsid w:val="00D62817"/>
    <w:rsid w:val="00D635BF"/>
    <w:rsid w:val="00D63833"/>
    <w:rsid w:val="00D6388C"/>
    <w:rsid w:val="00D63D3E"/>
    <w:rsid w:val="00D642D8"/>
    <w:rsid w:val="00D65709"/>
    <w:rsid w:val="00D657C0"/>
    <w:rsid w:val="00D6721E"/>
    <w:rsid w:val="00D700DA"/>
    <w:rsid w:val="00D713D7"/>
    <w:rsid w:val="00D7173F"/>
    <w:rsid w:val="00D71858"/>
    <w:rsid w:val="00D71997"/>
    <w:rsid w:val="00D71C50"/>
    <w:rsid w:val="00D71FC2"/>
    <w:rsid w:val="00D724CA"/>
    <w:rsid w:val="00D724F6"/>
    <w:rsid w:val="00D72D4E"/>
    <w:rsid w:val="00D74855"/>
    <w:rsid w:val="00D76AB1"/>
    <w:rsid w:val="00D76C72"/>
    <w:rsid w:val="00D80157"/>
    <w:rsid w:val="00D80583"/>
    <w:rsid w:val="00D805F5"/>
    <w:rsid w:val="00D811F4"/>
    <w:rsid w:val="00D8191F"/>
    <w:rsid w:val="00D81D5E"/>
    <w:rsid w:val="00D838CA"/>
    <w:rsid w:val="00D83CD4"/>
    <w:rsid w:val="00D85E72"/>
    <w:rsid w:val="00D85F66"/>
    <w:rsid w:val="00D861D0"/>
    <w:rsid w:val="00D86999"/>
    <w:rsid w:val="00D8742C"/>
    <w:rsid w:val="00D91230"/>
    <w:rsid w:val="00D92A62"/>
    <w:rsid w:val="00D93EDE"/>
    <w:rsid w:val="00D946DC"/>
    <w:rsid w:val="00D95A03"/>
    <w:rsid w:val="00D966F1"/>
    <w:rsid w:val="00D96A2B"/>
    <w:rsid w:val="00D96B90"/>
    <w:rsid w:val="00DA15D7"/>
    <w:rsid w:val="00DA1F52"/>
    <w:rsid w:val="00DA234A"/>
    <w:rsid w:val="00DA2829"/>
    <w:rsid w:val="00DA316D"/>
    <w:rsid w:val="00DA47F3"/>
    <w:rsid w:val="00DA57B7"/>
    <w:rsid w:val="00DA663B"/>
    <w:rsid w:val="00DB23A4"/>
    <w:rsid w:val="00DB310C"/>
    <w:rsid w:val="00DB36BB"/>
    <w:rsid w:val="00DB381E"/>
    <w:rsid w:val="00DB481F"/>
    <w:rsid w:val="00DB4F05"/>
    <w:rsid w:val="00DB54DE"/>
    <w:rsid w:val="00DB5B04"/>
    <w:rsid w:val="00DB6474"/>
    <w:rsid w:val="00DB68EE"/>
    <w:rsid w:val="00DB73F9"/>
    <w:rsid w:val="00DC1702"/>
    <w:rsid w:val="00DC2482"/>
    <w:rsid w:val="00DC33A5"/>
    <w:rsid w:val="00DC3AE0"/>
    <w:rsid w:val="00DC6493"/>
    <w:rsid w:val="00DC6A31"/>
    <w:rsid w:val="00DC6C38"/>
    <w:rsid w:val="00DC7053"/>
    <w:rsid w:val="00DD25B3"/>
    <w:rsid w:val="00DD3AC7"/>
    <w:rsid w:val="00DD487A"/>
    <w:rsid w:val="00DD5086"/>
    <w:rsid w:val="00DD630E"/>
    <w:rsid w:val="00DE27A9"/>
    <w:rsid w:val="00DE284A"/>
    <w:rsid w:val="00DE2EA4"/>
    <w:rsid w:val="00DE3575"/>
    <w:rsid w:val="00DE3834"/>
    <w:rsid w:val="00DE3EC5"/>
    <w:rsid w:val="00DE4D8D"/>
    <w:rsid w:val="00DE5663"/>
    <w:rsid w:val="00DE68BD"/>
    <w:rsid w:val="00DE6D4A"/>
    <w:rsid w:val="00DE72DC"/>
    <w:rsid w:val="00DF07FB"/>
    <w:rsid w:val="00DF0A8F"/>
    <w:rsid w:val="00DF1589"/>
    <w:rsid w:val="00DF2839"/>
    <w:rsid w:val="00DF2DBC"/>
    <w:rsid w:val="00DF3D67"/>
    <w:rsid w:val="00DF3F97"/>
    <w:rsid w:val="00DF47F0"/>
    <w:rsid w:val="00DF57E7"/>
    <w:rsid w:val="00E00ECF"/>
    <w:rsid w:val="00E02613"/>
    <w:rsid w:val="00E026E0"/>
    <w:rsid w:val="00E0316B"/>
    <w:rsid w:val="00E03AE0"/>
    <w:rsid w:val="00E03EAC"/>
    <w:rsid w:val="00E043DE"/>
    <w:rsid w:val="00E050E9"/>
    <w:rsid w:val="00E0558E"/>
    <w:rsid w:val="00E0656C"/>
    <w:rsid w:val="00E072B0"/>
    <w:rsid w:val="00E07515"/>
    <w:rsid w:val="00E11178"/>
    <w:rsid w:val="00E137BD"/>
    <w:rsid w:val="00E16944"/>
    <w:rsid w:val="00E16BB1"/>
    <w:rsid w:val="00E17863"/>
    <w:rsid w:val="00E17AC2"/>
    <w:rsid w:val="00E17EC8"/>
    <w:rsid w:val="00E20630"/>
    <w:rsid w:val="00E209A1"/>
    <w:rsid w:val="00E214EE"/>
    <w:rsid w:val="00E23D8E"/>
    <w:rsid w:val="00E251F1"/>
    <w:rsid w:val="00E27277"/>
    <w:rsid w:val="00E30669"/>
    <w:rsid w:val="00E30A4D"/>
    <w:rsid w:val="00E3180E"/>
    <w:rsid w:val="00E31C70"/>
    <w:rsid w:val="00E3596F"/>
    <w:rsid w:val="00E359D4"/>
    <w:rsid w:val="00E3686A"/>
    <w:rsid w:val="00E37546"/>
    <w:rsid w:val="00E37FB2"/>
    <w:rsid w:val="00E406E2"/>
    <w:rsid w:val="00E40BED"/>
    <w:rsid w:val="00E417C9"/>
    <w:rsid w:val="00E4210C"/>
    <w:rsid w:val="00E42783"/>
    <w:rsid w:val="00E42B63"/>
    <w:rsid w:val="00E42F76"/>
    <w:rsid w:val="00E438FD"/>
    <w:rsid w:val="00E43C5E"/>
    <w:rsid w:val="00E43EA9"/>
    <w:rsid w:val="00E4452D"/>
    <w:rsid w:val="00E44CDE"/>
    <w:rsid w:val="00E4562A"/>
    <w:rsid w:val="00E46613"/>
    <w:rsid w:val="00E47188"/>
    <w:rsid w:val="00E47AC0"/>
    <w:rsid w:val="00E5003F"/>
    <w:rsid w:val="00E51464"/>
    <w:rsid w:val="00E52588"/>
    <w:rsid w:val="00E5515C"/>
    <w:rsid w:val="00E56354"/>
    <w:rsid w:val="00E56416"/>
    <w:rsid w:val="00E56F4C"/>
    <w:rsid w:val="00E57CD0"/>
    <w:rsid w:val="00E57FF9"/>
    <w:rsid w:val="00E60A6F"/>
    <w:rsid w:val="00E61D54"/>
    <w:rsid w:val="00E629CA"/>
    <w:rsid w:val="00E62BFA"/>
    <w:rsid w:val="00E6343D"/>
    <w:rsid w:val="00E63EA5"/>
    <w:rsid w:val="00E64BE8"/>
    <w:rsid w:val="00E6581E"/>
    <w:rsid w:val="00E66D65"/>
    <w:rsid w:val="00E7043D"/>
    <w:rsid w:val="00E7093A"/>
    <w:rsid w:val="00E70F4D"/>
    <w:rsid w:val="00E7148D"/>
    <w:rsid w:val="00E71B7C"/>
    <w:rsid w:val="00E71C99"/>
    <w:rsid w:val="00E71E4B"/>
    <w:rsid w:val="00E7335D"/>
    <w:rsid w:val="00E73371"/>
    <w:rsid w:val="00E733EE"/>
    <w:rsid w:val="00E73679"/>
    <w:rsid w:val="00E73995"/>
    <w:rsid w:val="00E74D37"/>
    <w:rsid w:val="00E80BDD"/>
    <w:rsid w:val="00E813EB"/>
    <w:rsid w:val="00E828D8"/>
    <w:rsid w:val="00E82F6A"/>
    <w:rsid w:val="00E8487C"/>
    <w:rsid w:val="00E85892"/>
    <w:rsid w:val="00E86828"/>
    <w:rsid w:val="00E87467"/>
    <w:rsid w:val="00E90468"/>
    <w:rsid w:val="00E90663"/>
    <w:rsid w:val="00E917BC"/>
    <w:rsid w:val="00E930FD"/>
    <w:rsid w:val="00E93A4B"/>
    <w:rsid w:val="00E94061"/>
    <w:rsid w:val="00E94D5B"/>
    <w:rsid w:val="00E9585B"/>
    <w:rsid w:val="00E9628E"/>
    <w:rsid w:val="00E9654E"/>
    <w:rsid w:val="00E972B4"/>
    <w:rsid w:val="00EA0E69"/>
    <w:rsid w:val="00EA212C"/>
    <w:rsid w:val="00EA2841"/>
    <w:rsid w:val="00EA38DC"/>
    <w:rsid w:val="00EA4005"/>
    <w:rsid w:val="00EA4879"/>
    <w:rsid w:val="00EA5804"/>
    <w:rsid w:val="00EA65CF"/>
    <w:rsid w:val="00EA69D1"/>
    <w:rsid w:val="00EA7461"/>
    <w:rsid w:val="00EB0D4E"/>
    <w:rsid w:val="00EB1B9D"/>
    <w:rsid w:val="00EB2A1F"/>
    <w:rsid w:val="00EB48A5"/>
    <w:rsid w:val="00EB4C27"/>
    <w:rsid w:val="00EB5D07"/>
    <w:rsid w:val="00EB6552"/>
    <w:rsid w:val="00EB7213"/>
    <w:rsid w:val="00EB75CB"/>
    <w:rsid w:val="00EB791B"/>
    <w:rsid w:val="00EC1398"/>
    <w:rsid w:val="00EC306D"/>
    <w:rsid w:val="00EC4248"/>
    <w:rsid w:val="00EC4F9B"/>
    <w:rsid w:val="00EC5086"/>
    <w:rsid w:val="00EC5955"/>
    <w:rsid w:val="00EC5D71"/>
    <w:rsid w:val="00EC609E"/>
    <w:rsid w:val="00EC6132"/>
    <w:rsid w:val="00EC647B"/>
    <w:rsid w:val="00EC6C5D"/>
    <w:rsid w:val="00EC6E06"/>
    <w:rsid w:val="00EC6EAA"/>
    <w:rsid w:val="00ED09E2"/>
    <w:rsid w:val="00ED0A9F"/>
    <w:rsid w:val="00ED289B"/>
    <w:rsid w:val="00ED2B4E"/>
    <w:rsid w:val="00ED3D19"/>
    <w:rsid w:val="00ED422B"/>
    <w:rsid w:val="00ED4721"/>
    <w:rsid w:val="00ED5883"/>
    <w:rsid w:val="00ED6250"/>
    <w:rsid w:val="00ED64D2"/>
    <w:rsid w:val="00ED6608"/>
    <w:rsid w:val="00ED6EFB"/>
    <w:rsid w:val="00EE10D0"/>
    <w:rsid w:val="00EE1721"/>
    <w:rsid w:val="00EE38D2"/>
    <w:rsid w:val="00EE757E"/>
    <w:rsid w:val="00EF2E5E"/>
    <w:rsid w:val="00EF32A5"/>
    <w:rsid w:val="00EF4507"/>
    <w:rsid w:val="00EF504F"/>
    <w:rsid w:val="00EF6484"/>
    <w:rsid w:val="00EF786E"/>
    <w:rsid w:val="00F00337"/>
    <w:rsid w:val="00F00DE1"/>
    <w:rsid w:val="00F02BA2"/>
    <w:rsid w:val="00F048DE"/>
    <w:rsid w:val="00F06D8B"/>
    <w:rsid w:val="00F07CF4"/>
    <w:rsid w:val="00F113AA"/>
    <w:rsid w:val="00F11858"/>
    <w:rsid w:val="00F1220A"/>
    <w:rsid w:val="00F128AE"/>
    <w:rsid w:val="00F128C3"/>
    <w:rsid w:val="00F132E8"/>
    <w:rsid w:val="00F15812"/>
    <w:rsid w:val="00F16D1F"/>
    <w:rsid w:val="00F17414"/>
    <w:rsid w:val="00F17E66"/>
    <w:rsid w:val="00F20A96"/>
    <w:rsid w:val="00F21BC1"/>
    <w:rsid w:val="00F22CFC"/>
    <w:rsid w:val="00F23D2C"/>
    <w:rsid w:val="00F23F70"/>
    <w:rsid w:val="00F248EE"/>
    <w:rsid w:val="00F25ACE"/>
    <w:rsid w:val="00F25BF8"/>
    <w:rsid w:val="00F2625B"/>
    <w:rsid w:val="00F26378"/>
    <w:rsid w:val="00F2700C"/>
    <w:rsid w:val="00F277F1"/>
    <w:rsid w:val="00F27A45"/>
    <w:rsid w:val="00F27ED6"/>
    <w:rsid w:val="00F27F60"/>
    <w:rsid w:val="00F31381"/>
    <w:rsid w:val="00F31790"/>
    <w:rsid w:val="00F33D0D"/>
    <w:rsid w:val="00F33F3E"/>
    <w:rsid w:val="00F35CA2"/>
    <w:rsid w:val="00F36234"/>
    <w:rsid w:val="00F36CF3"/>
    <w:rsid w:val="00F371A6"/>
    <w:rsid w:val="00F406D9"/>
    <w:rsid w:val="00F41D90"/>
    <w:rsid w:val="00F42CA8"/>
    <w:rsid w:val="00F44B3E"/>
    <w:rsid w:val="00F44DD2"/>
    <w:rsid w:val="00F45343"/>
    <w:rsid w:val="00F46F13"/>
    <w:rsid w:val="00F474E5"/>
    <w:rsid w:val="00F47D25"/>
    <w:rsid w:val="00F5297C"/>
    <w:rsid w:val="00F54082"/>
    <w:rsid w:val="00F54514"/>
    <w:rsid w:val="00F5467E"/>
    <w:rsid w:val="00F546D5"/>
    <w:rsid w:val="00F54A03"/>
    <w:rsid w:val="00F55187"/>
    <w:rsid w:val="00F557E7"/>
    <w:rsid w:val="00F565AE"/>
    <w:rsid w:val="00F5669C"/>
    <w:rsid w:val="00F5671D"/>
    <w:rsid w:val="00F57408"/>
    <w:rsid w:val="00F575F9"/>
    <w:rsid w:val="00F60764"/>
    <w:rsid w:val="00F6188E"/>
    <w:rsid w:val="00F62A4B"/>
    <w:rsid w:val="00F62C71"/>
    <w:rsid w:val="00F660B3"/>
    <w:rsid w:val="00F661C1"/>
    <w:rsid w:val="00F663BB"/>
    <w:rsid w:val="00F7011E"/>
    <w:rsid w:val="00F7237E"/>
    <w:rsid w:val="00F7336A"/>
    <w:rsid w:val="00F74538"/>
    <w:rsid w:val="00F74578"/>
    <w:rsid w:val="00F74978"/>
    <w:rsid w:val="00F74AD1"/>
    <w:rsid w:val="00F76656"/>
    <w:rsid w:val="00F808CB"/>
    <w:rsid w:val="00F81573"/>
    <w:rsid w:val="00F82AC9"/>
    <w:rsid w:val="00F82AE6"/>
    <w:rsid w:val="00F82AEF"/>
    <w:rsid w:val="00F82DC1"/>
    <w:rsid w:val="00F82FBD"/>
    <w:rsid w:val="00F84955"/>
    <w:rsid w:val="00F85872"/>
    <w:rsid w:val="00F85B6E"/>
    <w:rsid w:val="00F872B6"/>
    <w:rsid w:val="00F87816"/>
    <w:rsid w:val="00F87E46"/>
    <w:rsid w:val="00F87F8D"/>
    <w:rsid w:val="00F9173F"/>
    <w:rsid w:val="00F92E97"/>
    <w:rsid w:val="00F97B07"/>
    <w:rsid w:val="00FA0D29"/>
    <w:rsid w:val="00FA0E93"/>
    <w:rsid w:val="00FA18EE"/>
    <w:rsid w:val="00FA3C7A"/>
    <w:rsid w:val="00FA4654"/>
    <w:rsid w:val="00FA4A1E"/>
    <w:rsid w:val="00FA69BC"/>
    <w:rsid w:val="00FA6BAA"/>
    <w:rsid w:val="00FB00AD"/>
    <w:rsid w:val="00FB0995"/>
    <w:rsid w:val="00FB1C2D"/>
    <w:rsid w:val="00FB77C9"/>
    <w:rsid w:val="00FC0807"/>
    <w:rsid w:val="00FC16A7"/>
    <w:rsid w:val="00FC17D7"/>
    <w:rsid w:val="00FC1838"/>
    <w:rsid w:val="00FC19EF"/>
    <w:rsid w:val="00FC1E12"/>
    <w:rsid w:val="00FC2BA4"/>
    <w:rsid w:val="00FC328E"/>
    <w:rsid w:val="00FC44BD"/>
    <w:rsid w:val="00FC47F1"/>
    <w:rsid w:val="00FC540D"/>
    <w:rsid w:val="00FC62E5"/>
    <w:rsid w:val="00FC66A9"/>
    <w:rsid w:val="00FC7A15"/>
    <w:rsid w:val="00FD0D96"/>
    <w:rsid w:val="00FD0F8B"/>
    <w:rsid w:val="00FD3EFF"/>
    <w:rsid w:val="00FD4E34"/>
    <w:rsid w:val="00FD5598"/>
    <w:rsid w:val="00FD5FA9"/>
    <w:rsid w:val="00FE193D"/>
    <w:rsid w:val="00FE2E2A"/>
    <w:rsid w:val="00FE2E9C"/>
    <w:rsid w:val="00FE30F8"/>
    <w:rsid w:val="00FE3321"/>
    <w:rsid w:val="00FE37AD"/>
    <w:rsid w:val="00FE4336"/>
    <w:rsid w:val="00FE4FBD"/>
    <w:rsid w:val="00FE52A4"/>
    <w:rsid w:val="00FE6D2B"/>
    <w:rsid w:val="00FF01C6"/>
    <w:rsid w:val="00FF037A"/>
    <w:rsid w:val="00FF06B1"/>
    <w:rsid w:val="00FF485E"/>
    <w:rsid w:val="00FF523C"/>
    <w:rsid w:val="00FF5479"/>
    <w:rsid w:val="00FF57BD"/>
    <w:rsid w:val="00FF5FF3"/>
    <w:rsid w:val="00FF6B9E"/>
    <w:rsid w:val="00FF7763"/>
    <w:rsid w:val="00FF788F"/>
    <w:rsid w:val="01115B19"/>
    <w:rsid w:val="016C6919"/>
    <w:rsid w:val="018067FB"/>
    <w:rsid w:val="01A050EF"/>
    <w:rsid w:val="01FF601C"/>
    <w:rsid w:val="0217479B"/>
    <w:rsid w:val="02502772"/>
    <w:rsid w:val="02E36F4F"/>
    <w:rsid w:val="032417C7"/>
    <w:rsid w:val="034329EE"/>
    <w:rsid w:val="03441443"/>
    <w:rsid w:val="03B617B4"/>
    <w:rsid w:val="04674384"/>
    <w:rsid w:val="04CB3FF4"/>
    <w:rsid w:val="04D70E27"/>
    <w:rsid w:val="057652E2"/>
    <w:rsid w:val="05B5132A"/>
    <w:rsid w:val="05E12601"/>
    <w:rsid w:val="05FE4192"/>
    <w:rsid w:val="063A1DEA"/>
    <w:rsid w:val="06497B03"/>
    <w:rsid w:val="064F2292"/>
    <w:rsid w:val="068B2C9A"/>
    <w:rsid w:val="06A73E04"/>
    <w:rsid w:val="06B72BC2"/>
    <w:rsid w:val="06C55D03"/>
    <w:rsid w:val="073CC82D"/>
    <w:rsid w:val="077C5CB6"/>
    <w:rsid w:val="07BA5F69"/>
    <w:rsid w:val="07BB058C"/>
    <w:rsid w:val="07BB4523"/>
    <w:rsid w:val="0864322B"/>
    <w:rsid w:val="087C25AC"/>
    <w:rsid w:val="090C06B5"/>
    <w:rsid w:val="090C4CAA"/>
    <w:rsid w:val="092C7DE0"/>
    <w:rsid w:val="096B0C42"/>
    <w:rsid w:val="09810470"/>
    <w:rsid w:val="098266C3"/>
    <w:rsid w:val="098B642E"/>
    <w:rsid w:val="0A66737F"/>
    <w:rsid w:val="0A6C2293"/>
    <w:rsid w:val="0A7D3709"/>
    <w:rsid w:val="0ABC1428"/>
    <w:rsid w:val="0ADD50DC"/>
    <w:rsid w:val="0AEB4A62"/>
    <w:rsid w:val="0AF77250"/>
    <w:rsid w:val="0AFC1857"/>
    <w:rsid w:val="0BE14637"/>
    <w:rsid w:val="0BEE5A5F"/>
    <w:rsid w:val="0BF95B27"/>
    <w:rsid w:val="0C1114AF"/>
    <w:rsid w:val="0CF71547"/>
    <w:rsid w:val="0D2D6F47"/>
    <w:rsid w:val="0D7F70E2"/>
    <w:rsid w:val="0D817368"/>
    <w:rsid w:val="0D916B8F"/>
    <w:rsid w:val="0DE06E30"/>
    <w:rsid w:val="0DEB1893"/>
    <w:rsid w:val="0E75E698"/>
    <w:rsid w:val="0EF16F8A"/>
    <w:rsid w:val="0F033B2E"/>
    <w:rsid w:val="0F474DFC"/>
    <w:rsid w:val="0FBE1798"/>
    <w:rsid w:val="0FC23011"/>
    <w:rsid w:val="0FD727F8"/>
    <w:rsid w:val="0FDE2763"/>
    <w:rsid w:val="0FF5FA17"/>
    <w:rsid w:val="10152804"/>
    <w:rsid w:val="103F6381"/>
    <w:rsid w:val="107C2883"/>
    <w:rsid w:val="10806817"/>
    <w:rsid w:val="10CD0316"/>
    <w:rsid w:val="10F1284B"/>
    <w:rsid w:val="10F1736F"/>
    <w:rsid w:val="10F92A92"/>
    <w:rsid w:val="116D1B24"/>
    <w:rsid w:val="11947007"/>
    <w:rsid w:val="11B04EDA"/>
    <w:rsid w:val="11E903EC"/>
    <w:rsid w:val="11FF1E52"/>
    <w:rsid w:val="12786FA5"/>
    <w:rsid w:val="1284147D"/>
    <w:rsid w:val="130260EF"/>
    <w:rsid w:val="131738F0"/>
    <w:rsid w:val="133B4C77"/>
    <w:rsid w:val="143D057B"/>
    <w:rsid w:val="14434D87"/>
    <w:rsid w:val="147E192C"/>
    <w:rsid w:val="14CD18FF"/>
    <w:rsid w:val="153408ED"/>
    <w:rsid w:val="154B2900"/>
    <w:rsid w:val="156C736A"/>
    <w:rsid w:val="157C1114"/>
    <w:rsid w:val="15D677F8"/>
    <w:rsid w:val="15F86758"/>
    <w:rsid w:val="16450234"/>
    <w:rsid w:val="17205E6A"/>
    <w:rsid w:val="174D6FD8"/>
    <w:rsid w:val="175C3D28"/>
    <w:rsid w:val="17667DE9"/>
    <w:rsid w:val="176C20FB"/>
    <w:rsid w:val="178766DD"/>
    <w:rsid w:val="186C02C4"/>
    <w:rsid w:val="18DA7616"/>
    <w:rsid w:val="18F57502"/>
    <w:rsid w:val="199F3D01"/>
    <w:rsid w:val="19B8329D"/>
    <w:rsid w:val="19C71013"/>
    <w:rsid w:val="19CC487B"/>
    <w:rsid w:val="19ED6B76"/>
    <w:rsid w:val="1A1656BB"/>
    <w:rsid w:val="1A1678A4"/>
    <w:rsid w:val="1A277D03"/>
    <w:rsid w:val="1A3C79A3"/>
    <w:rsid w:val="1A671927"/>
    <w:rsid w:val="1A6E5932"/>
    <w:rsid w:val="1A702C72"/>
    <w:rsid w:val="1AE6292A"/>
    <w:rsid w:val="1B1040A5"/>
    <w:rsid w:val="1B83725A"/>
    <w:rsid w:val="1B9F3A99"/>
    <w:rsid w:val="1BA5460E"/>
    <w:rsid w:val="1BB90E2F"/>
    <w:rsid w:val="1BDF12CC"/>
    <w:rsid w:val="1BE063BC"/>
    <w:rsid w:val="1BEE1123"/>
    <w:rsid w:val="1BFA1DAB"/>
    <w:rsid w:val="1C1FD7D2"/>
    <w:rsid w:val="1C396E4F"/>
    <w:rsid w:val="1C61295C"/>
    <w:rsid w:val="1C895236"/>
    <w:rsid w:val="1C9224A7"/>
    <w:rsid w:val="1CA70C88"/>
    <w:rsid w:val="1CA96281"/>
    <w:rsid w:val="1CC11650"/>
    <w:rsid w:val="1CCC4B92"/>
    <w:rsid w:val="1DB2AF1B"/>
    <w:rsid w:val="1DF58B67"/>
    <w:rsid w:val="1DFB128B"/>
    <w:rsid w:val="1E0514B0"/>
    <w:rsid w:val="1E36B099"/>
    <w:rsid w:val="1E4D70BB"/>
    <w:rsid w:val="1E6A550C"/>
    <w:rsid w:val="1E8F37AA"/>
    <w:rsid w:val="1EBD266B"/>
    <w:rsid w:val="1F0851D5"/>
    <w:rsid w:val="1F114ADE"/>
    <w:rsid w:val="1F134F67"/>
    <w:rsid w:val="1F8E5BED"/>
    <w:rsid w:val="1F8F25D3"/>
    <w:rsid w:val="1FA773F2"/>
    <w:rsid w:val="1FAD2A59"/>
    <w:rsid w:val="1FE75463"/>
    <w:rsid w:val="1FF57859"/>
    <w:rsid w:val="1FF88031"/>
    <w:rsid w:val="1FFC2D3F"/>
    <w:rsid w:val="20072287"/>
    <w:rsid w:val="203171E6"/>
    <w:rsid w:val="2079314A"/>
    <w:rsid w:val="217232B7"/>
    <w:rsid w:val="219D1BBA"/>
    <w:rsid w:val="223011AD"/>
    <w:rsid w:val="22484CBB"/>
    <w:rsid w:val="229666E3"/>
    <w:rsid w:val="22A05692"/>
    <w:rsid w:val="22BD1205"/>
    <w:rsid w:val="22F903B2"/>
    <w:rsid w:val="232C53C7"/>
    <w:rsid w:val="23477C14"/>
    <w:rsid w:val="23EC59EF"/>
    <w:rsid w:val="24080C27"/>
    <w:rsid w:val="24566C69"/>
    <w:rsid w:val="245A2B9B"/>
    <w:rsid w:val="247A7FE2"/>
    <w:rsid w:val="24ED1E5E"/>
    <w:rsid w:val="252E1F46"/>
    <w:rsid w:val="25382DC5"/>
    <w:rsid w:val="25615684"/>
    <w:rsid w:val="2572277A"/>
    <w:rsid w:val="257D4446"/>
    <w:rsid w:val="25B819DC"/>
    <w:rsid w:val="25FC0296"/>
    <w:rsid w:val="25FFB3FB"/>
    <w:rsid w:val="26121533"/>
    <w:rsid w:val="26243349"/>
    <w:rsid w:val="26832765"/>
    <w:rsid w:val="268B3FB5"/>
    <w:rsid w:val="26B20B53"/>
    <w:rsid w:val="26C54244"/>
    <w:rsid w:val="272A3CC6"/>
    <w:rsid w:val="272E4104"/>
    <w:rsid w:val="2751016E"/>
    <w:rsid w:val="27620233"/>
    <w:rsid w:val="276F6846"/>
    <w:rsid w:val="27736130"/>
    <w:rsid w:val="27736336"/>
    <w:rsid w:val="27AA7441"/>
    <w:rsid w:val="27AD71A7"/>
    <w:rsid w:val="27FD0E9E"/>
    <w:rsid w:val="27FFC2D8"/>
    <w:rsid w:val="2818512F"/>
    <w:rsid w:val="28643244"/>
    <w:rsid w:val="287D4C29"/>
    <w:rsid w:val="289C4E5B"/>
    <w:rsid w:val="28B9369F"/>
    <w:rsid w:val="290B05EB"/>
    <w:rsid w:val="296108BD"/>
    <w:rsid w:val="296B59F1"/>
    <w:rsid w:val="297E01B4"/>
    <w:rsid w:val="29A23313"/>
    <w:rsid w:val="2A2C0A1E"/>
    <w:rsid w:val="2A360C31"/>
    <w:rsid w:val="2AC1754D"/>
    <w:rsid w:val="2B0525C7"/>
    <w:rsid w:val="2B057FA1"/>
    <w:rsid w:val="2B2A4B93"/>
    <w:rsid w:val="2B3209DB"/>
    <w:rsid w:val="2B595E9B"/>
    <w:rsid w:val="2B84569C"/>
    <w:rsid w:val="2BB313F7"/>
    <w:rsid w:val="2BD52070"/>
    <w:rsid w:val="2BDFAB7B"/>
    <w:rsid w:val="2BE26A31"/>
    <w:rsid w:val="2BEB76B7"/>
    <w:rsid w:val="2BEBE506"/>
    <w:rsid w:val="2C9F8228"/>
    <w:rsid w:val="2CA92295"/>
    <w:rsid w:val="2CAF60BD"/>
    <w:rsid w:val="2CD05FD9"/>
    <w:rsid w:val="2D461C15"/>
    <w:rsid w:val="2D62795A"/>
    <w:rsid w:val="2D8A13BF"/>
    <w:rsid w:val="2DFB1A93"/>
    <w:rsid w:val="2E2B2D7C"/>
    <w:rsid w:val="2E441D8B"/>
    <w:rsid w:val="2E55315D"/>
    <w:rsid w:val="2E5F18DA"/>
    <w:rsid w:val="2E6E7755"/>
    <w:rsid w:val="2E770F6F"/>
    <w:rsid w:val="2E8974F1"/>
    <w:rsid w:val="2EBE05E8"/>
    <w:rsid w:val="2ECF13B3"/>
    <w:rsid w:val="2EFF3B7B"/>
    <w:rsid w:val="2F200DA5"/>
    <w:rsid w:val="2F2A7C22"/>
    <w:rsid w:val="2F634EE2"/>
    <w:rsid w:val="2F7B88A9"/>
    <w:rsid w:val="2F96B61D"/>
    <w:rsid w:val="2F9F1A5A"/>
    <w:rsid w:val="2FADAEF8"/>
    <w:rsid w:val="2FC92A3D"/>
    <w:rsid w:val="2FF5A8A9"/>
    <w:rsid w:val="2FFDB284"/>
    <w:rsid w:val="2FFFA4B8"/>
    <w:rsid w:val="3013202C"/>
    <w:rsid w:val="30345C4A"/>
    <w:rsid w:val="303560CE"/>
    <w:rsid w:val="304F28E6"/>
    <w:rsid w:val="309C68FD"/>
    <w:rsid w:val="312811EE"/>
    <w:rsid w:val="315956EF"/>
    <w:rsid w:val="315E40A5"/>
    <w:rsid w:val="315E7B4F"/>
    <w:rsid w:val="3197764B"/>
    <w:rsid w:val="31F44517"/>
    <w:rsid w:val="32062FB6"/>
    <w:rsid w:val="324B630A"/>
    <w:rsid w:val="326B5763"/>
    <w:rsid w:val="329B4993"/>
    <w:rsid w:val="32A73338"/>
    <w:rsid w:val="32E847CF"/>
    <w:rsid w:val="32F90B78"/>
    <w:rsid w:val="33541711"/>
    <w:rsid w:val="3376288D"/>
    <w:rsid w:val="338011DC"/>
    <w:rsid w:val="33C3F68B"/>
    <w:rsid w:val="33D22636"/>
    <w:rsid w:val="340F7C20"/>
    <w:rsid w:val="342B1276"/>
    <w:rsid w:val="34667622"/>
    <w:rsid w:val="34E161DA"/>
    <w:rsid w:val="34F52C72"/>
    <w:rsid w:val="34FA773C"/>
    <w:rsid w:val="352D620C"/>
    <w:rsid w:val="35523A2F"/>
    <w:rsid w:val="35734707"/>
    <w:rsid w:val="35867B7C"/>
    <w:rsid w:val="358854A2"/>
    <w:rsid w:val="35964E27"/>
    <w:rsid w:val="35E46651"/>
    <w:rsid w:val="35F11EFC"/>
    <w:rsid w:val="362C0724"/>
    <w:rsid w:val="366E7B9F"/>
    <w:rsid w:val="368C4D1E"/>
    <w:rsid w:val="36F5269D"/>
    <w:rsid w:val="36F60561"/>
    <w:rsid w:val="3710078B"/>
    <w:rsid w:val="37202979"/>
    <w:rsid w:val="376F9DDD"/>
    <w:rsid w:val="37A84D31"/>
    <w:rsid w:val="37BB7B1E"/>
    <w:rsid w:val="37FBCEE1"/>
    <w:rsid w:val="37FD87E2"/>
    <w:rsid w:val="383B394E"/>
    <w:rsid w:val="396467EB"/>
    <w:rsid w:val="396F5EA7"/>
    <w:rsid w:val="398432D2"/>
    <w:rsid w:val="39A9208B"/>
    <w:rsid w:val="39C80763"/>
    <w:rsid w:val="39FB7E71"/>
    <w:rsid w:val="39FF3923"/>
    <w:rsid w:val="3A0E1117"/>
    <w:rsid w:val="3A407CEF"/>
    <w:rsid w:val="3A503430"/>
    <w:rsid w:val="3A670A04"/>
    <w:rsid w:val="3A9D0CC4"/>
    <w:rsid w:val="3ACA050B"/>
    <w:rsid w:val="3B097130"/>
    <w:rsid w:val="3B1A02C6"/>
    <w:rsid w:val="3B3B6306"/>
    <w:rsid w:val="3B7FDB14"/>
    <w:rsid w:val="3B820DE6"/>
    <w:rsid w:val="3B8D4E96"/>
    <w:rsid w:val="3BDC4BD6"/>
    <w:rsid w:val="3BFB6798"/>
    <w:rsid w:val="3BFD754D"/>
    <w:rsid w:val="3BFFA854"/>
    <w:rsid w:val="3C0C16CC"/>
    <w:rsid w:val="3C2B1D68"/>
    <w:rsid w:val="3C4C2336"/>
    <w:rsid w:val="3C8B3C13"/>
    <w:rsid w:val="3C8B43EF"/>
    <w:rsid w:val="3C8D359E"/>
    <w:rsid w:val="3C915AD4"/>
    <w:rsid w:val="3CD05127"/>
    <w:rsid w:val="3D2706B4"/>
    <w:rsid w:val="3D633747"/>
    <w:rsid w:val="3DAF1561"/>
    <w:rsid w:val="3DC1535D"/>
    <w:rsid w:val="3DEF6C9A"/>
    <w:rsid w:val="3DFE04A6"/>
    <w:rsid w:val="3DFE5B39"/>
    <w:rsid w:val="3DFF5E70"/>
    <w:rsid w:val="3E1343C8"/>
    <w:rsid w:val="3E252F9F"/>
    <w:rsid w:val="3E446716"/>
    <w:rsid w:val="3E600AEB"/>
    <w:rsid w:val="3E7CEFE7"/>
    <w:rsid w:val="3E9834A5"/>
    <w:rsid w:val="3EAF1A95"/>
    <w:rsid w:val="3ED405A9"/>
    <w:rsid w:val="3EE55EF5"/>
    <w:rsid w:val="3EF21DDE"/>
    <w:rsid w:val="3EFFEBF8"/>
    <w:rsid w:val="3F3F0906"/>
    <w:rsid w:val="3F5E9E7D"/>
    <w:rsid w:val="3F760D0F"/>
    <w:rsid w:val="3F7B198C"/>
    <w:rsid w:val="3F861DFA"/>
    <w:rsid w:val="3FAFD33C"/>
    <w:rsid w:val="3FB326D7"/>
    <w:rsid w:val="3FBB0715"/>
    <w:rsid w:val="3FE60182"/>
    <w:rsid w:val="3FEF485A"/>
    <w:rsid w:val="3FFB29B9"/>
    <w:rsid w:val="3FFBFEAD"/>
    <w:rsid w:val="3FFF0085"/>
    <w:rsid w:val="40415628"/>
    <w:rsid w:val="41143E06"/>
    <w:rsid w:val="417F6408"/>
    <w:rsid w:val="4216046B"/>
    <w:rsid w:val="42261875"/>
    <w:rsid w:val="429F42BC"/>
    <w:rsid w:val="42B5251C"/>
    <w:rsid w:val="42BE2352"/>
    <w:rsid w:val="42BE6BA7"/>
    <w:rsid w:val="4302115C"/>
    <w:rsid w:val="4357009D"/>
    <w:rsid w:val="4373168E"/>
    <w:rsid w:val="43811983"/>
    <w:rsid w:val="43C42AAD"/>
    <w:rsid w:val="43CC135D"/>
    <w:rsid w:val="43E56938"/>
    <w:rsid w:val="44332C7D"/>
    <w:rsid w:val="44352DA0"/>
    <w:rsid w:val="44A43B7B"/>
    <w:rsid w:val="457DE962"/>
    <w:rsid w:val="45850A42"/>
    <w:rsid w:val="45D25F7B"/>
    <w:rsid w:val="45DC29CE"/>
    <w:rsid w:val="45F147B5"/>
    <w:rsid w:val="45FC5604"/>
    <w:rsid w:val="45FDB666"/>
    <w:rsid w:val="45FE150A"/>
    <w:rsid w:val="46053331"/>
    <w:rsid w:val="46582FC7"/>
    <w:rsid w:val="465F5141"/>
    <w:rsid w:val="4677113D"/>
    <w:rsid w:val="46CE36BF"/>
    <w:rsid w:val="46CF01E2"/>
    <w:rsid w:val="46FBF24F"/>
    <w:rsid w:val="472B1BDE"/>
    <w:rsid w:val="47FF4E01"/>
    <w:rsid w:val="480C2163"/>
    <w:rsid w:val="481427FD"/>
    <w:rsid w:val="486024AF"/>
    <w:rsid w:val="48A44149"/>
    <w:rsid w:val="48AF37A3"/>
    <w:rsid w:val="48B17B2E"/>
    <w:rsid w:val="48B56357"/>
    <w:rsid w:val="48E05049"/>
    <w:rsid w:val="491509EC"/>
    <w:rsid w:val="491A08B0"/>
    <w:rsid w:val="493223ED"/>
    <w:rsid w:val="494D2A33"/>
    <w:rsid w:val="496760B3"/>
    <w:rsid w:val="49FC7F76"/>
    <w:rsid w:val="4A193516"/>
    <w:rsid w:val="4A406854"/>
    <w:rsid w:val="4ACB26D5"/>
    <w:rsid w:val="4ADA14C5"/>
    <w:rsid w:val="4B0D0C6D"/>
    <w:rsid w:val="4B3E472F"/>
    <w:rsid w:val="4B5463D9"/>
    <w:rsid w:val="4BCA20B1"/>
    <w:rsid w:val="4BDF9AE0"/>
    <w:rsid w:val="4C75172D"/>
    <w:rsid w:val="4C80048E"/>
    <w:rsid w:val="4C923316"/>
    <w:rsid w:val="4CA836F6"/>
    <w:rsid w:val="4CB15087"/>
    <w:rsid w:val="4CC72AFC"/>
    <w:rsid w:val="4CD07C03"/>
    <w:rsid w:val="4CD40D75"/>
    <w:rsid w:val="4CEC60BF"/>
    <w:rsid w:val="4D085AE5"/>
    <w:rsid w:val="4D2F0D70"/>
    <w:rsid w:val="4D641699"/>
    <w:rsid w:val="4DAD6C84"/>
    <w:rsid w:val="4DAF2EB0"/>
    <w:rsid w:val="4DC23F53"/>
    <w:rsid w:val="4DF6361C"/>
    <w:rsid w:val="4DFAF169"/>
    <w:rsid w:val="4E24034F"/>
    <w:rsid w:val="4E41408B"/>
    <w:rsid w:val="4E540379"/>
    <w:rsid w:val="4E6988D7"/>
    <w:rsid w:val="4E9C58C3"/>
    <w:rsid w:val="4EAC07E5"/>
    <w:rsid w:val="4EF676C9"/>
    <w:rsid w:val="4F0A5B1F"/>
    <w:rsid w:val="4F3058CE"/>
    <w:rsid w:val="4F6CB321"/>
    <w:rsid w:val="4F8554D3"/>
    <w:rsid w:val="4FBF610F"/>
    <w:rsid w:val="4FFA1984"/>
    <w:rsid w:val="4FFE9227"/>
    <w:rsid w:val="4FFF62DE"/>
    <w:rsid w:val="4FFF7C09"/>
    <w:rsid w:val="502C08F0"/>
    <w:rsid w:val="50690931"/>
    <w:rsid w:val="50954564"/>
    <w:rsid w:val="50BC0F04"/>
    <w:rsid w:val="50D85536"/>
    <w:rsid w:val="50FC089B"/>
    <w:rsid w:val="510E552C"/>
    <w:rsid w:val="512E154D"/>
    <w:rsid w:val="514B1EFA"/>
    <w:rsid w:val="5160769F"/>
    <w:rsid w:val="519277CB"/>
    <w:rsid w:val="51E41A5B"/>
    <w:rsid w:val="51F31C9E"/>
    <w:rsid w:val="52257019"/>
    <w:rsid w:val="5245699D"/>
    <w:rsid w:val="52576222"/>
    <w:rsid w:val="528261F1"/>
    <w:rsid w:val="52A631B4"/>
    <w:rsid w:val="53A20096"/>
    <w:rsid w:val="53F76D5C"/>
    <w:rsid w:val="53FC3EF1"/>
    <w:rsid w:val="540D34EB"/>
    <w:rsid w:val="545060BF"/>
    <w:rsid w:val="54634337"/>
    <w:rsid w:val="547719EF"/>
    <w:rsid w:val="548B7E95"/>
    <w:rsid w:val="5492579E"/>
    <w:rsid w:val="556A04C9"/>
    <w:rsid w:val="55D11D62"/>
    <w:rsid w:val="55E81F7A"/>
    <w:rsid w:val="569FDA12"/>
    <w:rsid w:val="573E1296"/>
    <w:rsid w:val="575F110F"/>
    <w:rsid w:val="57680A38"/>
    <w:rsid w:val="57BBB33C"/>
    <w:rsid w:val="57BE55AF"/>
    <w:rsid w:val="57CF10CA"/>
    <w:rsid w:val="57CF6ACA"/>
    <w:rsid w:val="57F56770"/>
    <w:rsid w:val="57F7FC5D"/>
    <w:rsid w:val="581B3CFC"/>
    <w:rsid w:val="58357612"/>
    <w:rsid w:val="584F65D6"/>
    <w:rsid w:val="585428CB"/>
    <w:rsid w:val="585BA306"/>
    <w:rsid w:val="58F00CE5"/>
    <w:rsid w:val="59030A18"/>
    <w:rsid w:val="59030F02"/>
    <w:rsid w:val="592F4C2E"/>
    <w:rsid w:val="59577975"/>
    <w:rsid w:val="59970B04"/>
    <w:rsid w:val="59C91827"/>
    <w:rsid w:val="5A204AE0"/>
    <w:rsid w:val="5A283FD2"/>
    <w:rsid w:val="5A4466FE"/>
    <w:rsid w:val="5A802A3D"/>
    <w:rsid w:val="5AC83522"/>
    <w:rsid w:val="5B2E6E46"/>
    <w:rsid w:val="5B4B607A"/>
    <w:rsid w:val="5B5C97DC"/>
    <w:rsid w:val="5B60717A"/>
    <w:rsid w:val="5B9663C3"/>
    <w:rsid w:val="5BEF1CD4"/>
    <w:rsid w:val="5BF08B87"/>
    <w:rsid w:val="5BF94D97"/>
    <w:rsid w:val="5BFF063C"/>
    <w:rsid w:val="5C194359"/>
    <w:rsid w:val="5C4B21D1"/>
    <w:rsid w:val="5C6C68CF"/>
    <w:rsid w:val="5C923852"/>
    <w:rsid w:val="5C9F016A"/>
    <w:rsid w:val="5CF00B9D"/>
    <w:rsid w:val="5D02548B"/>
    <w:rsid w:val="5D151909"/>
    <w:rsid w:val="5D2D0549"/>
    <w:rsid w:val="5D4E6290"/>
    <w:rsid w:val="5D684F42"/>
    <w:rsid w:val="5D8C0A56"/>
    <w:rsid w:val="5DDD7D4F"/>
    <w:rsid w:val="5DDE50C2"/>
    <w:rsid w:val="5DF73BD5"/>
    <w:rsid w:val="5E563C95"/>
    <w:rsid w:val="5E5E7E46"/>
    <w:rsid w:val="5E7F72F1"/>
    <w:rsid w:val="5E8F1A43"/>
    <w:rsid w:val="5EBD1DF3"/>
    <w:rsid w:val="5EF75F8C"/>
    <w:rsid w:val="5F2B45F4"/>
    <w:rsid w:val="5F311D58"/>
    <w:rsid w:val="5F585F9C"/>
    <w:rsid w:val="5F6F0398"/>
    <w:rsid w:val="5F7C4032"/>
    <w:rsid w:val="5F7D5046"/>
    <w:rsid w:val="5F9F64D3"/>
    <w:rsid w:val="5F9F70B0"/>
    <w:rsid w:val="5FB5DBE0"/>
    <w:rsid w:val="5FBAB3F7"/>
    <w:rsid w:val="5FBED891"/>
    <w:rsid w:val="5FD64BC6"/>
    <w:rsid w:val="5FDAB46F"/>
    <w:rsid w:val="5FDFCF6D"/>
    <w:rsid w:val="5FDFD187"/>
    <w:rsid w:val="5FE0DDA3"/>
    <w:rsid w:val="5FE59395"/>
    <w:rsid w:val="5FFB5855"/>
    <w:rsid w:val="6004641B"/>
    <w:rsid w:val="60145C01"/>
    <w:rsid w:val="60CF15B0"/>
    <w:rsid w:val="60E612E1"/>
    <w:rsid w:val="612F6A32"/>
    <w:rsid w:val="61493B6E"/>
    <w:rsid w:val="614B7400"/>
    <w:rsid w:val="616B2973"/>
    <w:rsid w:val="617F58C6"/>
    <w:rsid w:val="6187145C"/>
    <w:rsid w:val="61A25145"/>
    <w:rsid w:val="61A50392"/>
    <w:rsid w:val="61B22055"/>
    <w:rsid w:val="61D96F0F"/>
    <w:rsid w:val="62214605"/>
    <w:rsid w:val="6235542E"/>
    <w:rsid w:val="62764BB1"/>
    <w:rsid w:val="62A113CE"/>
    <w:rsid w:val="62B33B05"/>
    <w:rsid w:val="62B60ED4"/>
    <w:rsid w:val="62DB2A06"/>
    <w:rsid w:val="62F71652"/>
    <w:rsid w:val="63D36477"/>
    <w:rsid w:val="63E47698"/>
    <w:rsid w:val="63F0428F"/>
    <w:rsid w:val="63F258AD"/>
    <w:rsid w:val="63F57AF7"/>
    <w:rsid w:val="64682FB1"/>
    <w:rsid w:val="64C9520C"/>
    <w:rsid w:val="65134662"/>
    <w:rsid w:val="654E011B"/>
    <w:rsid w:val="658F1516"/>
    <w:rsid w:val="65A04E1F"/>
    <w:rsid w:val="65D392B7"/>
    <w:rsid w:val="65F12861"/>
    <w:rsid w:val="65FAF234"/>
    <w:rsid w:val="66482160"/>
    <w:rsid w:val="664B201A"/>
    <w:rsid w:val="664F179C"/>
    <w:rsid w:val="66804DBA"/>
    <w:rsid w:val="66BF5A87"/>
    <w:rsid w:val="66DF471E"/>
    <w:rsid w:val="66F53BB1"/>
    <w:rsid w:val="66FF93D0"/>
    <w:rsid w:val="67563156"/>
    <w:rsid w:val="67731A82"/>
    <w:rsid w:val="677B4E7A"/>
    <w:rsid w:val="677E9C09"/>
    <w:rsid w:val="67A535E2"/>
    <w:rsid w:val="67C96478"/>
    <w:rsid w:val="67CA7B6E"/>
    <w:rsid w:val="67CE1E55"/>
    <w:rsid w:val="67FC22F2"/>
    <w:rsid w:val="687E1949"/>
    <w:rsid w:val="68940A32"/>
    <w:rsid w:val="68C00B6E"/>
    <w:rsid w:val="68EFE01F"/>
    <w:rsid w:val="694E7B9A"/>
    <w:rsid w:val="69556380"/>
    <w:rsid w:val="6995614F"/>
    <w:rsid w:val="69A26C73"/>
    <w:rsid w:val="69B73195"/>
    <w:rsid w:val="69EB79D2"/>
    <w:rsid w:val="6AAB0F10"/>
    <w:rsid w:val="6AF02DC7"/>
    <w:rsid w:val="6AFB55D8"/>
    <w:rsid w:val="6AFEFA3A"/>
    <w:rsid w:val="6AFF45EE"/>
    <w:rsid w:val="6B0F5943"/>
    <w:rsid w:val="6B225038"/>
    <w:rsid w:val="6B2667E8"/>
    <w:rsid w:val="6B352187"/>
    <w:rsid w:val="6B45597E"/>
    <w:rsid w:val="6B7F2857"/>
    <w:rsid w:val="6B8C4DBF"/>
    <w:rsid w:val="6C3C1BEC"/>
    <w:rsid w:val="6C713951"/>
    <w:rsid w:val="6CBFF98F"/>
    <w:rsid w:val="6CDD2049"/>
    <w:rsid w:val="6CFBC90B"/>
    <w:rsid w:val="6CFC5A53"/>
    <w:rsid w:val="6D000022"/>
    <w:rsid w:val="6D0D4104"/>
    <w:rsid w:val="6D2E4334"/>
    <w:rsid w:val="6D59574F"/>
    <w:rsid w:val="6D97EFF3"/>
    <w:rsid w:val="6DBC4A1D"/>
    <w:rsid w:val="6DD3ADD8"/>
    <w:rsid w:val="6DFA5000"/>
    <w:rsid w:val="6DFC387C"/>
    <w:rsid w:val="6E0F77F3"/>
    <w:rsid w:val="6E2907D8"/>
    <w:rsid w:val="6E374AD4"/>
    <w:rsid w:val="6E4F7187"/>
    <w:rsid w:val="6E6167FE"/>
    <w:rsid w:val="6E836753"/>
    <w:rsid w:val="6EAD37C1"/>
    <w:rsid w:val="6ED3052B"/>
    <w:rsid w:val="6EDB5653"/>
    <w:rsid w:val="6EE82732"/>
    <w:rsid w:val="6F0B30FC"/>
    <w:rsid w:val="6F5BD622"/>
    <w:rsid w:val="6F771E6F"/>
    <w:rsid w:val="6F79114F"/>
    <w:rsid w:val="6F7B2174"/>
    <w:rsid w:val="6F7C10CD"/>
    <w:rsid w:val="6F7FCB0F"/>
    <w:rsid w:val="6F952799"/>
    <w:rsid w:val="6FA32C9F"/>
    <w:rsid w:val="6FBE5D12"/>
    <w:rsid w:val="6FCBDF7C"/>
    <w:rsid w:val="6FCC091D"/>
    <w:rsid w:val="6FCDED7F"/>
    <w:rsid w:val="6FEE009D"/>
    <w:rsid w:val="6FFEB534"/>
    <w:rsid w:val="6FFF286A"/>
    <w:rsid w:val="6FFFC799"/>
    <w:rsid w:val="700E32C7"/>
    <w:rsid w:val="700F3CEF"/>
    <w:rsid w:val="704C7999"/>
    <w:rsid w:val="70C52161"/>
    <w:rsid w:val="711F7E01"/>
    <w:rsid w:val="714455F4"/>
    <w:rsid w:val="715D3215"/>
    <w:rsid w:val="71A26116"/>
    <w:rsid w:val="72007D93"/>
    <w:rsid w:val="72286D6F"/>
    <w:rsid w:val="723753BF"/>
    <w:rsid w:val="72477770"/>
    <w:rsid w:val="725866C4"/>
    <w:rsid w:val="727365D3"/>
    <w:rsid w:val="728F5BE2"/>
    <w:rsid w:val="72C8096A"/>
    <w:rsid w:val="72FB6A45"/>
    <w:rsid w:val="731B1BC9"/>
    <w:rsid w:val="733722D2"/>
    <w:rsid w:val="733B5503"/>
    <w:rsid w:val="737850C7"/>
    <w:rsid w:val="737F5578"/>
    <w:rsid w:val="73A66FBD"/>
    <w:rsid w:val="73B23C4B"/>
    <w:rsid w:val="73BC1BEF"/>
    <w:rsid w:val="73DF9EB3"/>
    <w:rsid w:val="73E83462"/>
    <w:rsid w:val="73ED81AF"/>
    <w:rsid w:val="74CF8E63"/>
    <w:rsid w:val="74ED5E83"/>
    <w:rsid w:val="74FDAC95"/>
    <w:rsid w:val="74FE0BE3"/>
    <w:rsid w:val="754643C6"/>
    <w:rsid w:val="756D1B2A"/>
    <w:rsid w:val="75799033"/>
    <w:rsid w:val="75BE5F01"/>
    <w:rsid w:val="75D7FAF7"/>
    <w:rsid w:val="75FDF4FC"/>
    <w:rsid w:val="761756AB"/>
    <w:rsid w:val="76245D78"/>
    <w:rsid w:val="76297C90"/>
    <w:rsid w:val="76879754"/>
    <w:rsid w:val="76CB3760"/>
    <w:rsid w:val="76CB78AA"/>
    <w:rsid w:val="76E7F69B"/>
    <w:rsid w:val="76F6C226"/>
    <w:rsid w:val="76FF5081"/>
    <w:rsid w:val="770B3462"/>
    <w:rsid w:val="772B3AD8"/>
    <w:rsid w:val="775F31EB"/>
    <w:rsid w:val="7771931D"/>
    <w:rsid w:val="777F6D17"/>
    <w:rsid w:val="77B238DE"/>
    <w:rsid w:val="77BF3E6C"/>
    <w:rsid w:val="77BFE611"/>
    <w:rsid w:val="77BFE9BC"/>
    <w:rsid w:val="77CE8EB1"/>
    <w:rsid w:val="77DF43AD"/>
    <w:rsid w:val="77E68515"/>
    <w:rsid w:val="77E75108"/>
    <w:rsid w:val="77EB2B82"/>
    <w:rsid w:val="77EE068E"/>
    <w:rsid w:val="77F6FC9C"/>
    <w:rsid w:val="77F78AC3"/>
    <w:rsid w:val="77F94EFE"/>
    <w:rsid w:val="77FC92DA"/>
    <w:rsid w:val="77FE1086"/>
    <w:rsid w:val="77FE4DFA"/>
    <w:rsid w:val="782136FC"/>
    <w:rsid w:val="78236D2B"/>
    <w:rsid w:val="78601D31"/>
    <w:rsid w:val="788A2AAC"/>
    <w:rsid w:val="788FF0A7"/>
    <w:rsid w:val="78A30980"/>
    <w:rsid w:val="78A9379E"/>
    <w:rsid w:val="78AC657F"/>
    <w:rsid w:val="78AE4E84"/>
    <w:rsid w:val="78B64C80"/>
    <w:rsid w:val="78BC64C9"/>
    <w:rsid w:val="78DACC37"/>
    <w:rsid w:val="78FFD518"/>
    <w:rsid w:val="79575CF7"/>
    <w:rsid w:val="79ABE74F"/>
    <w:rsid w:val="79B21EAC"/>
    <w:rsid w:val="79C67B14"/>
    <w:rsid w:val="79DF2D22"/>
    <w:rsid w:val="79F747FD"/>
    <w:rsid w:val="79FEC777"/>
    <w:rsid w:val="79FF8067"/>
    <w:rsid w:val="79FFAFAB"/>
    <w:rsid w:val="79FFE48E"/>
    <w:rsid w:val="7A4D1FE3"/>
    <w:rsid w:val="7A7E219D"/>
    <w:rsid w:val="7AA7844F"/>
    <w:rsid w:val="7AB49F44"/>
    <w:rsid w:val="7ABE7181"/>
    <w:rsid w:val="7ABFAE9B"/>
    <w:rsid w:val="7AC77A34"/>
    <w:rsid w:val="7ADF07A8"/>
    <w:rsid w:val="7AFC7036"/>
    <w:rsid w:val="7B022DCE"/>
    <w:rsid w:val="7B4B4473"/>
    <w:rsid w:val="7B4E08F5"/>
    <w:rsid w:val="7B681EAD"/>
    <w:rsid w:val="7B77E2C9"/>
    <w:rsid w:val="7B793A9A"/>
    <w:rsid w:val="7BB2084E"/>
    <w:rsid w:val="7BBFA904"/>
    <w:rsid w:val="7BDF0BF1"/>
    <w:rsid w:val="7BEFA532"/>
    <w:rsid w:val="7BF36E50"/>
    <w:rsid w:val="7BF520FA"/>
    <w:rsid w:val="7BF81C66"/>
    <w:rsid w:val="7BFD4BB0"/>
    <w:rsid w:val="7BFF2C87"/>
    <w:rsid w:val="7C1C3A1B"/>
    <w:rsid w:val="7C471A15"/>
    <w:rsid w:val="7C6F0F96"/>
    <w:rsid w:val="7C741AA9"/>
    <w:rsid w:val="7CB9C079"/>
    <w:rsid w:val="7CD977E4"/>
    <w:rsid w:val="7CDFE9C0"/>
    <w:rsid w:val="7CF8D058"/>
    <w:rsid w:val="7D1C455C"/>
    <w:rsid w:val="7D7EF766"/>
    <w:rsid w:val="7D83792F"/>
    <w:rsid w:val="7DA34EF0"/>
    <w:rsid w:val="7DB9C98D"/>
    <w:rsid w:val="7DBF966E"/>
    <w:rsid w:val="7DCB1E39"/>
    <w:rsid w:val="7DDE08FF"/>
    <w:rsid w:val="7DE1FAA7"/>
    <w:rsid w:val="7DEEF051"/>
    <w:rsid w:val="7DF52DAA"/>
    <w:rsid w:val="7DFDFAFA"/>
    <w:rsid w:val="7E2FB40D"/>
    <w:rsid w:val="7E7BE5BD"/>
    <w:rsid w:val="7E937763"/>
    <w:rsid w:val="7EAFDE47"/>
    <w:rsid w:val="7ECB5A7E"/>
    <w:rsid w:val="7ECD8913"/>
    <w:rsid w:val="7EDA99EF"/>
    <w:rsid w:val="7EDF857B"/>
    <w:rsid w:val="7EF75C7A"/>
    <w:rsid w:val="7EF7A456"/>
    <w:rsid w:val="7EF7DE40"/>
    <w:rsid w:val="7EFC29C4"/>
    <w:rsid w:val="7EFF169C"/>
    <w:rsid w:val="7F0013D2"/>
    <w:rsid w:val="7F1E7AAB"/>
    <w:rsid w:val="7F21759B"/>
    <w:rsid w:val="7F37D5FA"/>
    <w:rsid w:val="7F39D530"/>
    <w:rsid w:val="7F3FD704"/>
    <w:rsid w:val="7F4F0A8E"/>
    <w:rsid w:val="7F577C73"/>
    <w:rsid w:val="7F58433C"/>
    <w:rsid w:val="7F6E2FF7"/>
    <w:rsid w:val="7F6F120C"/>
    <w:rsid w:val="7F7125AF"/>
    <w:rsid w:val="7F77157F"/>
    <w:rsid w:val="7F77275D"/>
    <w:rsid w:val="7F9B4AFA"/>
    <w:rsid w:val="7F9BB872"/>
    <w:rsid w:val="7FBAB49B"/>
    <w:rsid w:val="7FBAD34C"/>
    <w:rsid w:val="7FBB1A30"/>
    <w:rsid w:val="7FBBD906"/>
    <w:rsid w:val="7FBCE39D"/>
    <w:rsid w:val="7FBD05D7"/>
    <w:rsid w:val="7FBF616D"/>
    <w:rsid w:val="7FD7FB02"/>
    <w:rsid w:val="7FDD7D41"/>
    <w:rsid w:val="7FDF2D1A"/>
    <w:rsid w:val="7FDF39FD"/>
    <w:rsid w:val="7FDFB1A6"/>
    <w:rsid w:val="7FE7B7A6"/>
    <w:rsid w:val="7FEC571D"/>
    <w:rsid w:val="7FEFAAF0"/>
    <w:rsid w:val="7FEFF72F"/>
    <w:rsid w:val="7FF75D45"/>
    <w:rsid w:val="7FF7D6EB"/>
    <w:rsid w:val="7FFBD9DC"/>
    <w:rsid w:val="7FFCD4B4"/>
    <w:rsid w:val="7FFD2348"/>
    <w:rsid w:val="7FFD7369"/>
    <w:rsid w:val="7FFFA896"/>
    <w:rsid w:val="7FFFC760"/>
    <w:rsid w:val="7FFFC94E"/>
    <w:rsid w:val="7FFFD8C3"/>
    <w:rsid w:val="7FFFFEC1"/>
    <w:rsid w:val="83FF9276"/>
    <w:rsid w:val="83FFFF18"/>
    <w:rsid w:val="86FCBE7F"/>
    <w:rsid w:val="87FF37D5"/>
    <w:rsid w:val="8A3DDBDD"/>
    <w:rsid w:val="8DFCAD1A"/>
    <w:rsid w:val="8DFFF64E"/>
    <w:rsid w:val="8E2B6BE1"/>
    <w:rsid w:val="8E7F4C42"/>
    <w:rsid w:val="90594485"/>
    <w:rsid w:val="97BD6B1A"/>
    <w:rsid w:val="97DE7E34"/>
    <w:rsid w:val="99363C6B"/>
    <w:rsid w:val="99FF8BED"/>
    <w:rsid w:val="9B7BCE62"/>
    <w:rsid w:val="9BF9A448"/>
    <w:rsid w:val="9CBD8010"/>
    <w:rsid w:val="9CFB58F6"/>
    <w:rsid w:val="9EBFDF85"/>
    <w:rsid w:val="9EDCD231"/>
    <w:rsid w:val="9EFF4923"/>
    <w:rsid w:val="9F3FADBA"/>
    <w:rsid w:val="9F76284C"/>
    <w:rsid w:val="9FBFE824"/>
    <w:rsid w:val="9FFE79B6"/>
    <w:rsid w:val="A3F5737B"/>
    <w:rsid w:val="A6FBE8E7"/>
    <w:rsid w:val="A7733DCE"/>
    <w:rsid w:val="A9E7CC77"/>
    <w:rsid w:val="ABBFD0B3"/>
    <w:rsid w:val="ABDD2410"/>
    <w:rsid w:val="ABF72443"/>
    <w:rsid w:val="ABFF28A6"/>
    <w:rsid w:val="ADBFB5A6"/>
    <w:rsid w:val="AE2FC7AE"/>
    <w:rsid w:val="AE6F55D7"/>
    <w:rsid w:val="AF3BCA2E"/>
    <w:rsid w:val="AFD064FF"/>
    <w:rsid w:val="AFDF4B2D"/>
    <w:rsid w:val="AFFE3F6F"/>
    <w:rsid w:val="B29BAE04"/>
    <w:rsid w:val="B33B4AF7"/>
    <w:rsid w:val="B3AB2456"/>
    <w:rsid w:val="B56FD5E1"/>
    <w:rsid w:val="B5FF6443"/>
    <w:rsid w:val="B67F5889"/>
    <w:rsid w:val="B6B737E5"/>
    <w:rsid w:val="B73BFC6E"/>
    <w:rsid w:val="B75FE639"/>
    <w:rsid w:val="B75FF15F"/>
    <w:rsid w:val="B9CE09E9"/>
    <w:rsid w:val="BA3FDD29"/>
    <w:rsid w:val="BAFBF86C"/>
    <w:rsid w:val="BB3F30F6"/>
    <w:rsid w:val="BBFBD0E6"/>
    <w:rsid w:val="BBFC29ED"/>
    <w:rsid w:val="BC9E69C7"/>
    <w:rsid w:val="BD731BAB"/>
    <w:rsid w:val="BD776C47"/>
    <w:rsid w:val="BDBF3C9D"/>
    <w:rsid w:val="BE326369"/>
    <w:rsid w:val="BE792C4D"/>
    <w:rsid w:val="BEEF7964"/>
    <w:rsid w:val="BF6F6985"/>
    <w:rsid w:val="BF795223"/>
    <w:rsid w:val="BF79B09B"/>
    <w:rsid w:val="BF7E4486"/>
    <w:rsid w:val="BF97FCCB"/>
    <w:rsid w:val="BFA7BE16"/>
    <w:rsid w:val="BFB71B85"/>
    <w:rsid w:val="BFC1B41C"/>
    <w:rsid w:val="BFF773CD"/>
    <w:rsid w:val="BFFE46B7"/>
    <w:rsid w:val="C2BB5E44"/>
    <w:rsid w:val="C6EB648A"/>
    <w:rsid w:val="C9DFA005"/>
    <w:rsid w:val="CAFB477A"/>
    <w:rsid w:val="CAFFB35C"/>
    <w:rsid w:val="CB6BBC75"/>
    <w:rsid w:val="CBFBE6C2"/>
    <w:rsid w:val="CDF20C54"/>
    <w:rsid w:val="CE4F4175"/>
    <w:rsid w:val="CF6B7A18"/>
    <w:rsid w:val="CFBE760B"/>
    <w:rsid w:val="CFFFB84D"/>
    <w:rsid w:val="D1DFFC94"/>
    <w:rsid w:val="D2F9A5F1"/>
    <w:rsid w:val="D47F9942"/>
    <w:rsid w:val="D55E9BF0"/>
    <w:rsid w:val="D63F50D5"/>
    <w:rsid w:val="D6BD64A2"/>
    <w:rsid w:val="D6DFE200"/>
    <w:rsid w:val="D77FE98F"/>
    <w:rsid w:val="D7FDB91B"/>
    <w:rsid w:val="D9F7B313"/>
    <w:rsid w:val="D9FDBE84"/>
    <w:rsid w:val="DAA74886"/>
    <w:rsid w:val="DB7C1526"/>
    <w:rsid w:val="DB7E8327"/>
    <w:rsid w:val="DBA7FD3C"/>
    <w:rsid w:val="DBB50FA7"/>
    <w:rsid w:val="DBDFD381"/>
    <w:rsid w:val="DBFB2D4A"/>
    <w:rsid w:val="DBFB510E"/>
    <w:rsid w:val="DDF3AD59"/>
    <w:rsid w:val="DE36CD5C"/>
    <w:rsid w:val="DE9B453D"/>
    <w:rsid w:val="DECD54F2"/>
    <w:rsid w:val="DEED5CAD"/>
    <w:rsid w:val="DEFB5B04"/>
    <w:rsid w:val="DEFEA0F7"/>
    <w:rsid w:val="DF5D257B"/>
    <w:rsid w:val="DF6C1415"/>
    <w:rsid w:val="DF7FBA2B"/>
    <w:rsid w:val="DFB58FD0"/>
    <w:rsid w:val="DFB7F0D2"/>
    <w:rsid w:val="DFBFA3FB"/>
    <w:rsid w:val="DFDC5302"/>
    <w:rsid w:val="DFDE3B3E"/>
    <w:rsid w:val="DFE9967B"/>
    <w:rsid w:val="DFFD8722"/>
    <w:rsid w:val="DFFF4651"/>
    <w:rsid w:val="DFFFABB7"/>
    <w:rsid w:val="DFFFE6F1"/>
    <w:rsid w:val="E05E79C2"/>
    <w:rsid w:val="E15F152E"/>
    <w:rsid w:val="E17FEF9E"/>
    <w:rsid w:val="E1E55817"/>
    <w:rsid w:val="E39F45B5"/>
    <w:rsid w:val="E3F643BE"/>
    <w:rsid w:val="E3F73451"/>
    <w:rsid w:val="E3FF0847"/>
    <w:rsid w:val="E6FD2F55"/>
    <w:rsid w:val="E7C37AA1"/>
    <w:rsid w:val="E7CFD33F"/>
    <w:rsid w:val="E7DF8B3F"/>
    <w:rsid w:val="E7DFADCE"/>
    <w:rsid w:val="E7E521DB"/>
    <w:rsid w:val="E7FFC5EF"/>
    <w:rsid w:val="E8ED804B"/>
    <w:rsid w:val="E8FE3911"/>
    <w:rsid w:val="E9E76CF2"/>
    <w:rsid w:val="E9FDA343"/>
    <w:rsid w:val="EAAFA92D"/>
    <w:rsid w:val="EB3F1C30"/>
    <w:rsid w:val="EBD74AD5"/>
    <w:rsid w:val="ED3FB39F"/>
    <w:rsid w:val="ED75C289"/>
    <w:rsid w:val="ED7AEFA3"/>
    <w:rsid w:val="ED7FB4C8"/>
    <w:rsid w:val="EDDE7BAC"/>
    <w:rsid w:val="EDFD1038"/>
    <w:rsid w:val="EE1FEE2F"/>
    <w:rsid w:val="EE3FAE52"/>
    <w:rsid w:val="EE7F2FE3"/>
    <w:rsid w:val="EEB72F88"/>
    <w:rsid w:val="EEFE9E0D"/>
    <w:rsid w:val="EEFF6241"/>
    <w:rsid w:val="EF56B740"/>
    <w:rsid w:val="EF5C1689"/>
    <w:rsid w:val="EF6E9845"/>
    <w:rsid w:val="EF75A4DD"/>
    <w:rsid w:val="EF7F9A4B"/>
    <w:rsid w:val="EFB7145F"/>
    <w:rsid w:val="EFB9A311"/>
    <w:rsid w:val="EFD69798"/>
    <w:rsid w:val="EFDCAD6B"/>
    <w:rsid w:val="EFDD1B88"/>
    <w:rsid w:val="EFE3DBA4"/>
    <w:rsid w:val="EFEB3DEE"/>
    <w:rsid w:val="EFFDF147"/>
    <w:rsid w:val="F1F5133C"/>
    <w:rsid w:val="F1FC7021"/>
    <w:rsid w:val="F1FDF84E"/>
    <w:rsid w:val="F27E4FCC"/>
    <w:rsid w:val="F29F6FF7"/>
    <w:rsid w:val="F2FFCF70"/>
    <w:rsid w:val="F35C60FA"/>
    <w:rsid w:val="F3DEF5F1"/>
    <w:rsid w:val="F3F7EE73"/>
    <w:rsid w:val="F46BF29F"/>
    <w:rsid w:val="F4ED36B0"/>
    <w:rsid w:val="F5B9A3EC"/>
    <w:rsid w:val="F5CE8630"/>
    <w:rsid w:val="F5FAD458"/>
    <w:rsid w:val="F67F194C"/>
    <w:rsid w:val="F6BC4D7E"/>
    <w:rsid w:val="F6FDB21D"/>
    <w:rsid w:val="F73316B9"/>
    <w:rsid w:val="F73BBF84"/>
    <w:rsid w:val="F74E6DD4"/>
    <w:rsid w:val="F75FA828"/>
    <w:rsid w:val="F76F107A"/>
    <w:rsid w:val="F77932F3"/>
    <w:rsid w:val="F77B19CB"/>
    <w:rsid w:val="F77CE87F"/>
    <w:rsid w:val="F77DB9BF"/>
    <w:rsid w:val="F77F8464"/>
    <w:rsid w:val="F77FD310"/>
    <w:rsid w:val="F78D1784"/>
    <w:rsid w:val="F7BB4F5A"/>
    <w:rsid w:val="F7BE96BA"/>
    <w:rsid w:val="F7BF6D28"/>
    <w:rsid w:val="F7DF31E9"/>
    <w:rsid w:val="F7DFE404"/>
    <w:rsid w:val="F7EFCFAB"/>
    <w:rsid w:val="F7F5B0BD"/>
    <w:rsid w:val="F7F94B06"/>
    <w:rsid w:val="F7FD3377"/>
    <w:rsid w:val="F7FF036C"/>
    <w:rsid w:val="F7FF9DE4"/>
    <w:rsid w:val="F7FFA8ED"/>
    <w:rsid w:val="F8E9C7B7"/>
    <w:rsid w:val="F92FAE89"/>
    <w:rsid w:val="F936F7E0"/>
    <w:rsid w:val="F9BB74B8"/>
    <w:rsid w:val="F9EDBBAD"/>
    <w:rsid w:val="F9FF05FA"/>
    <w:rsid w:val="FA6B10D7"/>
    <w:rsid w:val="FB38DA43"/>
    <w:rsid w:val="FB3E8D78"/>
    <w:rsid w:val="FB6FD65E"/>
    <w:rsid w:val="FB72B38B"/>
    <w:rsid w:val="FB89780E"/>
    <w:rsid w:val="FB8A6CC7"/>
    <w:rsid w:val="FB9EA31D"/>
    <w:rsid w:val="FBBD9054"/>
    <w:rsid w:val="FBD7F7D7"/>
    <w:rsid w:val="FBDAF154"/>
    <w:rsid w:val="FBDB3A60"/>
    <w:rsid w:val="FBFD63DA"/>
    <w:rsid w:val="FBFE698C"/>
    <w:rsid w:val="FBFED44E"/>
    <w:rsid w:val="FBFF6870"/>
    <w:rsid w:val="FBFF715E"/>
    <w:rsid w:val="FBFFF153"/>
    <w:rsid w:val="FCB2F2AE"/>
    <w:rsid w:val="FCEE60C4"/>
    <w:rsid w:val="FCF78AA7"/>
    <w:rsid w:val="FD2F2796"/>
    <w:rsid w:val="FD5FB892"/>
    <w:rsid w:val="FD6F0DF3"/>
    <w:rsid w:val="FD7AD12D"/>
    <w:rsid w:val="FD7F5501"/>
    <w:rsid w:val="FDA5E97C"/>
    <w:rsid w:val="FDABBD95"/>
    <w:rsid w:val="FDCF54C3"/>
    <w:rsid w:val="FDDE5302"/>
    <w:rsid w:val="FDDF92B4"/>
    <w:rsid w:val="FDDFEB35"/>
    <w:rsid w:val="FDEFF583"/>
    <w:rsid w:val="FDF30CE2"/>
    <w:rsid w:val="FDF4AA23"/>
    <w:rsid w:val="FDF5B1D7"/>
    <w:rsid w:val="FDFC4FBC"/>
    <w:rsid w:val="FDFDF6A7"/>
    <w:rsid w:val="FDFED195"/>
    <w:rsid w:val="FDFF8F76"/>
    <w:rsid w:val="FE2753D1"/>
    <w:rsid w:val="FE470C51"/>
    <w:rsid w:val="FE6E5949"/>
    <w:rsid w:val="FE7EEBB5"/>
    <w:rsid w:val="FE8FA96B"/>
    <w:rsid w:val="FEBF3A4D"/>
    <w:rsid w:val="FEDC3E8E"/>
    <w:rsid w:val="FEF3AEFD"/>
    <w:rsid w:val="FEFE9979"/>
    <w:rsid w:val="FEFEDAFC"/>
    <w:rsid w:val="FF1F2623"/>
    <w:rsid w:val="FF3FC9F5"/>
    <w:rsid w:val="FF4E5446"/>
    <w:rsid w:val="FF4F44E4"/>
    <w:rsid w:val="FF662DB1"/>
    <w:rsid w:val="FF6F3B78"/>
    <w:rsid w:val="FF7D039B"/>
    <w:rsid w:val="FF7EB8BA"/>
    <w:rsid w:val="FFA7495E"/>
    <w:rsid w:val="FFA7CD22"/>
    <w:rsid w:val="FFAF514D"/>
    <w:rsid w:val="FFB743A8"/>
    <w:rsid w:val="FFB98D0D"/>
    <w:rsid w:val="FFBD35FB"/>
    <w:rsid w:val="FFBF7CD9"/>
    <w:rsid w:val="FFC70EC8"/>
    <w:rsid w:val="FFCFB3A6"/>
    <w:rsid w:val="FFD6B880"/>
    <w:rsid w:val="FFDB0D08"/>
    <w:rsid w:val="FFDF42A5"/>
    <w:rsid w:val="FFDFA2AA"/>
    <w:rsid w:val="FFE36C82"/>
    <w:rsid w:val="FFE7DD7A"/>
    <w:rsid w:val="FFEC997C"/>
    <w:rsid w:val="FFEDDDDD"/>
    <w:rsid w:val="FFEDF2B3"/>
    <w:rsid w:val="FFEEE778"/>
    <w:rsid w:val="FFEF6782"/>
    <w:rsid w:val="FFF3888C"/>
    <w:rsid w:val="FFF66AA1"/>
    <w:rsid w:val="FFF76472"/>
    <w:rsid w:val="FFF78ACD"/>
    <w:rsid w:val="FFFB6232"/>
    <w:rsid w:val="FFFD408B"/>
    <w:rsid w:val="FFFD73F1"/>
    <w:rsid w:val="FFFEA3BB"/>
    <w:rsid w:val="FFFF3372"/>
    <w:rsid w:val="FFFF6835"/>
    <w:rsid w:val="FFFF8810"/>
    <w:rsid w:val="FFFFD1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qFormat="1"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qFormat="1" w:unhideWhenUsed="0" w:uiPriority="99" w:semiHidden="0" w:name="List Bullet"/>
    <w:lsdException w:qFormat="1" w:unhideWhenUsed="0" w:uiPriority="99" w:semiHidden="0" w:name="List Number"/>
    <w:lsdException w:uiPriority="99" w:name="List 2"/>
    <w:lsdException w:uiPriority="99" w:name="List 3"/>
    <w:lsdException w:uiPriority="99" w:name="List 4"/>
    <w:lsdException w:uiPriority="99"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uiPriority="99" w:name="List Number 2"/>
    <w:lsdException w:uiPriority="99" w:name="List Number 3"/>
    <w:lsdException w:uiPriority="99" w:name="List Number 4"/>
    <w:lsdException w:qFormat="1" w:unhideWhenUsed="0" w:uiPriority="99" w:semiHidden="0"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qFormat="1" w:unhideWhenUsed="0" w:uiPriority="0" w:semiHidden="0" w:name="Body Text Indent 3"/>
    <w:lsdException w:qFormat="1"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64"/>
    <w:qFormat/>
    <w:uiPriority w:val="0"/>
    <w:pPr>
      <w:keepNext/>
      <w:keepLines/>
      <w:spacing w:before="340" w:after="330" w:line="578" w:lineRule="auto"/>
      <w:outlineLvl w:val="0"/>
    </w:pPr>
    <w:rPr>
      <w:b/>
      <w:bCs/>
      <w:kern w:val="44"/>
      <w:sz w:val="44"/>
      <w:szCs w:val="44"/>
    </w:rPr>
  </w:style>
  <w:style w:type="paragraph" w:styleId="3">
    <w:name w:val="heading 2"/>
    <w:basedOn w:val="4"/>
    <w:next w:val="1"/>
    <w:link w:val="61"/>
    <w:qFormat/>
    <w:uiPriority w:val="0"/>
    <w:pPr>
      <w:keepNext/>
      <w:keepLines/>
      <w:spacing w:before="260" w:after="260" w:line="416" w:lineRule="auto"/>
      <w:outlineLvl w:val="1"/>
    </w:pPr>
    <w:rPr>
      <w:rFonts w:ascii="Cambria" w:hAnsi="Cambria" w:eastAsiaTheme="minorEastAsia"/>
      <w:bCs/>
      <w:sz w:val="32"/>
      <w:szCs w:val="32"/>
    </w:rPr>
  </w:style>
  <w:style w:type="paragraph" w:styleId="5">
    <w:name w:val="heading 3"/>
    <w:basedOn w:val="1"/>
    <w:next w:val="6"/>
    <w:link w:val="345"/>
    <w:qFormat/>
    <w:uiPriority w:val="0"/>
    <w:pPr>
      <w:keepNext/>
      <w:keepLines/>
      <w:spacing w:before="260" w:after="260" w:line="413" w:lineRule="auto"/>
      <w:outlineLvl w:val="2"/>
    </w:pPr>
    <w:rPr>
      <w:b/>
      <w:sz w:val="32"/>
    </w:rPr>
  </w:style>
  <w:style w:type="paragraph" w:styleId="7">
    <w:name w:val="heading 4"/>
    <w:basedOn w:val="1"/>
    <w:next w:val="1"/>
    <w:link w:val="97"/>
    <w:qFormat/>
    <w:uiPriority w:val="0"/>
    <w:pPr>
      <w:keepNext/>
      <w:keepLines/>
      <w:numPr>
        <w:ilvl w:val="3"/>
        <w:numId w:val="1"/>
      </w:numPr>
      <w:tabs>
        <w:tab w:val="left" w:pos="432"/>
      </w:tabs>
      <w:topLinePunct/>
      <w:adjustRightInd w:val="0"/>
      <w:snapToGrid w:val="0"/>
      <w:spacing w:beforeLines="50" w:afterLines="50" w:line="480" w:lineRule="exact"/>
      <w:textAlignment w:val="center"/>
      <w:outlineLvl w:val="3"/>
    </w:pPr>
    <w:rPr>
      <w:rFonts w:ascii="Times New Roman" w:hAnsi="Times New Roman"/>
      <w:b/>
      <w:bCs/>
      <w:sz w:val="24"/>
      <w:szCs w:val="24"/>
      <w:lang w:val="sv-SE"/>
    </w:rPr>
  </w:style>
  <w:style w:type="paragraph" w:styleId="8">
    <w:name w:val="heading 5"/>
    <w:basedOn w:val="1"/>
    <w:next w:val="1"/>
    <w:link w:val="98"/>
    <w:qFormat/>
    <w:uiPriority w:val="0"/>
    <w:pPr>
      <w:keepNext/>
      <w:keepLines/>
      <w:numPr>
        <w:ilvl w:val="4"/>
        <w:numId w:val="1"/>
      </w:numPr>
      <w:topLinePunct/>
      <w:adjustRightInd w:val="0"/>
      <w:snapToGrid w:val="0"/>
      <w:spacing w:line="480" w:lineRule="atLeast"/>
      <w:textAlignment w:val="center"/>
      <w:outlineLvl w:val="4"/>
    </w:pPr>
    <w:rPr>
      <w:rFonts w:ascii="Times New Roman" w:hAnsi="Times New Roman"/>
      <w:b/>
      <w:bCs/>
      <w:sz w:val="24"/>
      <w:szCs w:val="28"/>
    </w:rPr>
  </w:style>
  <w:style w:type="paragraph" w:styleId="9">
    <w:name w:val="heading 6"/>
    <w:basedOn w:val="1"/>
    <w:next w:val="1"/>
    <w:link w:val="99"/>
    <w:qFormat/>
    <w:uiPriority w:val="0"/>
    <w:pPr>
      <w:keepNext/>
      <w:keepLines/>
      <w:tabs>
        <w:tab w:val="left" w:pos="1152"/>
      </w:tabs>
      <w:spacing w:before="240" w:after="64" w:line="320" w:lineRule="auto"/>
      <w:ind w:left="1152" w:hanging="1152"/>
      <w:outlineLvl w:val="5"/>
    </w:pPr>
    <w:rPr>
      <w:rFonts w:ascii="Arial" w:hAnsi="Arial" w:eastAsia="黑体"/>
      <w:b/>
      <w:bCs/>
      <w:sz w:val="24"/>
      <w:szCs w:val="24"/>
    </w:rPr>
  </w:style>
  <w:style w:type="paragraph" w:styleId="10">
    <w:name w:val="heading 7"/>
    <w:basedOn w:val="1"/>
    <w:next w:val="1"/>
    <w:link w:val="100"/>
    <w:qFormat/>
    <w:uiPriority w:val="99"/>
    <w:pPr>
      <w:keepNext/>
      <w:keepLines/>
      <w:spacing w:before="240" w:after="64" w:line="320" w:lineRule="auto"/>
      <w:outlineLvl w:val="6"/>
    </w:pPr>
    <w:rPr>
      <w:rFonts w:ascii="Times New Roman" w:hAnsi="Times New Roman"/>
      <w:b/>
      <w:bCs/>
      <w:sz w:val="24"/>
      <w:szCs w:val="24"/>
    </w:rPr>
  </w:style>
  <w:style w:type="paragraph" w:styleId="11">
    <w:name w:val="heading 8"/>
    <w:basedOn w:val="1"/>
    <w:next w:val="1"/>
    <w:link w:val="101"/>
    <w:qFormat/>
    <w:uiPriority w:val="99"/>
    <w:pPr>
      <w:keepNext/>
      <w:keepLines/>
      <w:spacing w:before="240" w:after="64" w:line="320" w:lineRule="auto"/>
      <w:outlineLvl w:val="7"/>
    </w:pPr>
    <w:rPr>
      <w:rFonts w:ascii="Arial" w:hAnsi="Arial" w:eastAsia="黑体"/>
      <w:sz w:val="24"/>
      <w:szCs w:val="24"/>
    </w:rPr>
  </w:style>
  <w:style w:type="paragraph" w:styleId="12">
    <w:name w:val="heading 9"/>
    <w:basedOn w:val="1"/>
    <w:next w:val="1"/>
    <w:link w:val="102"/>
    <w:qFormat/>
    <w:uiPriority w:val="99"/>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05"/>
    <w:qFormat/>
    <w:uiPriority w:val="0"/>
    <w:pPr>
      <w:spacing w:after="120"/>
    </w:pPr>
    <w:rPr>
      <w:rFonts w:ascii="Times New Roman" w:hAnsi="Times New Roman"/>
      <w:szCs w:val="24"/>
    </w:rPr>
  </w:style>
  <w:style w:type="paragraph" w:styleId="6">
    <w:name w:val="Normal Indent"/>
    <w:basedOn w:val="1"/>
    <w:qFormat/>
    <w:uiPriority w:val="99"/>
    <w:pPr>
      <w:autoSpaceDE w:val="0"/>
      <w:autoSpaceDN w:val="0"/>
      <w:adjustRightInd w:val="0"/>
      <w:snapToGrid w:val="0"/>
      <w:ind w:firstLine="420"/>
      <w:textAlignment w:val="baseline"/>
    </w:pPr>
    <w:rPr>
      <w:rFonts w:ascii="Arial" w:hAnsi="Arial"/>
      <w:snapToGrid w:val="0"/>
      <w:color w:val="000000"/>
      <w:kern w:val="24"/>
      <w:sz w:val="24"/>
      <w:szCs w:val="20"/>
    </w:rPr>
  </w:style>
  <w:style w:type="paragraph" w:styleId="13">
    <w:name w:val="toc 7"/>
    <w:basedOn w:val="1"/>
    <w:next w:val="1"/>
    <w:qFormat/>
    <w:uiPriority w:val="39"/>
    <w:pPr>
      <w:ind w:left="1260"/>
      <w:jc w:val="left"/>
    </w:pPr>
    <w:rPr>
      <w:sz w:val="18"/>
      <w:szCs w:val="18"/>
    </w:rPr>
  </w:style>
  <w:style w:type="paragraph" w:styleId="14">
    <w:name w:val="List Bullet 4"/>
    <w:basedOn w:val="1"/>
    <w:qFormat/>
    <w:uiPriority w:val="99"/>
    <w:pPr>
      <w:numPr>
        <w:ilvl w:val="0"/>
        <w:numId w:val="2"/>
      </w:numPr>
      <w:tabs>
        <w:tab w:val="left" w:pos="1620"/>
      </w:tabs>
    </w:pPr>
    <w:rPr>
      <w:rFonts w:ascii="Times New Roman" w:hAnsi="Times New Roman"/>
      <w:szCs w:val="24"/>
    </w:rPr>
  </w:style>
  <w:style w:type="paragraph" w:styleId="15">
    <w:name w:val="List Number"/>
    <w:basedOn w:val="1"/>
    <w:qFormat/>
    <w:uiPriority w:val="99"/>
    <w:pPr>
      <w:tabs>
        <w:tab w:val="left" w:pos="360"/>
      </w:tabs>
    </w:pPr>
    <w:rPr>
      <w:rFonts w:ascii="Times New Roman" w:hAnsi="Times New Roman"/>
      <w:szCs w:val="24"/>
    </w:rPr>
  </w:style>
  <w:style w:type="paragraph" w:styleId="16">
    <w:name w:val="caption"/>
    <w:basedOn w:val="1"/>
    <w:next w:val="1"/>
    <w:link w:val="131"/>
    <w:qFormat/>
    <w:uiPriority w:val="0"/>
    <w:pPr>
      <w:spacing w:before="152" w:after="160"/>
    </w:pPr>
    <w:rPr>
      <w:rFonts w:ascii="Arial" w:hAnsi="Arial" w:eastAsia="黑体"/>
      <w:sz w:val="20"/>
      <w:szCs w:val="20"/>
    </w:rPr>
  </w:style>
  <w:style w:type="paragraph" w:styleId="17">
    <w:name w:val="List Bullet"/>
    <w:basedOn w:val="1"/>
    <w:qFormat/>
    <w:uiPriority w:val="99"/>
    <w:pPr>
      <w:numPr>
        <w:ilvl w:val="0"/>
        <w:numId w:val="3"/>
      </w:numPr>
      <w:tabs>
        <w:tab w:val="left" w:pos="360"/>
      </w:tabs>
    </w:pPr>
    <w:rPr>
      <w:rFonts w:ascii="Times New Roman" w:hAnsi="Times New Roman"/>
      <w:szCs w:val="24"/>
    </w:rPr>
  </w:style>
  <w:style w:type="paragraph" w:styleId="18">
    <w:name w:val="Document Map"/>
    <w:basedOn w:val="1"/>
    <w:link w:val="108"/>
    <w:qFormat/>
    <w:uiPriority w:val="99"/>
    <w:pPr>
      <w:shd w:val="clear" w:color="auto" w:fill="000080"/>
    </w:pPr>
    <w:rPr>
      <w:rFonts w:ascii="Times New Roman" w:hAnsi="Times New Roman"/>
      <w:szCs w:val="24"/>
    </w:rPr>
  </w:style>
  <w:style w:type="paragraph" w:styleId="19">
    <w:name w:val="annotation text"/>
    <w:basedOn w:val="1"/>
    <w:link w:val="75"/>
    <w:unhideWhenUsed/>
    <w:qFormat/>
    <w:uiPriority w:val="99"/>
    <w:pPr>
      <w:jc w:val="left"/>
    </w:pPr>
  </w:style>
  <w:style w:type="paragraph" w:styleId="20">
    <w:name w:val="index 6"/>
    <w:basedOn w:val="1"/>
    <w:next w:val="1"/>
    <w:unhideWhenUsed/>
    <w:qFormat/>
    <w:uiPriority w:val="0"/>
    <w:pPr>
      <w:ind w:left="1260" w:hanging="210"/>
      <w:jc w:val="left"/>
    </w:pPr>
    <w:rPr>
      <w:sz w:val="20"/>
      <w:szCs w:val="20"/>
    </w:rPr>
  </w:style>
  <w:style w:type="paragraph" w:styleId="21">
    <w:name w:val="List Bullet 3"/>
    <w:basedOn w:val="1"/>
    <w:qFormat/>
    <w:uiPriority w:val="99"/>
    <w:pPr>
      <w:tabs>
        <w:tab w:val="left" w:pos="1200"/>
      </w:tabs>
      <w:ind w:left="425" w:hanging="425"/>
    </w:pPr>
    <w:rPr>
      <w:rFonts w:ascii="Times New Roman" w:hAnsi="Times New Roman"/>
      <w:szCs w:val="24"/>
    </w:rPr>
  </w:style>
  <w:style w:type="paragraph" w:styleId="22">
    <w:name w:val="Body Text Indent"/>
    <w:basedOn w:val="1"/>
    <w:next w:val="23"/>
    <w:link w:val="332"/>
    <w:unhideWhenUsed/>
    <w:qFormat/>
    <w:uiPriority w:val="99"/>
    <w:pPr>
      <w:spacing w:after="120"/>
      <w:ind w:left="420" w:leftChars="200"/>
    </w:pPr>
    <w:rPr>
      <w:rFonts w:ascii="Times New Roman" w:hAnsi="Times New Roman"/>
      <w:szCs w:val="24"/>
    </w:rPr>
  </w:style>
  <w:style w:type="paragraph" w:styleId="23">
    <w:name w:val="envelope return"/>
    <w:basedOn w:val="1"/>
    <w:qFormat/>
    <w:uiPriority w:val="99"/>
    <w:pPr>
      <w:snapToGrid w:val="0"/>
    </w:pPr>
    <w:rPr>
      <w:rFonts w:ascii="Arial" w:hAnsi="Arial" w:cs="Arial"/>
    </w:rPr>
  </w:style>
  <w:style w:type="paragraph" w:styleId="24">
    <w:name w:val="Block Text"/>
    <w:basedOn w:val="1"/>
    <w:semiHidden/>
    <w:unhideWhenUsed/>
    <w:qFormat/>
    <w:uiPriority w:val="99"/>
    <w:pPr>
      <w:spacing w:after="120"/>
      <w:ind w:left="1440" w:leftChars="700" w:right="1440" w:rightChars="700"/>
    </w:pPr>
  </w:style>
  <w:style w:type="paragraph" w:styleId="25">
    <w:name w:val="List Bullet 2"/>
    <w:basedOn w:val="1"/>
    <w:qFormat/>
    <w:uiPriority w:val="99"/>
    <w:pPr>
      <w:numPr>
        <w:ilvl w:val="0"/>
        <w:numId w:val="4"/>
      </w:numPr>
      <w:tabs>
        <w:tab w:val="left" w:pos="780"/>
      </w:tabs>
    </w:pPr>
    <w:rPr>
      <w:rFonts w:ascii="Times New Roman" w:hAnsi="Times New Roman"/>
      <w:szCs w:val="24"/>
    </w:rPr>
  </w:style>
  <w:style w:type="paragraph" w:styleId="26">
    <w:name w:val="toc 5"/>
    <w:basedOn w:val="1"/>
    <w:next w:val="1"/>
    <w:qFormat/>
    <w:uiPriority w:val="39"/>
    <w:pPr>
      <w:ind w:left="840"/>
      <w:jc w:val="left"/>
    </w:pPr>
    <w:rPr>
      <w:sz w:val="18"/>
      <w:szCs w:val="18"/>
    </w:rPr>
  </w:style>
  <w:style w:type="paragraph" w:styleId="27">
    <w:name w:val="toc 3"/>
    <w:basedOn w:val="1"/>
    <w:next w:val="1"/>
    <w:qFormat/>
    <w:uiPriority w:val="39"/>
    <w:pPr>
      <w:ind w:left="840" w:leftChars="400"/>
    </w:pPr>
    <w:rPr>
      <w:rFonts w:ascii="Times New Roman" w:hAnsi="Times New Roman"/>
      <w:szCs w:val="24"/>
    </w:rPr>
  </w:style>
  <w:style w:type="paragraph" w:styleId="28">
    <w:name w:val="Plain Text"/>
    <w:basedOn w:val="1"/>
    <w:link w:val="88"/>
    <w:qFormat/>
    <w:uiPriority w:val="0"/>
    <w:rPr>
      <w:rFonts w:ascii="宋体" w:hAnsi="Courier New"/>
      <w:szCs w:val="20"/>
    </w:rPr>
  </w:style>
  <w:style w:type="paragraph" w:styleId="29">
    <w:name w:val="List Bullet 5"/>
    <w:basedOn w:val="1"/>
    <w:qFormat/>
    <w:uiPriority w:val="99"/>
    <w:pPr>
      <w:tabs>
        <w:tab w:val="left" w:pos="817"/>
        <w:tab w:val="left" w:pos="2040"/>
      </w:tabs>
      <w:ind w:left="817" w:hanging="420"/>
    </w:pPr>
    <w:rPr>
      <w:rFonts w:ascii="Times New Roman" w:hAnsi="Times New Roman"/>
      <w:szCs w:val="24"/>
    </w:rPr>
  </w:style>
  <w:style w:type="paragraph" w:styleId="30">
    <w:name w:val="toc 8"/>
    <w:basedOn w:val="1"/>
    <w:next w:val="1"/>
    <w:qFormat/>
    <w:uiPriority w:val="39"/>
    <w:pPr>
      <w:ind w:left="1470"/>
      <w:jc w:val="left"/>
    </w:pPr>
    <w:rPr>
      <w:sz w:val="18"/>
      <w:szCs w:val="18"/>
    </w:rPr>
  </w:style>
  <w:style w:type="paragraph" w:styleId="31">
    <w:name w:val="Date"/>
    <w:basedOn w:val="1"/>
    <w:next w:val="1"/>
    <w:link w:val="120"/>
    <w:qFormat/>
    <w:uiPriority w:val="99"/>
    <w:pPr>
      <w:ind w:left="100" w:leftChars="2500"/>
    </w:pPr>
    <w:rPr>
      <w:rFonts w:ascii="Times New Roman" w:hAnsi="Times New Roman"/>
      <w:szCs w:val="24"/>
    </w:rPr>
  </w:style>
  <w:style w:type="paragraph" w:styleId="32">
    <w:name w:val="Body Text Indent 2"/>
    <w:basedOn w:val="1"/>
    <w:link w:val="333"/>
    <w:unhideWhenUsed/>
    <w:qFormat/>
    <w:uiPriority w:val="99"/>
    <w:pPr>
      <w:spacing w:after="120" w:line="480" w:lineRule="auto"/>
      <w:ind w:left="420" w:leftChars="200"/>
    </w:pPr>
    <w:rPr>
      <w:rFonts w:ascii="Times New Roman" w:hAnsi="Times New Roman"/>
      <w:szCs w:val="24"/>
    </w:rPr>
  </w:style>
  <w:style w:type="paragraph" w:styleId="33">
    <w:name w:val="endnote text"/>
    <w:basedOn w:val="1"/>
    <w:link w:val="211"/>
    <w:qFormat/>
    <w:uiPriority w:val="99"/>
    <w:pPr>
      <w:snapToGrid w:val="0"/>
      <w:jc w:val="left"/>
    </w:pPr>
    <w:rPr>
      <w:rFonts w:ascii="楷体_GB2312" w:hAnsi="Times New Roman" w:eastAsia="楷体_GB2312"/>
      <w:kern w:val="0"/>
      <w:sz w:val="28"/>
      <w:szCs w:val="20"/>
    </w:rPr>
  </w:style>
  <w:style w:type="paragraph" w:styleId="34">
    <w:name w:val="Balloon Text"/>
    <w:basedOn w:val="1"/>
    <w:link w:val="70"/>
    <w:qFormat/>
    <w:uiPriority w:val="99"/>
    <w:rPr>
      <w:sz w:val="18"/>
      <w:szCs w:val="18"/>
    </w:rPr>
  </w:style>
  <w:style w:type="paragraph" w:styleId="35">
    <w:name w:val="footer"/>
    <w:basedOn w:val="1"/>
    <w:link w:val="63"/>
    <w:qFormat/>
    <w:uiPriority w:val="0"/>
    <w:pPr>
      <w:tabs>
        <w:tab w:val="center" w:pos="4153"/>
        <w:tab w:val="right" w:pos="8306"/>
      </w:tabs>
      <w:snapToGrid w:val="0"/>
      <w:jc w:val="left"/>
    </w:pPr>
    <w:rPr>
      <w:sz w:val="18"/>
      <w:szCs w:val="18"/>
    </w:rPr>
  </w:style>
  <w:style w:type="paragraph" w:styleId="36">
    <w:name w:val="header"/>
    <w:basedOn w:val="1"/>
    <w:link w:val="62"/>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unhideWhenUsed/>
    <w:qFormat/>
    <w:uiPriority w:val="39"/>
  </w:style>
  <w:style w:type="paragraph" w:styleId="38">
    <w:name w:val="toc 4"/>
    <w:basedOn w:val="1"/>
    <w:next w:val="1"/>
    <w:qFormat/>
    <w:uiPriority w:val="39"/>
    <w:pPr>
      <w:ind w:left="630"/>
      <w:jc w:val="left"/>
    </w:pPr>
    <w:rPr>
      <w:sz w:val="18"/>
      <w:szCs w:val="18"/>
    </w:rPr>
  </w:style>
  <w:style w:type="paragraph" w:styleId="39">
    <w:name w:val="Subtitle"/>
    <w:basedOn w:val="1"/>
    <w:link w:val="205"/>
    <w:qFormat/>
    <w:uiPriority w:val="99"/>
    <w:pPr>
      <w:spacing w:before="240" w:after="60" w:line="312" w:lineRule="auto"/>
      <w:jc w:val="center"/>
      <w:outlineLvl w:val="1"/>
    </w:pPr>
    <w:rPr>
      <w:rFonts w:ascii="Arial" w:hAnsi="Arial" w:cs="Arial"/>
      <w:b/>
      <w:bCs/>
      <w:kern w:val="28"/>
      <w:sz w:val="32"/>
      <w:szCs w:val="32"/>
    </w:rPr>
  </w:style>
  <w:style w:type="paragraph" w:styleId="40">
    <w:name w:val="List Number 5"/>
    <w:basedOn w:val="1"/>
    <w:qFormat/>
    <w:uiPriority w:val="99"/>
    <w:pPr>
      <w:numPr>
        <w:ilvl w:val="0"/>
        <w:numId w:val="5"/>
      </w:numPr>
    </w:pPr>
    <w:rPr>
      <w:rFonts w:ascii="Times New Roman" w:hAnsi="Times New Roman"/>
      <w:szCs w:val="24"/>
    </w:rPr>
  </w:style>
  <w:style w:type="paragraph" w:styleId="41">
    <w:name w:val="toc 6"/>
    <w:basedOn w:val="1"/>
    <w:next w:val="1"/>
    <w:qFormat/>
    <w:uiPriority w:val="39"/>
    <w:pPr>
      <w:ind w:left="1050"/>
      <w:jc w:val="left"/>
    </w:pPr>
    <w:rPr>
      <w:sz w:val="18"/>
      <w:szCs w:val="18"/>
    </w:rPr>
  </w:style>
  <w:style w:type="paragraph" w:styleId="42">
    <w:name w:val="Body Text Indent 3"/>
    <w:basedOn w:val="1"/>
    <w:link w:val="69"/>
    <w:qFormat/>
    <w:uiPriority w:val="0"/>
    <w:pPr>
      <w:spacing w:after="120"/>
      <w:ind w:left="420" w:leftChars="200"/>
    </w:pPr>
    <w:rPr>
      <w:rFonts w:ascii="Times New Roman" w:hAnsi="Times New Roman"/>
      <w:sz w:val="16"/>
      <w:szCs w:val="16"/>
    </w:rPr>
  </w:style>
  <w:style w:type="paragraph" w:styleId="43">
    <w:name w:val="toc 2"/>
    <w:basedOn w:val="1"/>
    <w:next w:val="1"/>
    <w:unhideWhenUsed/>
    <w:qFormat/>
    <w:uiPriority w:val="39"/>
    <w:pPr>
      <w:tabs>
        <w:tab w:val="left" w:pos="1134"/>
        <w:tab w:val="right" w:leader="dot" w:pos="8296"/>
      </w:tabs>
      <w:ind w:left="420" w:leftChars="200"/>
    </w:pPr>
  </w:style>
  <w:style w:type="paragraph" w:styleId="44">
    <w:name w:val="toc 9"/>
    <w:basedOn w:val="1"/>
    <w:next w:val="1"/>
    <w:qFormat/>
    <w:uiPriority w:val="39"/>
    <w:pPr>
      <w:ind w:left="1680"/>
      <w:jc w:val="left"/>
    </w:pPr>
    <w:rPr>
      <w:sz w:val="18"/>
      <w:szCs w:val="18"/>
    </w:rPr>
  </w:style>
  <w:style w:type="paragraph" w:styleId="45">
    <w:name w:val="Body Text 2"/>
    <w:basedOn w:val="1"/>
    <w:link w:val="370"/>
    <w:qFormat/>
    <w:uiPriority w:val="0"/>
    <w:pPr>
      <w:spacing w:after="120" w:line="480" w:lineRule="auto"/>
    </w:pPr>
    <w:rPr>
      <w:rFonts w:ascii="Times New Roman" w:hAnsi="Times New Roman"/>
      <w:szCs w:val="24"/>
    </w:rPr>
  </w:style>
  <w:style w:type="paragraph" w:styleId="46">
    <w:name w:val="Normal (Web)"/>
    <w:basedOn w:val="1"/>
    <w:unhideWhenUsed/>
    <w:qFormat/>
    <w:uiPriority w:val="99"/>
    <w:rPr>
      <w:sz w:val="24"/>
    </w:rPr>
  </w:style>
  <w:style w:type="paragraph" w:styleId="47">
    <w:name w:val="Title"/>
    <w:basedOn w:val="1"/>
    <w:next w:val="1"/>
    <w:link w:val="202"/>
    <w:qFormat/>
    <w:uiPriority w:val="99"/>
    <w:pPr>
      <w:spacing w:before="240" w:after="60"/>
      <w:jc w:val="center"/>
      <w:outlineLvl w:val="0"/>
    </w:pPr>
    <w:rPr>
      <w:rFonts w:ascii="Arial" w:hAnsi="Arial" w:cs="Arial"/>
      <w:sz w:val="32"/>
      <w:szCs w:val="32"/>
    </w:rPr>
  </w:style>
  <w:style w:type="paragraph" w:styleId="48">
    <w:name w:val="annotation subject"/>
    <w:basedOn w:val="19"/>
    <w:next w:val="19"/>
    <w:link w:val="76"/>
    <w:unhideWhenUsed/>
    <w:qFormat/>
    <w:uiPriority w:val="99"/>
    <w:rPr>
      <w:b/>
      <w:bCs/>
    </w:rPr>
  </w:style>
  <w:style w:type="paragraph" w:styleId="49">
    <w:name w:val="Body Text First Indent"/>
    <w:basedOn w:val="4"/>
    <w:link w:val="106"/>
    <w:qFormat/>
    <w:uiPriority w:val="99"/>
    <w:pPr>
      <w:spacing w:line="480" w:lineRule="exact"/>
      <w:ind w:firstLine="420" w:firstLineChars="100"/>
    </w:pPr>
    <w:rPr>
      <w:sz w:val="24"/>
    </w:rPr>
  </w:style>
  <w:style w:type="paragraph" w:styleId="50">
    <w:name w:val="Body Text First Indent 2"/>
    <w:basedOn w:val="22"/>
    <w:qFormat/>
    <w:uiPriority w:val="0"/>
    <w:pPr>
      <w:ind w:firstLine="420" w:firstLineChars="200"/>
    </w:pPr>
    <w:rPr>
      <w:b/>
      <w:bCs/>
      <w:kern w:val="44"/>
      <w:sz w:val="44"/>
      <w:szCs w:val="4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rPr>
  </w:style>
  <w:style w:type="character" w:styleId="55">
    <w:name w:val="endnote reference"/>
    <w:qFormat/>
    <w:uiPriority w:val="0"/>
    <w:rPr>
      <w:vertAlign w:val="superscript"/>
    </w:rPr>
  </w:style>
  <w:style w:type="character" w:styleId="56">
    <w:name w:val="page number"/>
    <w:basedOn w:val="53"/>
    <w:qFormat/>
    <w:uiPriority w:val="0"/>
    <w:rPr>
      <w:rFonts w:ascii="Times New Roman" w:hAnsi="Times New Roman" w:eastAsia="宋体"/>
      <w:sz w:val="18"/>
    </w:rPr>
  </w:style>
  <w:style w:type="character" w:styleId="57">
    <w:name w:val="FollowedHyperlink"/>
    <w:basedOn w:val="53"/>
    <w:unhideWhenUsed/>
    <w:qFormat/>
    <w:uiPriority w:val="99"/>
    <w:rPr>
      <w:color w:val="800080" w:themeColor="followedHyperlink"/>
      <w:u w:val="single"/>
      <w14:textFill>
        <w14:solidFill>
          <w14:schemeClr w14:val="folHlink"/>
        </w14:solidFill>
      </w14:textFill>
    </w:rPr>
  </w:style>
  <w:style w:type="character" w:styleId="58">
    <w:name w:val="Emphasis"/>
    <w:qFormat/>
    <w:uiPriority w:val="20"/>
    <w:rPr>
      <w:i/>
      <w:iCs/>
    </w:rPr>
  </w:style>
  <w:style w:type="character" w:styleId="59">
    <w:name w:val="Hyperlink"/>
    <w:unhideWhenUsed/>
    <w:qFormat/>
    <w:uiPriority w:val="99"/>
    <w:rPr>
      <w:color w:val="0000FF"/>
      <w:u w:val="single"/>
    </w:rPr>
  </w:style>
  <w:style w:type="character" w:styleId="60">
    <w:name w:val="annotation reference"/>
    <w:unhideWhenUsed/>
    <w:qFormat/>
    <w:uiPriority w:val="99"/>
    <w:rPr>
      <w:sz w:val="21"/>
      <w:szCs w:val="21"/>
    </w:rPr>
  </w:style>
  <w:style w:type="character" w:customStyle="1" w:styleId="61">
    <w:name w:val="标题 2 字符"/>
    <w:link w:val="3"/>
    <w:qFormat/>
    <w:uiPriority w:val="0"/>
    <w:rPr>
      <w:rFonts w:ascii="Cambria" w:hAnsi="Cambria" w:cs="Times New Roman" w:eastAsiaTheme="minorEastAsia"/>
      <w:bCs/>
      <w:kern w:val="2"/>
      <w:sz w:val="32"/>
      <w:szCs w:val="32"/>
    </w:rPr>
  </w:style>
  <w:style w:type="character" w:customStyle="1" w:styleId="62">
    <w:name w:val="页眉 字符"/>
    <w:link w:val="36"/>
    <w:qFormat/>
    <w:uiPriority w:val="99"/>
    <w:rPr>
      <w:kern w:val="2"/>
      <w:sz w:val="18"/>
      <w:szCs w:val="18"/>
    </w:rPr>
  </w:style>
  <w:style w:type="character" w:customStyle="1" w:styleId="63">
    <w:name w:val="页脚 字符"/>
    <w:link w:val="35"/>
    <w:qFormat/>
    <w:uiPriority w:val="99"/>
    <w:rPr>
      <w:kern w:val="2"/>
      <w:sz w:val="18"/>
      <w:szCs w:val="18"/>
    </w:rPr>
  </w:style>
  <w:style w:type="character" w:customStyle="1" w:styleId="64">
    <w:name w:val="标题 1 字符"/>
    <w:link w:val="2"/>
    <w:qFormat/>
    <w:uiPriority w:val="0"/>
    <w:rPr>
      <w:b/>
      <w:bCs/>
      <w:kern w:val="44"/>
      <w:sz w:val="44"/>
      <w:szCs w:val="44"/>
    </w:rPr>
  </w:style>
  <w:style w:type="character" w:customStyle="1" w:styleId="65">
    <w:name w:val="一级条标题 Char Char"/>
    <w:link w:val="66"/>
    <w:qFormat/>
    <w:uiPriority w:val="0"/>
    <w:rPr>
      <w:rFonts w:ascii="黑体" w:hAnsi="Times New Roman" w:eastAsia="黑体"/>
      <w:sz w:val="21"/>
    </w:rPr>
  </w:style>
  <w:style w:type="paragraph" w:customStyle="1" w:styleId="66">
    <w:name w:val="一级条标题"/>
    <w:basedOn w:val="67"/>
    <w:next w:val="68"/>
    <w:link w:val="65"/>
    <w:qFormat/>
    <w:uiPriority w:val="0"/>
    <w:pPr>
      <w:tabs>
        <w:tab w:val="left" w:pos="0"/>
      </w:tabs>
      <w:outlineLvl w:val="2"/>
    </w:pPr>
  </w:style>
  <w:style w:type="paragraph" w:customStyle="1" w:styleId="67">
    <w:name w:val="章标题"/>
    <w:next w:val="68"/>
    <w:qFormat/>
    <w:uiPriority w:val="99"/>
    <w:pPr>
      <w:tabs>
        <w:tab w:val="left" w:pos="0"/>
      </w:tabs>
      <w:spacing w:beforeLines="50" w:afterLines="50"/>
      <w:jc w:val="both"/>
      <w:outlineLvl w:val="1"/>
    </w:pPr>
    <w:rPr>
      <w:rFonts w:ascii="黑体" w:hAnsi="Times New Roman" w:eastAsia="黑体" w:cs="Times New Roman"/>
      <w:sz w:val="21"/>
      <w:lang w:val="en-US" w:eastAsia="zh-CN" w:bidi="ar-SA"/>
    </w:rPr>
  </w:style>
  <w:style w:type="paragraph" w:customStyle="1" w:styleId="68">
    <w:name w:val="段"/>
    <w:link w:val="328"/>
    <w:qFormat/>
    <w:uiPriority w:val="99"/>
    <w:pPr>
      <w:ind w:firstLine="200" w:firstLineChars="200"/>
      <w:jc w:val="both"/>
    </w:pPr>
    <w:rPr>
      <w:rFonts w:ascii="宋体" w:hAnsi="Times New Roman" w:eastAsia="宋体" w:cs="Times New Roman"/>
      <w:sz w:val="21"/>
      <w:lang w:val="en-US" w:eastAsia="zh-CN" w:bidi="ar-SA"/>
    </w:rPr>
  </w:style>
  <w:style w:type="character" w:customStyle="1" w:styleId="69">
    <w:name w:val="正文文本缩进 3 字符"/>
    <w:link w:val="42"/>
    <w:qFormat/>
    <w:uiPriority w:val="99"/>
    <w:rPr>
      <w:rFonts w:ascii="Times New Roman" w:hAnsi="Times New Roman"/>
      <w:kern w:val="2"/>
      <w:sz w:val="16"/>
      <w:szCs w:val="16"/>
    </w:rPr>
  </w:style>
  <w:style w:type="character" w:customStyle="1" w:styleId="70">
    <w:name w:val="批注框文本 字符"/>
    <w:link w:val="34"/>
    <w:qFormat/>
    <w:uiPriority w:val="99"/>
    <w:rPr>
      <w:kern w:val="2"/>
      <w:sz w:val="18"/>
      <w:szCs w:val="18"/>
    </w:rPr>
  </w:style>
  <w:style w:type="paragraph" w:customStyle="1" w:styleId="71">
    <w:name w:val="列出段落1"/>
    <w:basedOn w:val="1"/>
    <w:qFormat/>
    <w:uiPriority w:val="34"/>
    <w:pPr>
      <w:ind w:firstLine="420" w:firstLineChars="200"/>
    </w:pPr>
  </w:style>
  <w:style w:type="paragraph" w:customStyle="1" w:styleId="72">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73">
    <w:name w:val="正文格式"/>
    <w:basedOn w:val="1"/>
    <w:link w:val="74"/>
    <w:qFormat/>
    <w:uiPriority w:val="0"/>
    <w:pPr>
      <w:topLinePunct/>
      <w:ind w:firstLine="420" w:firstLineChars="200"/>
    </w:pPr>
    <w:rPr>
      <w:rFonts w:ascii="宋体" w:hAnsi="宋体"/>
      <w:bCs/>
      <w:szCs w:val="21"/>
    </w:rPr>
  </w:style>
  <w:style w:type="character" w:customStyle="1" w:styleId="74">
    <w:name w:val="正文格式 Char"/>
    <w:link w:val="73"/>
    <w:qFormat/>
    <w:uiPriority w:val="0"/>
    <w:rPr>
      <w:rFonts w:ascii="宋体" w:hAnsi="宋体"/>
      <w:bCs/>
      <w:kern w:val="2"/>
      <w:sz w:val="21"/>
      <w:szCs w:val="21"/>
    </w:rPr>
  </w:style>
  <w:style w:type="character" w:customStyle="1" w:styleId="75">
    <w:name w:val="批注文字 字符"/>
    <w:link w:val="19"/>
    <w:qFormat/>
    <w:uiPriority w:val="99"/>
    <w:rPr>
      <w:kern w:val="2"/>
      <w:sz w:val="21"/>
      <w:szCs w:val="22"/>
    </w:rPr>
  </w:style>
  <w:style w:type="character" w:customStyle="1" w:styleId="76">
    <w:name w:val="批注主题 字符"/>
    <w:link w:val="48"/>
    <w:qFormat/>
    <w:uiPriority w:val="99"/>
    <w:rPr>
      <w:b/>
      <w:bCs/>
      <w:kern w:val="2"/>
      <w:sz w:val="21"/>
      <w:szCs w:val="22"/>
    </w:rPr>
  </w:style>
  <w:style w:type="paragraph" w:customStyle="1" w:styleId="77">
    <w:name w:val="修订1"/>
    <w:hidden/>
    <w:semiHidden/>
    <w:qFormat/>
    <w:uiPriority w:val="99"/>
    <w:rPr>
      <w:rFonts w:ascii="Calibri" w:hAnsi="Calibri" w:eastAsia="宋体" w:cs="Times New Roman"/>
      <w:kern w:val="2"/>
      <w:sz w:val="21"/>
      <w:szCs w:val="22"/>
      <w:lang w:val="en-US" w:eastAsia="zh-CN" w:bidi="ar-SA"/>
    </w:rPr>
  </w:style>
  <w:style w:type="paragraph" w:customStyle="1" w:styleId="78">
    <w:name w:val="目次、标准名称标题"/>
    <w:basedOn w:val="1"/>
    <w:next w:val="68"/>
    <w:qFormat/>
    <w:uiPriority w:val="99"/>
    <w:pPr>
      <w:widowControl/>
      <w:shd w:val="clear" w:color="FFFFFF" w:fill="FFFFFF"/>
      <w:spacing w:before="640" w:after="560" w:line="460" w:lineRule="exact"/>
      <w:jc w:val="center"/>
    </w:pPr>
    <w:rPr>
      <w:rFonts w:ascii="黑体" w:hAnsi="Times New Roman" w:eastAsia="黑体"/>
      <w:kern w:val="0"/>
      <w:sz w:val="32"/>
      <w:szCs w:val="20"/>
    </w:rPr>
  </w:style>
  <w:style w:type="paragraph" w:customStyle="1" w:styleId="79">
    <w:name w:val="标准书眉_偶数页"/>
    <w:basedOn w:val="80"/>
    <w:next w:val="1"/>
    <w:qFormat/>
    <w:uiPriority w:val="99"/>
    <w:pPr>
      <w:tabs>
        <w:tab w:val="center" w:pos="4154"/>
        <w:tab w:val="right" w:pos="8306"/>
      </w:tabs>
      <w:jc w:val="left"/>
    </w:pPr>
  </w:style>
  <w:style w:type="paragraph" w:customStyle="1" w:styleId="80">
    <w:name w:val="标准书眉_奇数页"/>
    <w:next w:val="1"/>
    <w:qFormat/>
    <w:uiPriority w:val="99"/>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81">
    <w:name w:val="标准书脚_偶数页"/>
    <w:qFormat/>
    <w:uiPriority w:val="99"/>
    <w:pPr>
      <w:spacing w:before="120"/>
    </w:pPr>
    <w:rPr>
      <w:rFonts w:ascii="Times New Roman" w:hAnsi="Times New Roman" w:eastAsia="宋体" w:cs="Times New Roman"/>
      <w:sz w:val="18"/>
      <w:lang w:val="en-US" w:eastAsia="zh-CN" w:bidi="ar-SA"/>
    </w:rPr>
  </w:style>
  <w:style w:type="paragraph" w:customStyle="1" w:styleId="82">
    <w:name w:val="标准书脚_奇数页"/>
    <w:qFormat/>
    <w:uiPriority w:val="99"/>
    <w:pPr>
      <w:spacing w:before="120"/>
      <w:jc w:val="right"/>
    </w:pPr>
    <w:rPr>
      <w:rFonts w:ascii="Times New Roman" w:hAnsi="Times New Roman" w:eastAsia="宋体" w:cs="Times New Roman"/>
      <w:sz w:val="18"/>
      <w:lang w:val="en-US" w:eastAsia="zh-CN" w:bidi="ar-SA"/>
    </w:rPr>
  </w:style>
  <w:style w:type="paragraph" w:customStyle="1" w:styleId="83">
    <w:name w:val="标准书眉一"/>
    <w:qFormat/>
    <w:uiPriority w:val="99"/>
    <w:pPr>
      <w:jc w:val="both"/>
    </w:pPr>
    <w:rPr>
      <w:rFonts w:ascii="Times New Roman" w:hAnsi="Times New Roman" w:eastAsia="宋体" w:cs="Times New Roman"/>
      <w:lang w:val="en-US" w:eastAsia="zh-CN" w:bidi="ar-SA"/>
    </w:rPr>
  </w:style>
  <w:style w:type="paragraph" w:customStyle="1" w:styleId="84">
    <w:name w:val="标准称谓"/>
    <w:next w:val="1"/>
    <w:qFormat/>
    <w:uiPriority w:val="99"/>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5">
    <w:name w:val="前言、引言标题"/>
    <w:next w:val="1"/>
    <w:qFormat/>
    <w:uiPriority w:val="99"/>
    <w:pPr>
      <w:numPr>
        <w:ilvl w:val="0"/>
        <w:numId w:val="6"/>
      </w:numPr>
      <w:shd w:val="clear" w:color="FFFFFF" w:fill="FFFFFF"/>
      <w:spacing w:before="640" w:after="560"/>
      <w:jc w:val="center"/>
      <w:outlineLvl w:val="0"/>
    </w:pPr>
    <w:rPr>
      <w:rFonts w:ascii="黑体" w:hAnsi="Times New Roman" w:eastAsia="黑体" w:cs="Times New Roman"/>
      <w:b/>
      <w:sz w:val="32"/>
      <w:lang w:val="en-US" w:eastAsia="zh-CN" w:bidi="ar-SA"/>
    </w:rPr>
  </w:style>
  <w:style w:type="character" w:customStyle="1" w:styleId="86">
    <w:name w:val="首行缩进 Char"/>
    <w:link w:val="87"/>
    <w:qFormat/>
    <w:uiPriority w:val="0"/>
    <w:rPr>
      <w:rFonts w:eastAsia="方正书宋简体" w:cs="宋体"/>
      <w:kern w:val="2"/>
      <w:sz w:val="21"/>
    </w:rPr>
  </w:style>
  <w:style w:type="paragraph" w:customStyle="1" w:styleId="87">
    <w:name w:val="首行缩进"/>
    <w:basedOn w:val="1"/>
    <w:link w:val="86"/>
    <w:qFormat/>
    <w:uiPriority w:val="0"/>
    <w:pPr>
      <w:spacing w:line="300" w:lineRule="auto"/>
      <w:ind w:firstLine="420" w:firstLineChars="200"/>
    </w:pPr>
    <w:rPr>
      <w:rFonts w:eastAsia="方正书宋简体"/>
      <w:szCs w:val="20"/>
    </w:rPr>
  </w:style>
  <w:style w:type="character" w:customStyle="1" w:styleId="88">
    <w:name w:val="纯文本 字符"/>
    <w:link w:val="28"/>
    <w:qFormat/>
    <w:uiPriority w:val="0"/>
    <w:rPr>
      <w:rFonts w:ascii="宋体" w:hAnsi="Courier New"/>
      <w:kern w:val="2"/>
      <w:sz w:val="21"/>
    </w:rPr>
  </w:style>
  <w:style w:type="character" w:customStyle="1" w:styleId="89">
    <w:name w:val="纯文本 Char1"/>
    <w:semiHidden/>
    <w:qFormat/>
    <w:uiPriority w:val="99"/>
    <w:rPr>
      <w:rFonts w:ascii="宋体" w:hAnsi="Courier New" w:cs="Courier New"/>
      <w:kern w:val="2"/>
      <w:sz w:val="21"/>
      <w:szCs w:val="21"/>
    </w:rPr>
  </w:style>
  <w:style w:type="character" w:customStyle="1" w:styleId="90">
    <w:name w:val="表头 Char"/>
    <w:link w:val="91"/>
    <w:qFormat/>
    <w:uiPriority w:val="0"/>
    <w:rPr>
      <w:rFonts w:eastAsia="黑体"/>
      <w:kern w:val="2"/>
      <w:sz w:val="21"/>
    </w:rPr>
  </w:style>
  <w:style w:type="paragraph" w:customStyle="1" w:styleId="91">
    <w:name w:val="表头"/>
    <w:basedOn w:val="1"/>
    <w:link w:val="90"/>
    <w:qFormat/>
    <w:uiPriority w:val="0"/>
    <w:pPr>
      <w:topLinePunct/>
      <w:spacing w:before="160" w:after="60"/>
      <w:jc w:val="center"/>
    </w:pPr>
    <w:rPr>
      <w:rFonts w:eastAsia="黑体"/>
      <w:szCs w:val="20"/>
    </w:rPr>
  </w:style>
  <w:style w:type="character" w:customStyle="1" w:styleId="92">
    <w:name w:val="二级条标题 Char"/>
    <w:link w:val="93"/>
    <w:qFormat/>
    <w:uiPriority w:val="0"/>
    <w:rPr>
      <w:rFonts w:ascii="黑体" w:eastAsia="黑体"/>
      <w:b/>
      <w:sz w:val="21"/>
    </w:rPr>
  </w:style>
  <w:style w:type="paragraph" w:customStyle="1" w:styleId="93">
    <w:name w:val="二级条标题"/>
    <w:basedOn w:val="66"/>
    <w:next w:val="68"/>
    <w:link w:val="92"/>
    <w:qFormat/>
    <w:uiPriority w:val="0"/>
    <w:pPr>
      <w:outlineLvl w:val="3"/>
    </w:pPr>
    <w:rPr>
      <w:b/>
    </w:rPr>
  </w:style>
  <w:style w:type="paragraph" w:customStyle="1" w:styleId="94">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95">
    <w:name w:val="Char"/>
    <w:basedOn w:val="1"/>
    <w:qFormat/>
    <w:uiPriority w:val="99"/>
    <w:rPr>
      <w:rFonts w:ascii="Times New Roman" w:hAnsi="Times New Roman"/>
      <w:szCs w:val="20"/>
    </w:rPr>
  </w:style>
  <w:style w:type="paragraph" w:customStyle="1" w:styleId="96">
    <w:name w:val="封面标准文稿编辑信息"/>
    <w:qFormat/>
    <w:uiPriority w:val="99"/>
    <w:pPr>
      <w:numPr>
        <w:ilvl w:val="0"/>
        <w:numId w:val="7"/>
      </w:numPr>
      <w:tabs>
        <w:tab w:val="clear" w:pos="360"/>
      </w:tabs>
      <w:spacing w:before="180" w:line="180" w:lineRule="exact"/>
      <w:jc w:val="center"/>
    </w:pPr>
    <w:rPr>
      <w:rFonts w:ascii="宋体" w:hAnsi="Times New Roman" w:eastAsia="宋体" w:cs="Times New Roman"/>
      <w:sz w:val="21"/>
      <w:lang w:val="en-US" w:eastAsia="zh-CN" w:bidi="ar-SA"/>
    </w:rPr>
  </w:style>
  <w:style w:type="character" w:customStyle="1" w:styleId="97">
    <w:name w:val="标题 4 字符"/>
    <w:link w:val="7"/>
    <w:qFormat/>
    <w:uiPriority w:val="0"/>
    <w:rPr>
      <w:b/>
      <w:bCs/>
      <w:kern w:val="2"/>
      <w:sz w:val="24"/>
      <w:szCs w:val="24"/>
      <w:lang w:val="sv-SE"/>
    </w:rPr>
  </w:style>
  <w:style w:type="character" w:customStyle="1" w:styleId="98">
    <w:name w:val="标题 5 字符"/>
    <w:link w:val="8"/>
    <w:qFormat/>
    <w:uiPriority w:val="0"/>
    <w:rPr>
      <w:b/>
      <w:bCs/>
      <w:kern w:val="2"/>
      <w:sz w:val="24"/>
      <w:szCs w:val="28"/>
    </w:rPr>
  </w:style>
  <w:style w:type="character" w:customStyle="1" w:styleId="99">
    <w:name w:val="标题 6 字符"/>
    <w:link w:val="9"/>
    <w:qFormat/>
    <w:uiPriority w:val="0"/>
    <w:rPr>
      <w:rFonts w:ascii="Arial" w:hAnsi="Arial" w:eastAsia="黑体"/>
      <w:b/>
      <w:bCs/>
      <w:kern w:val="2"/>
      <w:sz w:val="24"/>
      <w:szCs w:val="24"/>
    </w:rPr>
  </w:style>
  <w:style w:type="character" w:customStyle="1" w:styleId="100">
    <w:name w:val="标题 7 字符"/>
    <w:link w:val="10"/>
    <w:qFormat/>
    <w:uiPriority w:val="99"/>
    <w:rPr>
      <w:rFonts w:ascii="Times New Roman" w:hAnsi="Times New Roman"/>
      <w:b/>
      <w:bCs/>
      <w:kern w:val="2"/>
      <w:sz w:val="24"/>
      <w:szCs w:val="24"/>
    </w:rPr>
  </w:style>
  <w:style w:type="character" w:customStyle="1" w:styleId="101">
    <w:name w:val="标题 8 字符"/>
    <w:link w:val="11"/>
    <w:qFormat/>
    <w:uiPriority w:val="99"/>
    <w:rPr>
      <w:rFonts w:ascii="Arial" w:hAnsi="Arial" w:eastAsia="黑体"/>
      <w:kern w:val="2"/>
      <w:sz w:val="24"/>
      <w:szCs w:val="24"/>
    </w:rPr>
  </w:style>
  <w:style w:type="character" w:customStyle="1" w:styleId="102">
    <w:name w:val="标题 9 字符"/>
    <w:link w:val="12"/>
    <w:qFormat/>
    <w:uiPriority w:val="99"/>
    <w:rPr>
      <w:rFonts w:ascii="Arial" w:hAnsi="Arial" w:eastAsia="黑体"/>
      <w:kern w:val="2"/>
      <w:sz w:val="21"/>
      <w:szCs w:val="21"/>
    </w:rPr>
  </w:style>
  <w:style w:type="paragraph" w:customStyle="1" w:styleId="103">
    <w:name w:val="Char Char Char Char Char Char Char Char Char Char"/>
    <w:basedOn w:val="1"/>
    <w:qFormat/>
    <w:uiPriority w:val="99"/>
    <w:rPr>
      <w:rFonts w:ascii="Tahoma" w:hAnsi="Tahoma"/>
      <w:sz w:val="24"/>
      <w:szCs w:val="20"/>
    </w:rPr>
  </w:style>
  <w:style w:type="paragraph" w:customStyle="1" w:styleId="104">
    <w:name w:val="1级列项"/>
    <w:basedOn w:val="1"/>
    <w:qFormat/>
    <w:uiPriority w:val="99"/>
    <w:pPr>
      <w:adjustRightInd w:val="0"/>
      <w:spacing w:line="480" w:lineRule="exact"/>
      <w:textAlignment w:val="baseline"/>
    </w:pPr>
    <w:rPr>
      <w:rFonts w:ascii="Times New Roman" w:hAnsi="Times New Roman"/>
      <w:sz w:val="24"/>
      <w:szCs w:val="24"/>
    </w:rPr>
  </w:style>
  <w:style w:type="character" w:customStyle="1" w:styleId="105">
    <w:name w:val="正文文本 字符"/>
    <w:link w:val="4"/>
    <w:qFormat/>
    <w:uiPriority w:val="0"/>
    <w:rPr>
      <w:rFonts w:ascii="Times New Roman" w:hAnsi="Times New Roman"/>
      <w:kern w:val="2"/>
      <w:sz w:val="21"/>
      <w:szCs w:val="24"/>
    </w:rPr>
  </w:style>
  <w:style w:type="character" w:customStyle="1" w:styleId="106">
    <w:name w:val="正文首行缩进 字符"/>
    <w:link w:val="49"/>
    <w:qFormat/>
    <w:uiPriority w:val="99"/>
    <w:rPr>
      <w:rFonts w:ascii="Times New Roman" w:hAnsi="Times New Roman"/>
      <w:kern w:val="2"/>
      <w:sz w:val="24"/>
      <w:szCs w:val="24"/>
    </w:rPr>
  </w:style>
  <w:style w:type="paragraph" w:customStyle="1" w:styleId="107">
    <w:name w:val="默认段落字体 Para Char Char Char Char"/>
    <w:basedOn w:val="1"/>
    <w:link w:val="176"/>
    <w:qFormat/>
    <w:uiPriority w:val="0"/>
    <w:rPr>
      <w:rFonts w:ascii="Times New Roman" w:hAnsi="Times New Roman"/>
      <w:szCs w:val="24"/>
    </w:rPr>
  </w:style>
  <w:style w:type="character" w:customStyle="1" w:styleId="108">
    <w:name w:val="文档结构图 字符"/>
    <w:link w:val="18"/>
    <w:qFormat/>
    <w:uiPriority w:val="99"/>
    <w:rPr>
      <w:rFonts w:ascii="Times New Roman" w:hAnsi="Times New Roman"/>
      <w:kern w:val="2"/>
      <w:sz w:val="21"/>
      <w:szCs w:val="24"/>
      <w:shd w:val="clear" w:color="auto" w:fill="000080"/>
    </w:rPr>
  </w:style>
  <w:style w:type="paragraph" w:customStyle="1" w:styleId="109">
    <w:name w:val="附录表标题"/>
    <w:basedOn w:val="1"/>
    <w:next w:val="68"/>
    <w:qFormat/>
    <w:uiPriority w:val="0"/>
    <w:pPr>
      <w:widowControl/>
      <w:numPr>
        <w:ilvl w:val="0"/>
        <w:numId w:val="8"/>
      </w:numPr>
      <w:tabs>
        <w:tab w:val="left" w:pos="210"/>
        <w:tab w:val="left" w:pos="420"/>
      </w:tabs>
      <w:jc w:val="center"/>
      <w:textAlignment w:val="baseline"/>
    </w:pPr>
    <w:rPr>
      <w:rFonts w:ascii="宋体" w:hAnsi="Times New Roman"/>
      <w:b/>
      <w:kern w:val="21"/>
      <w:szCs w:val="20"/>
    </w:rPr>
  </w:style>
  <w:style w:type="paragraph" w:customStyle="1" w:styleId="110">
    <w:name w:val="目次、索引正文"/>
    <w:qFormat/>
    <w:uiPriority w:val="99"/>
    <w:pPr>
      <w:spacing w:line="320" w:lineRule="exact"/>
      <w:jc w:val="both"/>
    </w:pPr>
    <w:rPr>
      <w:rFonts w:ascii="宋体" w:hAnsi="Times New Roman" w:eastAsia="宋体" w:cs="Times New Roman"/>
      <w:sz w:val="21"/>
      <w:lang w:val="en-US" w:eastAsia="zh-CN" w:bidi="ar-SA"/>
    </w:rPr>
  </w:style>
  <w:style w:type="paragraph" w:customStyle="1" w:styleId="111">
    <w:name w:val="样式 (中文) 黑体 二号 行距: 1.5 倍行距"/>
    <w:basedOn w:val="1"/>
    <w:qFormat/>
    <w:uiPriority w:val="99"/>
    <w:rPr>
      <w:rFonts w:ascii="Times New Roman" w:hAnsi="Times New Roman"/>
      <w:sz w:val="44"/>
      <w:szCs w:val="20"/>
    </w:rPr>
  </w:style>
  <w:style w:type="paragraph" w:customStyle="1" w:styleId="112">
    <w:name w:val="5"/>
    <w:basedOn w:val="1"/>
    <w:next w:val="6"/>
    <w:qFormat/>
    <w:uiPriority w:val="99"/>
    <w:pPr>
      <w:numPr>
        <w:ilvl w:val="4"/>
        <w:numId w:val="9"/>
      </w:numPr>
      <w:spacing w:line="300" w:lineRule="auto"/>
    </w:pPr>
    <w:rPr>
      <w:rFonts w:ascii="Times New Roman" w:hAnsi="Times New Roman"/>
      <w:sz w:val="24"/>
      <w:szCs w:val="20"/>
    </w:rPr>
  </w:style>
  <w:style w:type="paragraph" w:customStyle="1" w:styleId="113">
    <w:name w:val="三级条标题"/>
    <w:basedOn w:val="93"/>
    <w:next w:val="68"/>
    <w:qFormat/>
    <w:uiPriority w:val="0"/>
    <w:pPr>
      <w:tabs>
        <w:tab w:val="left" w:pos="2781"/>
      </w:tabs>
      <w:ind w:left="2551" w:hanging="850"/>
      <w:outlineLvl w:val="4"/>
    </w:pPr>
    <w:rPr>
      <w:b w:val="0"/>
    </w:rPr>
  </w:style>
  <w:style w:type="paragraph" w:customStyle="1" w:styleId="114">
    <w:name w:val="五级条标题"/>
    <w:basedOn w:val="1"/>
    <w:next w:val="1"/>
    <w:qFormat/>
    <w:uiPriority w:val="99"/>
    <w:pPr>
      <w:widowControl/>
      <w:outlineLvl w:val="6"/>
    </w:pPr>
    <w:rPr>
      <w:rFonts w:ascii="黑体" w:hAnsi="Times New Roman" w:eastAsia="黑体"/>
      <w:kern w:val="0"/>
      <w:szCs w:val="20"/>
    </w:rPr>
  </w:style>
  <w:style w:type="paragraph" w:customStyle="1" w:styleId="115">
    <w:name w:val="二级无标题条"/>
    <w:basedOn w:val="1"/>
    <w:qFormat/>
    <w:uiPriority w:val="99"/>
    <w:pPr>
      <w:numPr>
        <w:ilvl w:val="3"/>
        <w:numId w:val="10"/>
      </w:numPr>
    </w:pPr>
    <w:rPr>
      <w:rFonts w:ascii="Times New Roman" w:hAnsi="Times New Roman"/>
      <w:szCs w:val="24"/>
    </w:rPr>
  </w:style>
  <w:style w:type="paragraph" w:customStyle="1" w:styleId="116">
    <w:name w:val="三级无标题条"/>
    <w:basedOn w:val="1"/>
    <w:qFormat/>
    <w:uiPriority w:val="0"/>
    <w:pPr>
      <w:numPr>
        <w:ilvl w:val="4"/>
        <w:numId w:val="10"/>
      </w:numPr>
    </w:pPr>
    <w:rPr>
      <w:rFonts w:ascii="Times New Roman" w:hAnsi="Times New Roman"/>
      <w:szCs w:val="24"/>
    </w:rPr>
  </w:style>
  <w:style w:type="paragraph" w:customStyle="1" w:styleId="117">
    <w:name w:val="四级无标题条"/>
    <w:basedOn w:val="1"/>
    <w:qFormat/>
    <w:uiPriority w:val="0"/>
    <w:pPr>
      <w:numPr>
        <w:ilvl w:val="5"/>
        <w:numId w:val="10"/>
      </w:numPr>
    </w:pPr>
    <w:rPr>
      <w:rFonts w:ascii="Times New Roman" w:hAnsi="Times New Roman"/>
      <w:szCs w:val="24"/>
    </w:rPr>
  </w:style>
  <w:style w:type="paragraph" w:customStyle="1" w:styleId="118">
    <w:name w:val="五级无标题条"/>
    <w:basedOn w:val="1"/>
    <w:qFormat/>
    <w:uiPriority w:val="99"/>
    <w:pPr>
      <w:numPr>
        <w:ilvl w:val="6"/>
        <w:numId w:val="10"/>
      </w:numPr>
    </w:pPr>
    <w:rPr>
      <w:rFonts w:ascii="Times New Roman" w:hAnsi="Times New Roman"/>
      <w:szCs w:val="24"/>
    </w:rPr>
  </w:style>
  <w:style w:type="paragraph" w:customStyle="1" w:styleId="119">
    <w:name w:val="一级无标题条"/>
    <w:basedOn w:val="1"/>
    <w:qFormat/>
    <w:uiPriority w:val="99"/>
    <w:pPr>
      <w:numPr>
        <w:ilvl w:val="2"/>
        <w:numId w:val="10"/>
      </w:numPr>
    </w:pPr>
    <w:rPr>
      <w:rFonts w:ascii="Times New Roman" w:hAnsi="Times New Roman"/>
      <w:szCs w:val="24"/>
    </w:rPr>
  </w:style>
  <w:style w:type="character" w:customStyle="1" w:styleId="120">
    <w:name w:val="日期 字符"/>
    <w:link w:val="31"/>
    <w:qFormat/>
    <w:uiPriority w:val="99"/>
    <w:rPr>
      <w:rFonts w:ascii="Times New Roman" w:hAnsi="Times New Roman"/>
      <w:kern w:val="2"/>
      <w:sz w:val="21"/>
      <w:szCs w:val="24"/>
    </w:rPr>
  </w:style>
  <w:style w:type="paragraph" w:customStyle="1" w:styleId="121">
    <w:name w:val="四级条标题"/>
    <w:basedOn w:val="113"/>
    <w:next w:val="1"/>
    <w:qFormat/>
    <w:uiPriority w:val="99"/>
    <w:pPr>
      <w:tabs>
        <w:tab w:val="clear" w:pos="2781"/>
      </w:tabs>
      <w:ind w:left="0" w:firstLine="0"/>
      <w:outlineLvl w:val="5"/>
    </w:pPr>
  </w:style>
  <w:style w:type="character" w:customStyle="1" w:styleId="122">
    <w:name w:val="正文文字样式 Char Char"/>
    <w:qFormat/>
    <w:uiPriority w:val="0"/>
    <w:rPr>
      <w:rFonts w:ascii="宋体" w:hAnsi="宋体" w:eastAsia="宋体"/>
      <w:kern w:val="2"/>
      <w:sz w:val="24"/>
      <w:szCs w:val="24"/>
      <w:lang w:val="en-US" w:eastAsia="zh-CN" w:bidi="ar-SA"/>
    </w:rPr>
  </w:style>
  <w:style w:type="character" w:customStyle="1" w:styleId="123">
    <w:name w:val="不明显强调1"/>
    <w:qFormat/>
    <w:uiPriority w:val="19"/>
    <w:rPr>
      <w:i/>
      <w:iCs/>
      <w:color w:val="808080"/>
    </w:rPr>
  </w:style>
  <w:style w:type="paragraph" w:customStyle="1" w:styleId="124">
    <w:name w:val="标题2d"/>
    <w:qFormat/>
    <w:uiPriority w:val="99"/>
    <w:pPr>
      <w:numPr>
        <w:ilvl w:val="0"/>
        <w:numId w:val="11"/>
      </w:numPr>
      <w:tabs>
        <w:tab w:val="left" w:pos="0"/>
      </w:tabs>
      <w:spacing w:line="360" w:lineRule="auto"/>
      <w:jc w:val="both"/>
    </w:pPr>
    <w:rPr>
      <w:rFonts w:ascii="宋体" w:hAnsi="宋体" w:eastAsia="宋体" w:cs="Times New Roman"/>
      <w:bCs/>
      <w:snapToGrid w:val="0"/>
      <w:sz w:val="24"/>
      <w:szCs w:val="24"/>
      <w:lang w:val="en-US" w:eastAsia="zh-CN" w:bidi="ar-SA"/>
    </w:rPr>
  </w:style>
  <w:style w:type="paragraph" w:customStyle="1" w:styleId="125">
    <w:name w:val="p0"/>
    <w:basedOn w:val="1"/>
    <w:qFormat/>
    <w:uiPriority w:val="99"/>
    <w:pPr>
      <w:widowControl/>
    </w:pPr>
    <w:rPr>
      <w:rFonts w:ascii="宋体" w:hAnsi="宋体" w:cs="宋体"/>
      <w:kern w:val="0"/>
      <w:szCs w:val="21"/>
    </w:rPr>
  </w:style>
  <w:style w:type="paragraph" w:customStyle="1" w:styleId="126">
    <w:name w:val="p16"/>
    <w:basedOn w:val="1"/>
    <w:qFormat/>
    <w:uiPriority w:val="99"/>
    <w:pPr>
      <w:widowControl/>
      <w:topLinePunct/>
      <w:spacing w:line="312" w:lineRule="atLeast"/>
    </w:pPr>
    <w:rPr>
      <w:rFonts w:ascii="宋体" w:hAnsi="宋体" w:cs="宋体"/>
      <w:kern w:val="0"/>
      <w:szCs w:val="21"/>
    </w:rPr>
  </w:style>
  <w:style w:type="paragraph" w:customStyle="1" w:styleId="127">
    <w:name w:val="p17"/>
    <w:basedOn w:val="1"/>
    <w:qFormat/>
    <w:uiPriority w:val="99"/>
    <w:pPr>
      <w:widowControl/>
      <w:spacing w:line="580" w:lineRule="atLeast"/>
      <w:ind w:left="142" w:firstLine="420"/>
    </w:pPr>
    <w:rPr>
      <w:rFonts w:ascii="宋体" w:hAnsi="宋体" w:cs="宋体"/>
      <w:kern w:val="0"/>
      <w:szCs w:val="21"/>
    </w:rPr>
  </w:style>
  <w:style w:type="character" w:customStyle="1" w:styleId="128">
    <w:name w:val="15"/>
    <w:qFormat/>
    <w:uiPriority w:val="0"/>
    <w:rPr>
      <w:rFonts w:hint="default" w:ascii="Times New Roman" w:hAnsi="Times New Roman" w:cs="Times New Roman"/>
    </w:rPr>
  </w:style>
  <w:style w:type="paragraph" w:customStyle="1" w:styleId="129">
    <w:name w:val="p15"/>
    <w:basedOn w:val="1"/>
    <w:qFormat/>
    <w:uiPriority w:val="99"/>
    <w:pPr>
      <w:widowControl/>
    </w:pPr>
    <w:rPr>
      <w:rFonts w:cs="宋体"/>
      <w:kern w:val="0"/>
      <w:szCs w:val="21"/>
    </w:rPr>
  </w:style>
  <w:style w:type="paragraph" w:customStyle="1" w:styleId="130">
    <w:name w:val="术语定义条标题"/>
    <w:basedOn w:val="1"/>
    <w:next w:val="1"/>
    <w:qFormat/>
    <w:uiPriority w:val="99"/>
    <w:pPr>
      <w:widowControl/>
      <w:tabs>
        <w:tab w:val="left" w:pos="420"/>
      </w:tabs>
      <w:jc w:val="left"/>
    </w:pPr>
    <w:rPr>
      <w:rFonts w:ascii="黑体" w:hAnsi="Times New Roman" w:eastAsia="黑体"/>
      <w:b/>
      <w:kern w:val="0"/>
      <w:szCs w:val="20"/>
    </w:rPr>
  </w:style>
  <w:style w:type="character" w:customStyle="1" w:styleId="131">
    <w:name w:val="题注 字符"/>
    <w:link w:val="16"/>
    <w:qFormat/>
    <w:uiPriority w:val="0"/>
    <w:rPr>
      <w:rFonts w:ascii="Arial" w:hAnsi="Arial" w:eastAsia="黑体"/>
      <w:kern w:val="2"/>
    </w:rPr>
  </w:style>
  <w:style w:type="character" w:customStyle="1" w:styleId="132">
    <w:name w:val="已访问的超链接1"/>
    <w:qFormat/>
    <w:uiPriority w:val="0"/>
    <w:rPr>
      <w:color w:val="800080"/>
      <w:u w:val="single"/>
    </w:rPr>
  </w:style>
  <w:style w:type="character" w:customStyle="1" w:styleId="133">
    <w:name w:val="HTML 定义1"/>
    <w:qFormat/>
    <w:uiPriority w:val="0"/>
    <w:rPr>
      <w:i/>
      <w:iCs/>
    </w:rPr>
  </w:style>
  <w:style w:type="character" w:customStyle="1" w:styleId="134">
    <w:name w:val="表头 Char Char"/>
    <w:qFormat/>
    <w:uiPriority w:val="0"/>
    <w:rPr>
      <w:rFonts w:eastAsia="黑体"/>
      <w:kern w:val="2"/>
      <w:sz w:val="21"/>
      <w:szCs w:val="21"/>
    </w:rPr>
  </w:style>
  <w:style w:type="character" w:customStyle="1" w:styleId="135">
    <w:name w:val="Char Char2"/>
    <w:qFormat/>
    <w:uiPriority w:val="0"/>
    <w:rPr>
      <w:rFonts w:eastAsia="宋体"/>
      <w:b/>
      <w:bCs/>
      <w:kern w:val="44"/>
      <w:sz w:val="21"/>
      <w:szCs w:val="28"/>
      <w:lang w:val="en-US" w:eastAsia="zh-CN"/>
    </w:rPr>
  </w:style>
  <w:style w:type="character" w:customStyle="1" w:styleId="136">
    <w:name w:val="一级标题 Char Char"/>
    <w:qFormat/>
    <w:uiPriority w:val="0"/>
    <w:rPr>
      <w:rFonts w:ascii="隶书" w:eastAsia="黑体"/>
      <w:b/>
      <w:kern w:val="2"/>
      <w:sz w:val="30"/>
      <w:szCs w:val="32"/>
      <w:lang w:val="en-US" w:eastAsia="zh-CN"/>
    </w:rPr>
  </w:style>
  <w:style w:type="character" w:customStyle="1" w:styleId="137">
    <w:name w:val="jl 正文 Char Char Char Char Char"/>
    <w:link w:val="138"/>
    <w:qFormat/>
    <w:uiPriority w:val="0"/>
    <w:rPr>
      <w:rFonts w:ascii="宋体"/>
      <w:sz w:val="24"/>
      <w:szCs w:val="24"/>
    </w:rPr>
  </w:style>
  <w:style w:type="paragraph" w:customStyle="1" w:styleId="138">
    <w:name w:val="jl 正文"/>
    <w:basedOn w:val="1"/>
    <w:link w:val="137"/>
    <w:qFormat/>
    <w:uiPriority w:val="0"/>
    <w:pPr>
      <w:autoSpaceDE w:val="0"/>
      <w:autoSpaceDN w:val="0"/>
      <w:adjustRightInd w:val="0"/>
      <w:ind w:firstLine="200" w:firstLineChars="200"/>
      <w:jc w:val="left"/>
      <w:textAlignment w:val="baseline"/>
    </w:pPr>
    <w:rPr>
      <w:rFonts w:ascii="宋体"/>
      <w:kern w:val="0"/>
      <w:sz w:val="24"/>
      <w:szCs w:val="24"/>
    </w:rPr>
  </w:style>
  <w:style w:type="character" w:customStyle="1" w:styleId="139">
    <w:name w:val="HTML 代码1"/>
    <w:qFormat/>
    <w:uiPriority w:val="0"/>
    <w:rPr>
      <w:rFonts w:ascii="Courier New" w:hAnsi="Courier New" w:cs="Courier New"/>
      <w:sz w:val="20"/>
      <w:szCs w:val="20"/>
    </w:rPr>
  </w:style>
  <w:style w:type="character" w:customStyle="1" w:styleId="140">
    <w:name w:val="标题 1 Char1"/>
    <w:qFormat/>
    <w:uiPriority w:val="0"/>
    <w:rPr>
      <w:rFonts w:eastAsia="汉仪大宋简"/>
      <w:kern w:val="44"/>
      <w:sz w:val="22"/>
      <w:szCs w:val="22"/>
      <w:lang w:val="en-US" w:eastAsia="zh-CN"/>
    </w:rPr>
  </w:style>
  <w:style w:type="character" w:customStyle="1" w:styleId="141">
    <w:name w:val="样式 Arial"/>
    <w:qFormat/>
    <w:uiPriority w:val="0"/>
    <w:rPr>
      <w:rFonts w:hint="default" w:ascii="Times New Roman" w:hAnsi="Times New Roman" w:eastAsia="宋体" w:cs="Times New Roman"/>
      <w:sz w:val="21"/>
      <w:szCs w:val="21"/>
    </w:rPr>
  </w:style>
  <w:style w:type="character" w:customStyle="1" w:styleId="142">
    <w:name w:val="三级标题 Char Char"/>
    <w:qFormat/>
    <w:uiPriority w:val="0"/>
    <w:rPr>
      <w:rFonts w:eastAsia="宋体"/>
      <w:b/>
      <w:sz w:val="24"/>
      <w:lang w:val="en-US" w:eastAsia="zh-CN"/>
    </w:rPr>
  </w:style>
  <w:style w:type="character" w:customStyle="1" w:styleId="143">
    <w:name w:val="D1 Char Char"/>
    <w:link w:val="144"/>
    <w:qFormat/>
    <w:uiPriority w:val="0"/>
    <w:rPr>
      <w:rFonts w:ascii="EU-F1" w:eastAsia="黑体"/>
      <w:kern w:val="2"/>
      <w:sz w:val="21"/>
      <w:szCs w:val="21"/>
    </w:rPr>
  </w:style>
  <w:style w:type="paragraph" w:customStyle="1" w:styleId="144">
    <w:name w:val="D1"/>
    <w:basedOn w:val="145"/>
    <w:link w:val="143"/>
    <w:qFormat/>
    <w:uiPriority w:val="0"/>
    <w:pPr>
      <w:spacing w:line="480" w:lineRule="auto"/>
    </w:pPr>
  </w:style>
  <w:style w:type="paragraph" w:customStyle="1" w:styleId="145">
    <w:name w:val="附录一"/>
    <w:basedOn w:val="28"/>
    <w:link w:val="149"/>
    <w:qFormat/>
    <w:uiPriority w:val="0"/>
    <w:rPr>
      <w:rFonts w:ascii="EU-F1" w:hAnsi="Calibri" w:eastAsia="黑体"/>
      <w:szCs w:val="21"/>
    </w:rPr>
  </w:style>
  <w:style w:type="character" w:customStyle="1" w:styleId="146">
    <w:name w:val="jl 正文 Char Char Char Char"/>
    <w:link w:val="147"/>
    <w:qFormat/>
    <w:uiPriority w:val="0"/>
    <w:rPr>
      <w:rFonts w:ascii="宋体"/>
      <w:kern w:val="2"/>
      <w:sz w:val="24"/>
      <w:szCs w:val="24"/>
    </w:rPr>
  </w:style>
  <w:style w:type="paragraph" w:customStyle="1" w:styleId="147">
    <w:name w:val="jl 正文 Char Char"/>
    <w:basedOn w:val="1"/>
    <w:link w:val="146"/>
    <w:qFormat/>
    <w:uiPriority w:val="0"/>
    <w:pPr>
      <w:autoSpaceDE w:val="0"/>
      <w:autoSpaceDN w:val="0"/>
      <w:adjustRightInd w:val="0"/>
      <w:ind w:firstLine="200" w:firstLineChars="200"/>
      <w:jc w:val="left"/>
      <w:textAlignment w:val="baseline"/>
    </w:pPr>
    <w:rPr>
      <w:rFonts w:ascii="宋体"/>
      <w:sz w:val="24"/>
      <w:szCs w:val="24"/>
    </w:rPr>
  </w:style>
  <w:style w:type="character" w:customStyle="1" w:styleId="148">
    <w:name w:val="HTML 样本1"/>
    <w:qFormat/>
    <w:uiPriority w:val="0"/>
    <w:rPr>
      <w:rFonts w:ascii="Courier New" w:hAnsi="Courier New" w:cs="Courier New"/>
    </w:rPr>
  </w:style>
  <w:style w:type="character" w:customStyle="1" w:styleId="149">
    <w:name w:val="附录一 Char Char"/>
    <w:link w:val="145"/>
    <w:qFormat/>
    <w:uiPriority w:val="0"/>
    <w:rPr>
      <w:rFonts w:ascii="EU-F1" w:eastAsia="黑体"/>
      <w:kern w:val="2"/>
      <w:sz w:val="21"/>
      <w:szCs w:val="21"/>
    </w:rPr>
  </w:style>
  <w:style w:type="character" w:customStyle="1" w:styleId="150">
    <w:name w:val="图说 Char Char"/>
    <w:link w:val="151"/>
    <w:qFormat/>
    <w:uiPriority w:val="0"/>
    <w:rPr>
      <w:rFonts w:cs="宋体"/>
      <w:kern w:val="2"/>
      <w:sz w:val="18"/>
    </w:rPr>
  </w:style>
  <w:style w:type="paragraph" w:customStyle="1" w:styleId="151">
    <w:name w:val="图说"/>
    <w:basedOn w:val="1"/>
    <w:link w:val="150"/>
    <w:qFormat/>
    <w:uiPriority w:val="0"/>
    <w:pPr>
      <w:topLinePunct/>
      <w:spacing w:before="40" w:after="160"/>
      <w:jc w:val="center"/>
    </w:pPr>
    <w:rPr>
      <w:sz w:val="18"/>
      <w:szCs w:val="20"/>
    </w:rPr>
  </w:style>
  <w:style w:type="character" w:customStyle="1" w:styleId="152">
    <w:name w:val="h1 Char"/>
    <w:qFormat/>
    <w:uiPriority w:val="0"/>
    <w:rPr>
      <w:rFonts w:eastAsia="黑体"/>
      <w:kern w:val="44"/>
      <w:sz w:val="28"/>
      <w:lang w:val="en-US" w:eastAsia="zh-CN"/>
    </w:rPr>
  </w:style>
  <w:style w:type="character" w:customStyle="1" w:styleId="153">
    <w:name w:val="样式6 Char Char"/>
    <w:link w:val="154"/>
    <w:qFormat/>
    <w:uiPriority w:val="0"/>
    <w:rPr>
      <w:rFonts w:eastAsia="黑体"/>
      <w:kern w:val="2"/>
      <w:sz w:val="21"/>
      <w:szCs w:val="21"/>
    </w:rPr>
  </w:style>
  <w:style w:type="paragraph" w:customStyle="1" w:styleId="154">
    <w:name w:val="样式6"/>
    <w:basedOn w:val="1"/>
    <w:link w:val="153"/>
    <w:qFormat/>
    <w:uiPriority w:val="0"/>
    <w:pPr>
      <w:topLinePunct/>
      <w:spacing w:before="160" w:after="60"/>
      <w:jc w:val="center"/>
    </w:pPr>
    <w:rPr>
      <w:rFonts w:eastAsia="黑体"/>
      <w:szCs w:val="21"/>
    </w:rPr>
  </w:style>
  <w:style w:type="character" w:customStyle="1" w:styleId="155">
    <w:name w:val="HTML 变量1"/>
    <w:qFormat/>
    <w:uiPriority w:val="0"/>
    <w:rPr>
      <w:i/>
      <w:iCs/>
    </w:rPr>
  </w:style>
  <w:style w:type="character" w:customStyle="1" w:styleId="156">
    <w:name w:val="行号1"/>
    <w:basedOn w:val="53"/>
    <w:qFormat/>
    <w:uiPriority w:val="0"/>
  </w:style>
  <w:style w:type="character" w:customStyle="1" w:styleId="157">
    <w:name w:val="D3 Char Char"/>
    <w:link w:val="158"/>
    <w:qFormat/>
    <w:uiPriority w:val="0"/>
    <w:rPr>
      <w:rFonts w:ascii="宋体" w:hAnsi="宋体"/>
      <w:b/>
      <w:color w:val="000000"/>
      <w:kern w:val="2"/>
      <w:sz w:val="21"/>
      <w:szCs w:val="21"/>
    </w:rPr>
  </w:style>
  <w:style w:type="paragraph" w:customStyle="1" w:styleId="158">
    <w:name w:val="D3"/>
    <w:basedOn w:val="107"/>
    <w:link w:val="157"/>
    <w:qFormat/>
    <w:uiPriority w:val="0"/>
    <w:pPr>
      <w:topLinePunct/>
      <w:spacing w:line="312" w:lineRule="exact"/>
    </w:pPr>
    <w:rPr>
      <w:rFonts w:ascii="宋体" w:hAnsi="宋体"/>
      <w:b/>
      <w:color w:val="000000"/>
      <w:szCs w:val="21"/>
    </w:rPr>
  </w:style>
  <w:style w:type="character" w:customStyle="1" w:styleId="159">
    <w:name w:val="F1 Char Char"/>
    <w:link w:val="160"/>
    <w:qFormat/>
    <w:uiPriority w:val="0"/>
    <w:rPr>
      <w:rFonts w:ascii="EU-F1" w:eastAsia="黑体"/>
      <w:kern w:val="21"/>
      <w:sz w:val="21"/>
      <w:szCs w:val="21"/>
    </w:rPr>
  </w:style>
  <w:style w:type="paragraph" w:customStyle="1" w:styleId="160">
    <w:name w:val="F1"/>
    <w:basedOn w:val="161"/>
    <w:link w:val="159"/>
    <w:qFormat/>
    <w:uiPriority w:val="0"/>
    <w:pPr>
      <w:topLinePunct/>
      <w:spacing w:line="312" w:lineRule="exact"/>
    </w:pPr>
  </w:style>
  <w:style w:type="paragraph" w:customStyle="1" w:styleId="161">
    <w:name w:val="附录二"/>
    <w:basedOn w:val="162"/>
    <w:link w:val="177"/>
    <w:qFormat/>
    <w:uiPriority w:val="0"/>
    <w:rPr>
      <w:rFonts w:ascii="EU-F1" w:hAnsi="Calibri" w:eastAsia="黑体"/>
      <w:kern w:val="21"/>
      <w:szCs w:val="21"/>
    </w:rPr>
  </w:style>
  <w:style w:type="paragraph" w:customStyle="1" w:styleId="162">
    <w:name w:val="纯文本1"/>
    <w:basedOn w:val="1"/>
    <w:unhideWhenUsed/>
    <w:qFormat/>
    <w:uiPriority w:val="0"/>
    <w:rPr>
      <w:rFonts w:hint="eastAsia" w:ascii="宋体" w:hAnsi="Courier New"/>
      <w:szCs w:val="24"/>
    </w:rPr>
  </w:style>
  <w:style w:type="character" w:customStyle="1" w:styleId="163">
    <w:name w:val="样式1正文（首行缩进两字） Char Char Char"/>
    <w:link w:val="164"/>
    <w:qFormat/>
    <w:uiPriority w:val="0"/>
    <w:rPr>
      <w:rFonts w:ascii="宋体" w:hAnsi="宋体" w:cs="宋体"/>
      <w:kern w:val="2"/>
      <w:sz w:val="21"/>
      <w:szCs w:val="21"/>
    </w:rPr>
  </w:style>
  <w:style w:type="paragraph" w:customStyle="1" w:styleId="164">
    <w:name w:val="样式1正文（首行缩进两字） Char"/>
    <w:basedOn w:val="1"/>
    <w:next w:val="165"/>
    <w:link w:val="163"/>
    <w:qFormat/>
    <w:uiPriority w:val="0"/>
    <w:pPr>
      <w:tabs>
        <w:tab w:val="left" w:pos="3585"/>
      </w:tabs>
      <w:snapToGrid w:val="0"/>
      <w:spacing w:afterLines="10" w:line="312" w:lineRule="exact"/>
    </w:pPr>
    <w:rPr>
      <w:rFonts w:ascii="宋体" w:hAnsi="宋体"/>
      <w:szCs w:val="21"/>
    </w:rPr>
  </w:style>
  <w:style w:type="paragraph" w:customStyle="1" w:styleId="165">
    <w:name w:val="样式 正文（首行缩进两字） Char + Times New Roman"/>
    <w:basedOn w:val="164"/>
    <w:qFormat/>
    <w:uiPriority w:val="99"/>
  </w:style>
  <w:style w:type="character" w:customStyle="1" w:styleId="166">
    <w:name w:val="HTML 键盘1"/>
    <w:qFormat/>
    <w:uiPriority w:val="0"/>
    <w:rPr>
      <w:rFonts w:ascii="Courier New" w:hAnsi="Courier New" w:cs="Courier New"/>
      <w:sz w:val="20"/>
      <w:szCs w:val="20"/>
    </w:rPr>
  </w:style>
  <w:style w:type="character" w:customStyle="1" w:styleId="167">
    <w:name w:val="批注引用1"/>
    <w:qFormat/>
    <w:uiPriority w:val="0"/>
    <w:rPr>
      <w:sz w:val="21"/>
      <w:szCs w:val="21"/>
    </w:rPr>
  </w:style>
  <w:style w:type="character" w:customStyle="1" w:styleId="168">
    <w:name w:val="wang正文 Char Char"/>
    <w:link w:val="169"/>
    <w:qFormat/>
    <w:uiPriority w:val="0"/>
    <w:rPr>
      <w:sz w:val="21"/>
      <w:szCs w:val="24"/>
    </w:rPr>
  </w:style>
  <w:style w:type="paragraph" w:customStyle="1" w:styleId="169">
    <w:name w:val="wang正文"/>
    <w:basedOn w:val="1"/>
    <w:link w:val="168"/>
    <w:qFormat/>
    <w:uiPriority w:val="0"/>
    <w:pPr>
      <w:tabs>
        <w:tab w:val="left" w:pos="6840"/>
      </w:tabs>
      <w:topLinePunct/>
      <w:ind w:firstLine="420"/>
    </w:pPr>
    <w:rPr>
      <w:kern w:val="0"/>
      <w:szCs w:val="24"/>
    </w:rPr>
  </w:style>
  <w:style w:type="character" w:customStyle="1" w:styleId="170">
    <w:name w:val="发布"/>
    <w:qFormat/>
    <w:uiPriority w:val="0"/>
    <w:rPr>
      <w:rFonts w:ascii="黑体" w:eastAsia="黑体"/>
      <w:spacing w:val="22"/>
      <w:w w:val="100"/>
      <w:position w:val="3"/>
      <w:sz w:val="28"/>
    </w:rPr>
  </w:style>
  <w:style w:type="character" w:customStyle="1" w:styleId="171">
    <w:name w:val="朱表头 Char Char"/>
    <w:link w:val="172"/>
    <w:qFormat/>
    <w:uiPriority w:val="0"/>
    <w:rPr>
      <w:rFonts w:ascii="EU-F1" w:eastAsia="黑体"/>
      <w:snapToGrid w:val="0"/>
      <w:kern w:val="2"/>
      <w:sz w:val="21"/>
    </w:rPr>
  </w:style>
  <w:style w:type="paragraph" w:customStyle="1" w:styleId="172">
    <w:name w:val="朱表头"/>
    <w:basedOn w:val="91"/>
    <w:link w:val="171"/>
    <w:qFormat/>
    <w:uiPriority w:val="0"/>
    <w:pPr>
      <w:spacing w:line="312" w:lineRule="exact"/>
    </w:pPr>
    <w:rPr>
      <w:rFonts w:ascii="EU-F1"/>
      <w:snapToGrid w:val="0"/>
    </w:rPr>
  </w:style>
  <w:style w:type="character" w:customStyle="1" w:styleId="173">
    <w:name w:val="jl 三级 Char Char Char"/>
    <w:link w:val="174"/>
    <w:qFormat/>
    <w:uiPriority w:val="0"/>
    <w:rPr>
      <w:rFonts w:ascii="宋体" w:hAnsi="宋体"/>
      <w:b/>
      <w:color w:val="000000"/>
      <w:kern w:val="2"/>
      <w:sz w:val="24"/>
      <w:szCs w:val="24"/>
    </w:rPr>
  </w:style>
  <w:style w:type="paragraph" w:customStyle="1" w:styleId="174">
    <w:name w:val="jl 三级 Char"/>
    <w:basedOn w:val="1"/>
    <w:link w:val="173"/>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szCs w:val="24"/>
    </w:rPr>
  </w:style>
  <w:style w:type="character" w:customStyle="1" w:styleId="175">
    <w:name w:val="HTML 引文1"/>
    <w:qFormat/>
    <w:uiPriority w:val="0"/>
    <w:rPr>
      <w:i/>
      <w:iCs/>
    </w:rPr>
  </w:style>
  <w:style w:type="character" w:customStyle="1" w:styleId="176">
    <w:name w:val="默认段落字体 Para Char Char Char Char Char1"/>
    <w:link w:val="107"/>
    <w:qFormat/>
    <w:uiPriority w:val="0"/>
    <w:rPr>
      <w:rFonts w:ascii="Times New Roman" w:hAnsi="Times New Roman"/>
      <w:kern w:val="2"/>
      <w:sz w:val="21"/>
      <w:szCs w:val="24"/>
    </w:rPr>
  </w:style>
  <w:style w:type="character" w:customStyle="1" w:styleId="177">
    <w:name w:val="附录二 Char Char"/>
    <w:link w:val="161"/>
    <w:qFormat/>
    <w:uiPriority w:val="0"/>
    <w:rPr>
      <w:rFonts w:ascii="EU-F1" w:eastAsia="黑体"/>
      <w:kern w:val="21"/>
      <w:sz w:val="21"/>
      <w:szCs w:val="21"/>
    </w:rPr>
  </w:style>
  <w:style w:type="character" w:customStyle="1" w:styleId="178">
    <w:name w:val="表名 Char Char"/>
    <w:link w:val="179"/>
    <w:qFormat/>
    <w:uiPriority w:val="0"/>
    <w:rPr>
      <w:rFonts w:ascii="黑体" w:eastAsia="黑体"/>
      <w:kern w:val="2"/>
      <w:sz w:val="21"/>
    </w:rPr>
  </w:style>
  <w:style w:type="paragraph" w:customStyle="1" w:styleId="179">
    <w:name w:val="表名"/>
    <w:basedOn w:val="1"/>
    <w:link w:val="178"/>
    <w:qFormat/>
    <w:uiPriority w:val="0"/>
    <w:pPr>
      <w:tabs>
        <w:tab w:val="left" w:pos="648"/>
        <w:tab w:val="left" w:pos="817"/>
        <w:tab w:val="left" w:leader="dot" w:pos="1701"/>
        <w:tab w:val="left" w:pos="9072"/>
      </w:tabs>
      <w:jc w:val="center"/>
    </w:pPr>
    <w:rPr>
      <w:rFonts w:ascii="黑体" w:eastAsia="黑体"/>
      <w:szCs w:val="20"/>
    </w:rPr>
  </w:style>
  <w:style w:type="character" w:customStyle="1" w:styleId="180">
    <w:name w:val="HTML 打字机1"/>
    <w:qFormat/>
    <w:uiPriority w:val="0"/>
    <w:rPr>
      <w:rFonts w:ascii="Courier New" w:hAnsi="Courier New" w:cs="Courier New"/>
      <w:sz w:val="20"/>
      <w:szCs w:val="20"/>
    </w:rPr>
  </w:style>
  <w:style w:type="character" w:customStyle="1" w:styleId="181">
    <w:name w:val="页码1"/>
    <w:basedOn w:val="53"/>
    <w:qFormat/>
    <w:uiPriority w:val="0"/>
  </w:style>
  <w:style w:type="character" w:customStyle="1" w:styleId="182">
    <w:name w:val="EUF Char Char"/>
    <w:link w:val="183"/>
    <w:qFormat/>
    <w:uiPriority w:val="0"/>
    <w:rPr>
      <w:rFonts w:ascii="EU-F1" w:hAnsi="宋体" w:eastAsia="EU-F1"/>
      <w:b/>
      <w:color w:val="000000"/>
      <w:kern w:val="2"/>
      <w:sz w:val="21"/>
      <w:szCs w:val="21"/>
    </w:rPr>
  </w:style>
  <w:style w:type="paragraph" w:customStyle="1" w:styleId="183">
    <w:name w:val="EUF"/>
    <w:basedOn w:val="107"/>
    <w:link w:val="182"/>
    <w:qFormat/>
    <w:uiPriority w:val="0"/>
    <w:pPr>
      <w:topLinePunct/>
      <w:spacing w:line="312" w:lineRule="exact"/>
    </w:pPr>
    <w:rPr>
      <w:rFonts w:ascii="EU-F1" w:hAnsi="宋体" w:eastAsia="EU-F1"/>
      <w:b/>
      <w:color w:val="000000"/>
      <w:szCs w:val="21"/>
    </w:rPr>
  </w:style>
  <w:style w:type="character" w:customStyle="1" w:styleId="184">
    <w:name w:val="D2 Char Char"/>
    <w:basedOn w:val="53"/>
    <w:link w:val="185"/>
    <w:qFormat/>
    <w:uiPriority w:val="0"/>
    <w:rPr>
      <w:rFonts w:ascii="EU-F1" w:eastAsia="黑体"/>
      <w:kern w:val="21"/>
      <w:sz w:val="21"/>
      <w:szCs w:val="21"/>
    </w:rPr>
  </w:style>
  <w:style w:type="paragraph" w:customStyle="1" w:styleId="185">
    <w:name w:val="D2"/>
    <w:basedOn w:val="161"/>
    <w:link w:val="184"/>
    <w:qFormat/>
    <w:uiPriority w:val="0"/>
    <w:pPr>
      <w:spacing w:line="312" w:lineRule="exact"/>
    </w:pPr>
  </w:style>
  <w:style w:type="character" w:customStyle="1" w:styleId="186">
    <w:name w:val="01 Char Char"/>
    <w:link w:val="187"/>
    <w:qFormat/>
    <w:uiPriority w:val="0"/>
    <w:rPr>
      <w:rFonts w:ascii="宋体" w:hAnsi="宋体" w:cs="宋体"/>
      <w:kern w:val="2"/>
      <w:sz w:val="21"/>
      <w:szCs w:val="21"/>
    </w:rPr>
  </w:style>
  <w:style w:type="paragraph" w:customStyle="1" w:styleId="187">
    <w:name w:val="01"/>
    <w:basedOn w:val="164"/>
    <w:link w:val="186"/>
    <w:qFormat/>
    <w:uiPriority w:val="0"/>
  </w:style>
  <w:style w:type="character" w:customStyle="1" w:styleId="188">
    <w:name w:val="标题 2 Char1"/>
    <w:qFormat/>
    <w:uiPriority w:val="0"/>
    <w:rPr>
      <w:rFonts w:eastAsia="黑体"/>
      <w:bCs/>
      <w:kern w:val="2"/>
      <w:sz w:val="21"/>
      <w:szCs w:val="21"/>
      <w:lang w:val="en-US" w:eastAsia="zh-CN"/>
    </w:rPr>
  </w:style>
  <w:style w:type="character" w:customStyle="1" w:styleId="189">
    <w:name w:val="HTML 缩写1"/>
    <w:basedOn w:val="53"/>
    <w:qFormat/>
    <w:uiPriority w:val="0"/>
  </w:style>
  <w:style w:type="character" w:customStyle="1" w:styleId="190">
    <w:name w:val="标题 1 Char Char"/>
    <w:qFormat/>
    <w:uiPriority w:val="0"/>
    <w:rPr>
      <w:rFonts w:eastAsia="宋体"/>
      <w:b/>
      <w:kern w:val="44"/>
      <w:sz w:val="44"/>
      <w:lang w:val="en-US" w:eastAsia="zh-CN"/>
    </w:rPr>
  </w:style>
  <w:style w:type="character" w:customStyle="1" w:styleId="191">
    <w:name w:val="正文格式 Char Char"/>
    <w:qFormat/>
    <w:uiPriority w:val="0"/>
    <w:rPr>
      <w:rFonts w:ascii="宋体" w:hAnsi="宋体"/>
      <w:bCs/>
      <w:kern w:val="2"/>
      <w:sz w:val="21"/>
      <w:szCs w:val="21"/>
    </w:rPr>
  </w:style>
  <w:style w:type="character" w:customStyle="1" w:styleId="192">
    <w:name w:val="h Char"/>
    <w:qFormat/>
    <w:uiPriority w:val="0"/>
    <w:rPr>
      <w:rFonts w:eastAsia="宋体"/>
      <w:kern w:val="2"/>
      <w:sz w:val="18"/>
      <w:szCs w:val="18"/>
      <w:lang w:val="en-US" w:eastAsia="zh-CN"/>
    </w:rPr>
  </w:style>
  <w:style w:type="character" w:customStyle="1" w:styleId="193">
    <w:name w:val="17"/>
    <w:qFormat/>
    <w:uiPriority w:val="0"/>
    <w:rPr>
      <w:rFonts w:hint="eastAsia" w:ascii="EU-F1" w:eastAsia="EU-F1"/>
      <w:sz w:val="21"/>
      <w:szCs w:val="21"/>
    </w:rPr>
  </w:style>
  <w:style w:type="paragraph" w:customStyle="1" w:styleId="194">
    <w:name w:val="列表 21"/>
    <w:basedOn w:val="1"/>
    <w:qFormat/>
    <w:uiPriority w:val="99"/>
    <w:pPr>
      <w:ind w:left="840" w:hanging="420"/>
    </w:pPr>
    <w:rPr>
      <w:rFonts w:ascii="Times New Roman" w:hAnsi="Times New Roman"/>
      <w:szCs w:val="24"/>
    </w:rPr>
  </w:style>
  <w:style w:type="paragraph" w:customStyle="1" w:styleId="195">
    <w:name w:val="样式2"/>
    <w:basedOn w:val="3"/>
    <w:qFormat/>
    <w:uiPriority w:val="99"/>
    <w:pPr>
      <w:tabs>
        <w:tab w:val="left" w:pos="567"/>
        <w:tab w:val="left" w:pos="850"/>
      </w:tabs>
      <w:topLinePunct/>
      <w:spacing w:before="0" w:after="0" w:line="960" w:lineRule="auto"/>
      <w:ind w:firstLine="420"/>
      <w:jc w:val="left"/>
    </w:pPr>
    <w:rPr>
      <w:rFonts w:ascii="Times New Roman" w:hAnsi="Times New Roman" w:eastAsia="黑体"/>
      <w:bCs w:val="0"/>
      <w:sz w:val="36"/>
      <w:szCs w:val="36"/>
    </w:rPr>
  </w:style>
  <w:style w:type="paragraph" w:customStyle="1" w:styleId="196">
    <w:name w:val="Char Char Char Char Char Char Char"/>
    <w:basedOn w:val="1"/>
    <w:qFormat/>
    <w:uiPriority w:val="99"/>
    <w:rPr>
      <w:rFonts w:ascii="Times New Roman" w:hAnsi="Times New Roman"/>
      <w:szCs w:val="24"/>
    </w:rPr>
  </w:style>
  <w:style w:type="paragraph" w:customStyle="1" w:styleId="197">
    <w:name w:val="列表 41"/>
    <w:basedOn w:val="1"/>
    <w:qFormat/>
    <w:uiPriority w:val="99"/>
    <w:pPr>
      <w:ind w:left="1680" w:hanging="420"/>
    </w:pPr>
    <w:rPr>
      <w:rFonts w:ascii="Times New Roman" w:hAnsi="Times New Roman"/>
      <w:szCs w:val="24"/>
    </w:rPr>
  </w:style>
  <w:style w:type="paragraph" w:customStyle="1" w:styleId="198">
    <w:name w:val="样式1"/>
    <w:basedOn w:val="1"/>
    <w:qFormat/>
    <w:uiPriority w:val="99"/>
    <w:pPr>
      <w:keepNext/>
      <w:keepLines/>
      <w:topLinePunct/>
      <w:spacing w:line="1200" w:lineRule="auto"/>
      <w:jc w:val="center"/>
      <w:outlineLvl w:val="0"/>
    </w:pPr>
    <w:rPr>
      <w:rFonts w:ascii="Times New Roman" w:hAnsi="Times New Roman" w:cs="宋体"/>
      <w:b/>
      <w:kern w:val="44"/>
      <w:sz w:val="52"/>
      <w:szCs w:val="52"/>
    </w:rPr>
  </w:style>
  <w:style w:type="paragraph" w:customStyle="1" w:styleId="199">
    <w:name w:val="寄信人地址1"/>
    <w:basedOn w:val="1"/>
    <w:qFormat/>
    <w:uiPriority w:val="99"/>
    <w:pPr>
      <w:snapToGrid w:val="0"/>
    </w:pPr>
    <w:rPr>
      <w:rFonts w:ascii="Arial" w:hAnsi="Arial" w:cs="Arial"/>
      <w:szCs w:val="24"/>
    </w:rPr>
  </w:style>
  <w:style w:type="paragraph" w:customStyle="1" w:styleId="200">
    <w:name w:val="样式3"/>
    <w:basedOn w:val="5"/>
    <w:qFormat/>
    <w:uiPriority w:val="99"/>
    <w:pPr>
      <w:tabs>
        <w:tab w:val="left" w:pos="709"/>
      </w:tabs>
      <w:topLinePunct/>
      <w:spacing w:before="0" w:after="0" w:line="720" w:lineRule="auto"/>
      <w:jc w:val="left"/>
    </w:pPr>
    <w:rPr>
      <w:rFonts w:ascii="Arial" w:hAnsi="Arial" w:eastAsia="黑体"/>
      <w:b w:val="0"/>
      <w:sz w:val="30"/>
      <w:szCs w:val="30"/>
    </w:rPr>
  </w:style>
  <w:style w:type="paragraph" w:customStyle="1" w:styleId="201">
    <w:name w:val="称呼1"/>
    <w:basedOn w:val="1"/>
    <w:next w:val="1"/>
    <w:qFormat/>
    <w:uiPriority w:val="99"/>
    <w:rPr>
      <w:rFonts w:ascii="Times New Roman" w:hAnsi="Times New Roman"/>
      <w:szCs w:val="24"/>
    </w:rPr>
  </w:style>
  <w:style w:type="character" w:customStyle="1" w:styleId="202">
    <w:name w:val="标题 字符"/>
    <w:link w:val="47"/>
    <w:qFormat/>
    <w:uiPriority w:val="99"/>
    <w:rPr>
      <w:rFonts w:ascii="Arial" w:hAnsi="Arial" w:cs="Arial"/>
      <w:b/>
      <w:bCs/>
      <w:kern w:val="2"/>
      <w:sz w:val="32"/>
      <w:szCs w:val="32"/>
    </w:rPr>
  </w:style>
  <w:style w:type="paragraph" w:customStyle="1" w:styleId="203">
    <w:name w:val="样式4"/>
    <w:basedOn w:val="7"/>
    <w:qFormat/>
    <w:uiPriority w:val="99"/>
    <w:pPr>
      <w:numPr>
        <w:ilvl w:val="0"/>
        <w:numId w:val="0"/>
      </w:numPr>
      <w:adjustRightInd/>
      <w:snapToGrid/>
      <w:spacing w:beforeLines="0" w:afterLines="0" w:line="480" w:lineRule="auto"/>
      <w:ind w:firstLine="420"/>
      <w:textAlignment w:val="auto"/>
    </w:pPr>
    <w:rPr>
      <w:rFonts w:eastAsia="楷体_GB2312"/>
      <w:b w:val="0"/>
      <w:bCs w:val="0"/>
      <w:szCs w:val="20"/>
      <w:lang w:val="en-US"/>
    </w:rPr>
  </w:style>
  <w:style w:type="paragraph" w:customStyle="1" w:styleId="204">
    <w:name w:val="标题 3 + 小四 段前: 0 磅 段后: 0 磅 行距: 1.5 倍行距"/>
    <w:basedOn w:val="5"/>
    <w:next w:val="5"/>
    <w:qFormat/>
    <w:uiPriority w:val="99"/>
    <w:pPr>
      <w:spacing w:before="0" w:after="0" w:line="360" w:lineRule="auto"/>
    </w:pPr>
    <w:rPr>
      <w:rFonts w:ascii="Times New Roman" w:hAnsi="Times New Roman" w:cs="宋体"/>
      <w:bCs/>
      <w:sz w:val="24"/>
      <w:szCs w:val="20"/>
    </w:rPr>
  </w:style>
  <w:style w:type="character" w:customStyle="1" w:styleId="205">
    <w:name w:val="副标题 字符"/>
    <w:link w:val="39"/>
    <w:qFormat/>
    <w:uiPriority w:val="99"/>
    <w:rPr>
      <w:rFonts w:ascii="Arial" w:hAnsi="Arial" w:cs="Arial"/>
      <w:b/>
      <w:bCs/>
      <w:kern w:val="28"/>
      <w:sz w:val="32"/>
      <w:szCs w:val="32"/>
    </w:rPr>
  </w:style>
  <w:style w:type="paragraph" w:customStyle="1" w:styleId="206">
    <w:name w:val="样式5"/>
    <w:qFormat/>
    <w:uiPriority w:val="99"/>
    <w:pPr>
      <w:snapToGrid w:val="0"/>
      <w:spacing w:before="160" w:after="40"/>
      <w:jc w:val="center"/>
    </w:pPr>
    <w:rPr>
      <w:rFonts w:ascii="Times New Roman" w:hAnsi="Times New Roman" w:eastAsia="宋体" w:cs="宋体"/>
      <w:kern w:val="2"/>
      <w:sz w:val="18"/>
      <w:lang w:val="en-US" w:eastAsia="zh-CN" w:bidi="ar-SA"/>
    </w:rPr>
  </w:style>
  <w:style w:type="paragraph" w:customStyle="1" w:styleId="207">
    <w:name w:val="HTML 预设格式1"/>
    <w:basedOn w:val="1"/>
    <w:qFormat/>
    <w:uiPriority w:val="99"/>
    <w:rPr>
      <w:rFonts w:ascii="Courier New" w:hAnsi="Courier New" w:cs="Courier New"/>
      <w:sz w:val="20"/>
      <w:szCs w:val="20"/>
    </w:rPr>
  </w:style>
  <w:style w:type="paragraph" w:customStyle="1" w:styleId="208">
    <w:name w:val="HTML 地址1"/>
    <w:basedOn w:val="1"/>
    <w:qFormat/>
    <w:uiPriority w:val="99"/>
    <w:rPr>
      <w:rFonts w:ascii="Times New Roman" w:hAnsi="Times New Roman"/>
      <w:i/>
      <w:iCs/>
      <w:szCs w:val="24"/>
    </w:rPr>
  </w:style>
  <w:style w:type="paragraph" w:customStyle="1" w:styleId="209">
    <w:name w:val="列表1"/>
    <w:basedOn w:val="1"/>
    <w:qFormat/>
    <w:uiPriority w:val="99"/>
    <w:pPr>
      <w:ind w:left="420" w:hanging="420"/>
    </w:pPr>
    <w:rPr>
      <w:rFonts w:ascii="Times New Roman" w:hAnsi="Times New Roman"/>
      <w:szCs w:val="24"/>
    </w:rPr>
  </w:style>
  <w:style w:type="paragraph" w:customStyle="1" w:styleId="210">
    <w:name w:val="结束语1"/>
    <w:basedOn w:val="1"/>
    <w:qFormat/>
    <w:uiPriority w:val="99"/>
    <w:pPr>
      <w:ind w:left="4320"/>
    </w:pPr>
    <w:rPr>
      <w:rFonts w:ascii="Times New Roman" w:hAnsi="Times New Roman"/>
      <w:szCs w:val="24"/>
    </w:rPr>
  </w:style>
  <w:style w:type="character" w:customStyle="1" w:styleId="211">
    <w:name w:val="尾注文本 字符"/>
    <w:link w:val="33"/>
    <w:qFormat/>
    <w:uiPriority w:val="99"/>
    <w:rPr>
      <w:rFonts w:ascii="楷体_GB2312" w:hAnsi="Times New Roman" w:eastAsia="楷体_GB2312"/>
      <w:sz w:val="28"/>
    </w:rPr>
  </w:style>
  <w:style w:type="paragraph" w:customStyle="1" w:styleId="212">
    <w:name w:val="电子邮件签名1"/>
    <w:basedOn w:val="1"/>
    <w:qFormat/>
    <w:uiPriority w:val="99"/>
    <w:rPr>
      <w:rFonts w:ascii="Times New Roman" w:hAnsi="Times New Roman"/>
      <w:szCs w:val="24"/>
    </w:rPr>
  </w:style>
  <w:style w:type="paragraph" w:customStyle="1" w:styleId="213">
    <w:name w:val="列表 31"/>
    <w:basedOn w:val="1"/>
    <w:qFormat/>
    <w:uiPriority w:val="99"/>
    <w:pPr>
      <w:ind w:left="1260" w:hanging="420"/>
    </w:pPr>
    <w:rPr>
      <w:rFonts w:ascii="Times New Roman" w:hAnsi="Times New Roman"/>
      <w:szCs w:val="24"/>
    </w:rPr>
  </w:style>
  <w:style w:type="paragraph" w:customStyle="1" w:styleId="214">
    <w:name w:val="列表接续 41"/>
    <w:basedOn w:val="1"/>
    <w:qFormat/>
    <w:uiPriority w:val="99"/>
    <w:pPr>
      <w:spacing w:after="120"/>
      <w:ind w:left="1680"/>
    </w:pPr>
    <w:rPr>
      <w:rFonts w:ascii="Times New Roman" w:hAnsi="Times New Roman"/>
      <w:szCs w:val="24"/>
    </w:rPr>
  </w:style>
  <w:style w:type="paragraph" w:customStyle="1" w:styleId="215">
    <w:name w:val="收信人地址1"/>
    <w:basedOn w:val="1"/>
    <w:qFormat/>
    <w:uiPriority w:val="99"/>
    <w:pPr>
      <w:snapToGrid w:val="0"/>
      <w:ind w:left="2880"/>
    </w:pPr>
    <w:rPr>
      <w:rFonts w:ascii="Arial" w:hAnsi="Arial" w:cs="Arial"/>
      <w:sz w:val="24"/>
      <w:szCs w:val="24"/>
    </w:rPr>
  </w:style>
  <w:style w:type="paragraph" w:customStyle="1" w:styleId="216">
    <w:name w:val="样式 样式 标题 2 + 段前: 0.5 行 段后: 0.5 行 + 首行缩进:  2 字符 段前: 0.5 行 段后: 0..."/>
    <w:basedOn w:val="1"/>
    <w:qFormat/>
    <w:uiPriority w:val="99"/>
    <w:pPr>
      <w:keepNext/>
      <w:keepLines/>
      <w:topLinePunct/>
      <w:adjustRightInd w:val="0"/>
      <w:spacing w:beforeLines="50" w:afterLines="50"/>
      <w:jc w:val="left"/>
      <w:outlineLvl w:val="1"/>
    </w:pPr>
    <w:rPr>
      <w:rFonts w:ascii="Times New Roman" w:hAnsi="Times New Roman" w:eastAsia="黑体"/>
      <w:kern w:val="0"/>
      <w:szCs w:val="21"/>
    </w:rPr>
  </w:style>
  <w:style w:type="paragraph" w:customStyle="1" w:styleId="217">
    <w:name w:val="批注主题1"/>
    <w:basedOn w:val="19"/>
    <w:next w:val="19"/>
    <w:qFormat/>
    <w:uiPriority w:val="99"/>
    <w:pPr>
      <w:topLinePunct/>
      <w:adjustRightInd w:val="0"/>
      <w:spacing w:line="312" w:lineRule="atLeast"/>
      <w:textAlignment w:val="baseline"/>
    </w:pPr>
    <w:rPr>
      <w:rFonts w:ascii="Times New Roman" w:hAnsi="Times New Roman"/>
      <w:b/>
      <w:bCs/>
      <w:kern w:val="44"/>
      <w:szCs w:val="21"/>
    </w:rPr>
  </w:style>
  <w:style w:type="paragraph" w:customStyle="1" w:styleId="218">
    <w:name w:val="xl24"/>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Times New Roman" w:hAnsi="Times New Roman"/>
      <w:kern w:val="0"/>
      <w:sz w:val="16"/>
      <w:szCs w:val="16"/>
    </w:rPr>
  </w:style>
  <w:style w:type="paragraph" w:customStyle="1" w:styleId="219">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16"/>
      <w:szCs w:val="16"/>
    </w:rPr>
  </w:style>
  <w:style w:type="paragraph" w:customStyle="1" w:styleId="220">
    <w:name w:val="xl29"/>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221">
    <w:name w:val="xl33"/>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22">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23">
    <w:name w:val="xl41"/>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24">
    <w:name w:val="xl45"/>
    <w:basedOn w:val="1"/>
    <w:qFormat/>
    <w:uiPriority w:val="99"/>
    <w:pPr>
      <w:widowControl/>
      <w:pBdr>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25">
    <w:name w:val="xl49"/>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Times New Roman" w:hAnsi="Times New Roman"/>
      <w:kern w:val="0"/>
      <w:sz w:val="16"/>
      <w:szCs w:val="16"/>
    </w:rPr>
  </w:style>
  <w:style w:type="paragraph" w:customStyle="1" w:styleId="226">
    <w:name w:val="xl5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0"/>
      <w:szCs w:val="20"/>
    </w:rPr>
  </w:style>
  <w:style w:type="paragraph" w:customStyle="1" w:styleId="227">
    <w:name w:val="xl139"/>
    <w:basedOn w:val="1"/>
    <w:qFormat/>
    <w:uiPriority w:val="99"/>
    <w:pPr>
      <w:widowControl/>
      <w:pBdr>
        <w:left w:val="single" w:color="auto" w:sz="8" w:space="0"/>
      </w:pBdr>
      <w:spacing w:before="100" w:beforeAutospacing="1" w:after="100" w:afterAutospacing="1"/>
      <w:jc w:val="center"/>
      <w:textAlignment w:val="center"/>
    </w:pPr>
    <w:rPr>
      <w:rFonts w:ascii="Arial" w:hAnsi="Arial" w:cs="Arial"/>
      <w:b/>
      <w:bCs/>
      <w:kern w:val="0"/>
      <w:sz w:val="24"/>
      <w:szCs w:val="24"/>
    </w:rPr>
  </w:style>
  <w:style w:type="paragraph" w:customStyle="1" w:styleId="228">
    <w:name w:val="样式 wang正文 + 首行缩进:  2 字符1"/>
    <w:basedOn w:val="169"/>
    <w:qFormat/>
    <w:uiPriority w:val="99"/>
    <w:pPr>
      <w:topLinePunct w:val="0"/>
      <w:autoSpaceDE w:val="0"/>
      <w:autoSpaceDN w:val="0"/>
      <w:adjustRightInd w:val="0"/>
      <w:ind w:firstLine="640" w:firstLineChars="200"/>
      <w:jc w:val="left"/>
      <w:textAlignment w:val="baseline"/>
    </w:pPr>
    <w:rPr>
      <w:rFonts w:cs="宋体"/>
      <w:sz w:val="24"/>
    </w:rPr>
  </w:style>
  <w:style w:type="paragraph" w:customStyle="1" w:styleId="229">
    <w:name w:val="Z"/>
    <w:basedOn w:val="1"/>
    <w:qFormat/>
    <w:uiPriority w:val="99"/>
    <w:pPr>
      <w:topLinePunct/>
      <w:ind w:right="210" w:rightChars="100" w:firstLine="360" w:firstLineChars="200"/>
    </w:pPr>
    <w:rPr>
      <w:rFonts w:ascii="Times New Roman" w:hAnsi="宋体"/>
      <w:color w:val="000000"/>
      <w:sz w:val="18"/>
      <w:szCs w:val="18"/>
    </w:rPr>
  </w:style>
  <w:style w:type="paragraph" w:customStyle="1" w:styleId="230">
    <w:name w:val="p18"/>
    <w:basedOn w:val="1"/>
    <w:qFormat/>
    <w:uiPriority w:val="99"/>
    <w:pPr>
      <w:widowControl/>
      <w:spacing w:line="300" w:lineRule="atLeast"/>
    </w:pPr>
    <w:rPr>
      <w:rFonts w:ascii="EU-F1" w:hAnsi="宋体" w:eastAsia="EU-F1" w:cs="宋体"/>
      <w:kern w:val="0"/>
      <w:szCs w:val="21"/>
    </w:rPr>
  </w:style>
  <w:style w:type="paragraph" w:customStyle="1" w:styleId="231">
    <w:name w:val="列表 51"/>
    <w:basedOn w:val="1"/>
    <w:qFormat/>
    <w:uiPriority w:val="99"/>
    <w:pPr>
      <w:ind w:left="2100" w:hanging="420"/>
    </w:pPr>
    <w:rPr>
      <w:rFonts w:ascii="Times New Roman" w:hAnsi="Times New Roman"/>
      <w:szCs w:val="24"/>
    </w:rPr>
  </w:style>
  <w:style w:type="paragraph" w:customStyle="1" w:styleId="232">
    <w:name w:val="列表编号 41"/>
    <w:basedOn w:val="1"/>
    <w:qFormat/>
    <w:uiPriority w:val="99"/>
    <w:pPr>
      <w:numPr>
        <w:ilvl w:val="0"/>
        <w:numId w:val="12"/>
      </w:numPr>
      <w:tabs>
        <w:tab w:val="left" w:pos="1620"/>
      </w:tabs>
    </w:pPr>
    <w:rPr>
      <w:rFonts w:ascii="Times New Roman" w:hAnsi="Times New Roman"/>
      <w:szCs w:val="24"/>
    </w:rPr>
  </w:style>
  <w:style w:type="paragraph" w:customStyle="1" w:styleId="233">
    <w:name w:val="文本块1"/>
    <w:basedOn w:val="1"/>
    <w:qFormat/>
    <w:uiPriority w:val="99"/>
    <w:pPr>
      <w:spacing w:after="120"/>
      <w:ind w:left="1440" w:right="1440"/>
    </w:pPr>
    <w:rPr>
      <w:rFonts w:ascii="Times New Roman" w:hAnsi="Times New Roman"/>
      <w:szCs w:val="24"/>
    </w:rPr>
  </w:style>
  <w:style w:type="paragraph" w:customStyle="1" w:styleId="234">
    <w:name w:val="正文首行缩进1"/>
    <w:basedOn w:val="4"/>
    <w:qFormat/>
    <w:uiPriority w:val="99"/>
    <w:pPr>
      <w:ind w:firstLine="420"/>
    </w:pPr>
  </w:style>
  <w:style w:type="paragraph" w:customStyle="1" w:styleId="235">
    <w:name w:val="正文文本 21"/>
    <w:basedOn w:val="1"/>
    <w:qFormat/>
    <w:uiPriority w:val="99"/>
    <w:pPr>
      <w:spacing w:after="120" w:line="480" w:lineRule="auto"/>
    </w:pPr>
    <w:rPr>
      <w:rFonts w:ascii="Times New Roman" w:hAnsi="Times New Roman"/>
      <w:szCs w:val="24"/>
    </w:rPr>
  </w:style>
  <w:style w:type="paragraph" w:customStyle="1" w:styleId="236">
    <w:name w:val="注释标题1"/>
    <w:basedOn w:val="1"/>
    <w:next w:val="1"/>
    <w:qFormat/>
    <w:uiPriority w:val="99"/>
    <w:pPr>
      <w:jc w:val="center"/>
    </w:pPr>
    <w:rPr>
      <w:rFonts w:ascii="Times New Roman" w:hAnsi="Times New Roman"/>
      <w:szCs w:val="24"/>
    </w:rPr>
  </w:style>
  <w:style w:type="paragraph" w:customStyle="1" w:styleId="237">
    <w:name w:val="表文"/>
    <w:basedOn w:val="1"/>
    <w:qFormat/>
    <w:uiPriority w:val="99"/>
    <w:pPr>
      <w:topLinePunct/>
      <w:spacing w:before="40" w:after="40"/>
    </w:pPr>
    <w:rPr>
      <w:rFonts w:ascii="Times New Roman" w:hAnsi="Times New Roman"/>
      <w:sz w:val="18"/>
      <w:szCs w:val="18"/>
    </w:rPr>
  </w:style>
  <w:style w:type="paragraph" w:customStyle="1" w:styleId="238">
    <w:name w:val="B"/>
    <w:basedOn w:val="91"/>
    <w:link w:val="326"/>
    <w:qFormat/>
    <w:uiPriority w:val="0"/>
    <w:pPr>
      <w:tabs>
        <w:tab w:val="center" w:pos="4706"/>
        <w:tab w:val="right" w:pos="9044"/>
      </w:tabs>
      <w:spacing w:line="312" w:lineRule="exact"/>
    </w:pPr>
    <w:rPr>
      <w:rFonts w:ascii="E-F1" w:hAnsi="Times New Roman"/>
      <w:szCs w:val="21"/>
    </w:rPr>
  </w:style>
  <w:style w:type="paragraph" w:customStyle="1" w:styleId="239">
    <w:name w:val="封面标准英文名称"/>
    <w:qFormat/>
    <w:uiPriority w:val="99"/>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40">
    <w:name w:val="Char3"/>
    <w:basedOn w:val="1"/>
    <w:qFormat/>
    <w:uiPriority w:val="99"/>
    <w:rPr>
      <w:rFonts w:ascii="宋体" w:hAnsi="宋体"/>
      <w:b/>
      <w:color w:val="000000"/>
      <w:sz w:val="24"/>
      <w:szCs w:val="24"/>
    </w:rPr>
  </w:style>
  <w:style w:type="paragraph" w:customStyle="1" w:styleId="241">
    <w:name w:val="_列表编号1"/>
    <w:basedOn w:val="15"/>
    <w:qFormat/>
    <w:uiPriority w:val="99"/>
    <w:pPr>
      <w:widowControl/>
      <w:tabs>
        <w:tab w:val="left" w:pos="800"/>
      </w:tabs>
      <w:snapToGrid w:val="0"/>
      <w:spacing w:line="276" w:lineRule="auto"/>
      <w:ind w:left="800" w:hanging="400"/>
    </w:pPr>
    <w:rPr>
      <w:rFonts w:ascii="Arial" w:hAnsi="Arial"/>
      <w:kern w:val="0"/>
      <w:szCs w:val="18"/>
    </w:rPr>
  </w:style>
  <w:style w:type="paragraph" w:customStyle="1" w:styleId="242">
    <w:name w:val="001"/>
    <w:basedOn w:val="243"/>
    <w:qFormat/>
    <w:uiPriority w:val="99"/>
  </w:style>
  <w:style w:type="paragraph" w:customStyle="1" w:styleId="243">
    <w:name w:val="00"/>
    <w:basedOn w:val="1"/>
    <w:qFormat/>
    <w:uiPriority w:val="99"/>
    <w:pPr>
      <w:overflowPunct w:val="0"/>
      <w:topLinePunct/>
      <w:spacing w:line="312" w:lineRule="exact"/>
    </w:pPr>
    <w:rPr>
      <w:rFonts w:ascii="Times New Roman" w:hAnsi="Times New Roman"/>
      <w:szCs w:val="24"/>
    </w:rPr>
  </w:style>
  <w:style w:type="paragraph" w:customStyle="1" w:styleId="244">
    <w:name w:val="列表编号 21"/>
    <w:basedOn w:val="1"/>
    <w:qFormat/>
    <w:uiPriority w:val="99"/>
    <w:pPr>
      <w:numPr>
        <w:ilvl w:val="0"/>
        <w:numId w:val="13"/>
      </w:numPr>
      <w:tabs>
        <w:tab w:val="left" w:pos="780"/>
      </w:tabs>
    </w:pPr>
    <w:rPr>
      <w:rFonts w:ascii="Times New Roman" w:hAnsi="Times New Roman"/>
      <w:szCs w:val="24"/>
    </w:rPr>
  </w:style>
  <w:style w:type="paragraph" w:customStyle="1" w:styleId="245">
    <w:name w:val="签名1"/>
    <w:basedOn w:val="1"/>
    <w:qFormat/>
    <w:uiPriority w:val="99"/>
    <w:pPr>
      <w:ind w:left="4320"/>
    </w:pPr>
    <w:rPr>
      <w:rFonts w:ascii="Times New Roman" w:hAnsi="Times New Roman"/>
      <w:szCs w:val="24"/>
    </w:rPr>
  </w:style>
  <w:style w:type="paragraph" w:customStyle="1" w:styleId="246">
    <w:name w:val="正文首行缩进 21"/>
    <w:basedOn w:val="247"/>
    <w:qFormat/>
    <w:uiPriority w:val="99"/>
    <w:pPr>
      <w:ind w:firstLine="420"/>
    </w:pPr>
  </w:style>
  <w:style w:type="paragraph" w:customStyle="1" w:styleId="247">
    <w:name w:val="正文文本缩进1"/>
    <w:basedOn w:val="1"/>
    <w:qFormat/>
    <w:uiPriority w:val="99"/>
    <w:pPr>
      <w:spacing w:after="120"/>
      <w:ind w:left="420"/>
    </w:pPr>
    <w:rPr>
      <w:rFonts w:ascii="Times New Roman" w:hAnsi="Times New Roman"/>
      <w:szCs w:val="24"/>
    </w:rPr>
  </w:style>
  <w:style w:type="paragraph" w:customStyle="1" w:styleId="248">
    <w:name w:val="正文文本缩进 31"/>
    <w:basedOn w:val="1"/>
    <w:qFormat/>
    <w:uiPriority w:val="99"/>
    <w:pPr>
      <w:spacing w:after="120"/>
      <w:ind w:left="420"/>
    </w:pPr>
    <w:rPr>
      <w:rFonts w:ascii="Times New Roman" w:hAnsi="Times New Roman"/>
      <w:sz w:val="16"/>
      <w:szCs w:val="16"/>
    </w:rPr>
  </w:style>
  <w:style w:type="paragraph" w:customStyle="1" w:styleId="249">
    <w:name w:val="样式 Arial 首行缩进:  2 字符"/>
    <w:basedOn w:val="1"/>
    <w:qFormat/>
    <w:uiPriority w:val="99"/>
    <w:pPr>
      <w:topLinePunct/>
      <w:ind w:firstLine="403" w:firstLineChars="200"/>
    </w:pPr>
    <w:rPr>
      <w:rFonts w:ascii="Times New Roman" w:hAnsi="Times New Roman"/>
      <w:szCs w:val="21"/>
    </w:rPr>
  </w:style>
  <w:style w:type="paragraph" w:customStyle="1" w:styleId="250">
    <w:name w:val="节小标题"/>
    <w:basedOn w:val="11"/>
    <w:qFormat/>
    <w:uiPriority w:val="99"/>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251">
    <w:name w:val="索引 11"/>
    <w:basedOn w:val="1"/>
    <w:next w:val="1"/>
    <w:qFormat/>
    <w:uiPriority w:val="99"/>
    <w:rPr>
      <w:rFonts w:ascii="Times New Roman" w:hAnsi="Times New Roman"/>
      <w:szCs w:val="24"/>
    </w:rPr>
  </w:style>
  <w:style w:type="paragraph" w:customStyle="1" w:styleId="252">
    <w:name w:val="font6"/>
    <w:basedOn w:val="1"/>
    <w:qFormat/>
    <w:uiPriority w:val="99"/>
    <w:pPr>
      <w:widowControl/>
      <w:spacing w:before="100" w:beforeAutospacing="1" w:after="100" w:afterAutospacing="1"/>
      <w:jc w:val="left"/>
    </w:pPr>
    <w:rPr>
      <w:rFonts w:hint="eastAsia" w:ascii="宋体" w:hAnsi="宋体"/>
      <w:color w:val="000000"/>
      <w:kern w:val="0"/>
      <w:sz w:val="20"/>
      <w:szCs w:val="20"/>
    </w:rPr>
  </w:style>
  <w:style w:type="paragraph" w:customStyle="1" w:styleId="253">
    <w:name w:val="03"/>
    <w:basedOn w:val="187"/>
    <w:qFormat/>
    <w:uiPriority w:val="99"/>
    <w:pPr>
      <w:overflowPunct w:val="0"/>
      <w:topLinePunct/>
      <w:snapToGrid/>
      <w:spacing w:line="240" w:lineRule="auto"/>
      <w:ind w:firstLine="867" w:firstLineChars="413"/>
    </w:pPr>
  </w:style>
  <w:style w:type="paragraph" w:customStyle="1" w:styleId="254">
    <w:name w:val="a"/>
    <w:basedOn w:val="1"/>
    <w:qFormat/>
    <w:uiPriority w:val="99"/>
    <w:pPr>
      <w:keepNext/>
      <w:keepLines/>
      <w:numPr>
        <w:ilvl w:val="0"/>
        <w:numId w:val="14"/>
      </w:numPr>
      <w:tabs>
        <w:tab w:val="left" w:pos="210"/>
        <w:tab w:val="left" w:pos="425"/>
      </w:tabs>
      <w:spacing w:before="50" w:after="50"/>
      <w:outlineLvl w:val="0"/>
    </w:pPr>
    <w:rPr>
      <w:rFonts w:ascii="宋体" w:hAnsi="宋体" w:eastAsia="黑体"/>
      <w:kern w:val="0"/>
      <w:sz w:val="30"/>
      <w:szCs w:val="20"/>
    </w:rPr>
  </w:style>
  <w:style w:type="paragraph" w:customStyle="1" w:styleId="255">
    <w:name w:val="列表编号 31"/>
    <w:basedOn w:val="1"/>
    <w:qFormat/>
    <w:uiPriority w:val="99"/>
    <w:pPr>
      <w:numPr>
        <w:ilvl w:val="0"/>
        <w:numId w:val="15"/>
      </w:numPr>
      <w:tabs>
        <w:tab w:val="left" w:pos="1200"/>
      </w:tabs>
    </w:pPr>
    <w:rPr>
      <w:rFonts w:ascii="Times New Roman" w:hAnsi="Times New Roman"/>
      <w:szCs w:val="24"/>
    </w:rPr>
  </w:style>
  <w:style w:type="paragraph" w:customStyle="1" w:styleId="256">
    <w:name w:val="日期1"/>
    <w:basedOn w:val="1"/>
    <w:next w:val="1"/>
    <w:qFormat/>
    <w:uiPriority w:val="99"/>
    <w:rPr>
      <w:rFonts w:ascii="Times New Roman" w:hAnsi="Times New Roman"/>
      <w:szCs w:val="24"/>
    </w:rPr>
  </w:style>
  <w:style w:type="paragraph" w:customStyle="1" w:styleId="257">
    <w:name w:val="正文缩进2"/>
    <w:basedOn w:val="1"/>
    <w:qFormat/>
    <w:uiPriority w:val="99"/>
    <w:pPr>
      <w:ind w:firstLine="420"/>
    </w:pPr>
    <w:rPr>
      <w:rFonts w:ascii="Times New Roman" w:hAnsi="Times New Roman"/>
      <w:szCs w:val="24"/>
    </w:rPr>
  </w:style>
  <w:style w:type="paragraph" w:customStyle="1" w:styleId="258">
    <w:name w:val="Char1"/>
    <w:basedOn w:val="1"/>
    <w:qFormat/>
    <w:uiPriority w:val="99"/>
    <w:pPr>
      <w:topLinePunct/>
    </w:pPr>
    <w:rPr>
      <w:rFonts w:ascii="Times New Roman" w:hAnsi="Times New Roman"/>
      <w:szCs w:val="21"/>
    </w:rPr>
  </w:style>
  <w:style w:type="paragraph" w:customStyle="1" w:styleId="259">
    <w:name w:val="样式 标题 1 + 首行缩进:  2 字符 段前: 1 行 段后: 1 行"/>
    <w:basedOn w:val="2"/>
    <w:qFormat/>
    <w:uiPriority w:val="99"/>
    <w:pPr>
      <w:topLinePunct/>
      <w:spacing w:beforeLines="100" w:afterLines="100" w:line="240" w:lineRule="auto"/>
    </w:pPr>
    <w:rPr>
      <w:rFonts w:ascii="Times New Roman" w:hAnsi="Times New Roman" w:eastAsia="黑体"/>
      <w:b w:val="0"/>
      <w:bCs w:val="0"/>
      <w:sz w:val="21"/>
      <w:szCs w:val="28"/>
    </w:rPr>
  </w:style>
  <w:style w:type="paragraph" w:customStyle="1" w:styleId="260">
    <w:name w:val="索引标题1"/>
    <w:basedOn w:val="1"/>
    <w:next w:val="251"/>
    <w:qFormat/>
    <w:uiPriority w:val="99"/>
    <w:pPr>
      <w:adjustRightInd w:val="0"/>
      <w:spacing w:line="490" w:lineRule="exact"/>
      <w:ind w:firstLine="556"/>
      <w:textAlignment w:val="baseline"/>
    </w:pPr>
    <w:rPr>
      <w:rFonts w:ascii="Times New Roman" w:hAnsi="Times New Roman" w:eastAsia="仿宋_GB2312"/>
      <w:kern w:val="0"/>
      <w:sz w:val="28"/>
      <w:szCs w:val="20"/>
    </w:rPr>
  </w:style>
  <w:style w:type="paragraph" w:customStyle="1" w:styleId="261">
    <w:name w:val="font7"/>
    <w:basedOn w:val="1"/>
    <w:qFormat/>
    <w:uiPriority w:val="99"/>
    <w:pPr>
      <w:widowControl/>
      <w:spacing w:before="100" w:beforeAutospacing="1" w:after="100" w:afterAutospacing="1"/>
      <w:jc w:val="left"/>
    </w:pPr>
    <w:rPr>
      <w:rFonts w:ascii="Times New Roman" w:hAnsi="Times New Roman"/>
      <w:color w:val="000000"/>
      <w:kern w:val="0"/>
      <w:sz w:val="20"/>
      <w:szCs w:val="20"/>
    </w:rPr>
  </w:style>
  <w:style w:type="paragraph" w:customStyle="1" w:styleId="262">
    <w:name w:val="图表目录1"/>
    <w:basedOn w:val="1"/>
    <w:next w:val="1"/>
    <w:qFormat/>
    <w:uiPriority w:val="99"/>
    <w:pPr>
      <w:ind w:left="200" w:leftChars="200" w:hanging="200" w:hangingChars="200"/>
    </w:pPr>
    <w:rPr>
      <w:rFonts w:ascii="Times New Roman" w:hAnsi="Times New Roman"/>
      <w:szCs w:val="24"/>
    </w:rPr>
  </w:style>
  <w:style w:type="paragraph" w:customStyle="1" w:styleId="263">
    <w:name w:val="正文标题1"/>
    <w:basedOn w:val="1"/>
    <w:next w:val="1"/>
    <w:qFormat/>
    <w:uiPriority w:val="99"/>
    <w:pPr>
      <w:tabs>
        <w:tab w:val="left" w:pos="360"/>
      </w:tabs>
      <w:spacing w:before="120" w:after="120"/>
    </w:pPr>
    <w:rPr>
      <w:rFonts w:ascii="Times New Roman" w:hAnsi="Times New Roman"/>
      <w:b/>
      <w:sz w:val="32"/>
      <w:szCs w:val="20"/>
    </w:rPr>
  </w:style>
  <w:style w:type="paragraph" w:customStyle="1" w:styleId="264">
    <w:name w:val="Char Char1 Char Char Char"/>
    <w:basedOn w:val="265"/>
    <w:qFormat/>
    <w:uiPriority w:val="99"/>
    <w:rPr>
      <w:rFonts w:ascii="Tahoma" w:hAnsi="Tahoma"/>
      <w:sz w:val="24"/>
    </w:rPr>
  </w:style>
  <w:style w:type="paragraph" w:customStyle="1" w:styleId="265">
    <w:name w:val="文档结构图1"/>
    <w:basedOn w:val="1"/>
    <w:qFormat/>
    <w:uiPriority w:val="99"/>
    <w:pPr>
      <w:shd w:val="clear" w:color="auto" w:fill="000080"/>
    </w:pPr>
    <w:rPr>
      <w:rFonts w:ascii="Times New Roman" w:hAnsi="Times New Roman"/>
      <w:szCs w:val="24"/>
    </w:rPr>
  </w:style>
  <w:style w:type="paragraph" w:customStyle="1" w:styleId="266">
    <w:name w:val="_标准条文"/>
    <w:basedOn w:val="1"/>
    <w:qFormat/>
    <w:uiPriority w:val="99"/>
    <w:pPr>
      <w:overflowPunct w:val="0"/>
      <w:snapToGrid w:val="0"/>
      <w:spacing w:line="276" w:lineRule="auto"/>
      <w:ind w:firstLine="420" w:firstLineChars="200"/>
    </w:pPr>
    <w:rPr>
      <w:rFonts w:ascii="Arial" w:hAnsi="Arial" w:cs="宋体"/>
      <w:szCs w:val="20"/>
    </w:rPr>
  </w:style>
  <w:style w:type="paragraph" w:customStyle="1" w:styleId="267">
    <w:name w:val="_表格条文"/>
    <w:basedOn w:val="1"/>
    <w:qFormat/>
    <w:uiPriority w:val="99"/>
    <w:pPr>
      <w:spacing w:line="276" w:lineRule="auto"/>
    </w:pPr>
    <w:rPr>
      <w:rFonts w:ascii="Arial" w:hAnsi="Arial"/>
      <w:color w:val="000000"/>
      <w:sz w:val="18"/>
      <w:szCs w:val="21"/>
    </w:rPr>
  </w:style>
  <w:style w:type="paragraph" w:customStyle="1" w:styleId="268">
    <w:name w:val="02"/>
    <w:basedOn w:val="187"/>
    <w:qFormat/>
    <w:uiPriority w:val="99"/>
    <w:pPr>
      <w:overflowPunct w:val="0"/>
      <w:topLinePunct/>
      <w:snapToGrid/>
      <w:spacing w:line="240" w:lineRule="auto"/>
      <w:ind w:left="867" w:leftChars="200" w:hanging="447" w:hangingChars="213"/>
    </w:pPr>
    <w:rPr>
      <w:rFonts w:hAnsi="Times New Roman"/>
    </w:rPr>
  </w:style>
  <w:style w:type="paragraph" w:customStyle="1" w:styleId="269">
    <w:name w:val="V"/>
    <w:basedOn w:val="238"/>
    <w:qFormat/>
    <w:uiPriority w:val="99"/>
  </w:style>
  <w:style w:type="paragraph" w:customStyle="1" w:styleId="270">
    <w:name w:val="p20"/>
    <w:basedOn w:val="1"/>
    <w:qFormat/>
    <w:uiPriority w:val="99"/>
    <w:pPr>
      <w:widowControl/>
      <w:topLinePunct/>
      <w:spacing w:line="300" w:lineRule="atLeast"/>
    </w:pPr>
    <w:rPr>
      <w:rFonts w:ascii="Times New Roman" w:hAnsi="Times New Roman"/>
      <w:kern w:val="0"/>
      <w:szCs w:val="21"/>
    </w:rPr>
  </w:style>
  <w:style w:type="paragraph" w:customStyle="1" w:styleId="271">
    <w:name w:val="列表接续1"/>
    <w:basedOn w:val="1"/>
    <w:qFormat/>
    <w:uiPriority w:val="99"/>
    <w:pPr>
      <w:spacing w:after="120"/>
      <w:ind w:left="420"/>
    </w:pPr>
    <w:rPr>
      <w:rFonts w:ascii="Times New Roman" w:hAnsi="Times New Roman"/>
      <w:szCs w:val="24"/>
    </w:rPr>
  </w:style>
  <w:style w:type="paragraph" w:customStyle="1" w:styleId="272">
    <w:name w:val="列表编号 51"/>
    <w:basedOn w:val="1"/>
    <w:qFormat/>
    <w:uiPriority w:val="99"/>
    <w:pPr>
      <w:numPr>
        <w:ilvl w:val="0"/>
        <w:numId w:val="16"/>
      </w:numPr>
      <w:tabs>
        <w:tab w:val="left" w:pos="2040"/>
      </w:tabs>
    </w:pPr>
    <w:rPr>
      <w:rFonts w:ascii="Times New Roman" w:hAnsi="Times New Roman"/>
      <w:szCs w:val="24"/>
    </w:rPr>
  </w:style>
  <w:style w:type="paragraph" w:customStyle="1" w:styleId="273">
    <w:name w:val="正文文本 31"/>
    <w:basedOn w:val="1"/>
    <w:qFormat/>
    <w:uiPriority w:val="99"/>
    <w:pPr>
      <w:spacing w:after="120"/>
    </w:pPr>
    <w:rPr>
      <w:rFonts w:ascii="Times New Roman" w:hAnsi="Times New Roman"/>
      <w:sz w:val="16"/>
      <w:szCs w:val="16"/>
    </w:rPr>
  </w:style>
  <w:style w:type="paragraph" w:customStyle="1" w:styleId="274">
    <w:name w:val="样式7"/>
    <w:basedOn w:val="1"/>
    <w:qFormat/>
    <w:uiPriority w:val="99"/>
    <w:pPr>
      <w:snapToGrid w:val="0"/>
    </w:pPr>
    <w:rPr>
      <w:rFonts w:ascii="Times New Roman" w:hAnsi="Times New Roman"/>
      <w:szCs w:val="24"/>
    </w:rPr>
  </w:style>
  <w:style w:type="paragraph" w:customStyle="1" w:styleId="275">
    <w:name w:val="样式 首行缩进:  0 厘米 行距: 单倍行距 Char"/>
    <w:basedOn w:val="1"/>
    <w:qFormat/>
    <w:uiPriority w:val="99"/>
    <w:pPr>
      <w:topLinePunct/>
      <w:adjustRightInd w:val="0"/>
      <w:textAlignment w:val="baseline"/>
    </w:pPr>
    <w:rPr>
      <w:rFonts w:ascii="Times New Roman" w:hAnsi="Times New Roman"/>
      <w:kern w:val="0"/>
      <w:szCs w:val="21"/>
    </w:rPr>
  </w:style>
  <w:style w:type="paragraph" w:customStyle="1" w:styleId="276">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277">
    <w:name w:val="p82"/>
    <w:basedOn w:val="1"/>
    <w:qFormat/>
    <w:uiPriority w:val="99"/>
    <w:pPr>
      <w:widowControl/>
      <w:tabs>
        <w:tab w:val="left" w:pos="460"/>
      </w:tabs>
      <w:overflowPunct w:val="0"/>
      <w:autoSpaceDE w:val="0"/>
      <w:autoSpaceDN w:val="0"/>
      <w:adjustRightInd w:val="0"/>
      <w:spacing w:line="320" w:lineRule="atLeast"/>
      <w:textAlignment w:val="baseline"/>
    </w:pPr>
    <w:rPr>
      <w:rFonts w:ascii="Times New Roman" w:hAnsi="Times New Roman"/>
      <w:kern w:val="0"/>
      <w:sz w:val="24"/>
      <w:szCs w:val="20"/>
    </w:rPr>
  </w:style>
  <w:style w:type="paragraph" w:customStyle="1" w:styleId="278">
    <w:name w:val="０１"/>
    <w:basedOn w:val="164"/>
    <w:qFormat/>
    <w:uiPriority w:val="99"/>
  </w:style>
  <w:style w:type="paragraph" w:customStyle="1" w:styleId="279">
    <w:name w:val="修订11"/>
    <w:qFormat/>
    <w:uiPriority w:val="99"/>
    <w:rPr>
      <w:rFonts w:ascii="Times New Roman" w:hAnsi="Times New Roman" w:eastAsia="宋体" w:cs="Times New Roman"/>
      <w:kern w:val="2"/>
      <w:sz w:val="21"/>
      <w:szCs w:val="24"/>
      <w:lang w:val="en-US" w:eastAsia="zh-CN" w:bidi="ar-SA"/>
    </w:rPr>
  </w:style>
  <w:style w:type="paragraph" w:customStyle="1" w:styleId="280">
    <w:name w:val="列表接续 21"/>
    <w:basedOn w:val="1"/>
    <w:qFormat/>
    <w:uiPriority w:val="99"/>
    <w:pPr>
      <w:spacing w:after="120"/>
      <w:ind w:left="840"/>
    </w:pPr>
    <w:rPr>
      <w:rFonts w:ascii="Times New Roman" w:hAnsi="Times New Roman"/>
      <w:szCs w:val="24"/>
    </w:rPr>
  </w:style>
  <w:style w:type="paragraph" w:customStyle="1" w:styleId="281">
    <w:name w:val="普通(网站)1"/>
    <w:basedOn w:val="1"/>
    <w:qFormat/>
    <w:uiPriority w:val="99"/>
    <w:rPr>
      <w:rFonts w:ascii="Times New Roman" w:hAnsi="Times New Roman"/>
      <w:sz w:val="24"/>
      <w:szCs w:val="24"/>
    </w:rPr>
  </w:style>
  <w:style w:type="paragraph" w:customStyle="1" w:styleId="282">
    <w:name w:val="信息标题1"/>
    <w:basedOn w:val="1"/>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szCs w:val="24"/>
    </w:rPr>
  </w:style>
  <w:style w:type="paragraph" w:customStyle="1" w:styleId="283">
    <w:name w:val="正文文本缩进 21"/>
    <w:basedOn w:val="1"/>
    <w:qFormat/>
    <w:uiPriority w:val="99"/>
    <w:pPr>
      <w:spacing w:after="120" w:line="480" w:lineRule="auto"/>
      <w:ind w:left="420"/>
    </w:pPr>
    <w:rPr>
      <w:rFonts w:ascii="Times New Roman" w:hAnsi="Times New Roman"/>
      <w:szCs w:val="24"/>
    </w:rPr>
  </w:style>
  <w:style w:type="paragraph" w:customStyle="1" w:styleId="284">
    <w:name w:val="t"/>
    <w:basedOn w:val="28"/>
    <w:qFormat/>
    <w:uiPriority w:val="99"/>
  </w:style>
  <w:style w:type="paragraph" w:customStyle="1" w:styleId="28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16"/>
      <w:szCs w:val="16"/>
    </w:rPr>
  </w:style>
  <w:style w:type="paragraph" w:customStyle="1" w:styleId="286">
    <w:name w:val="xl31"/>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Times New Roman" w:hAnsi="Times New Roman"/>
      <w:kern w:val="0"/>
      <w:sz w:val="16"/>
      <w:szCs w:val="16"/>
    </w:rPr>
  </w:style>
  <w:style w:type="paragraph" w:customStyle="1" w:styleId="287">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88">
    <w:name w:val="xl3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kern w:val="0"/>
      <w:sz w:val="16"/>
      <w:szCs w:val="16"/>
    </w:rPr>
  </w:style>
  <w:style w:type="paragraph" w:customStyle="1" w:styleId="28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90">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91">
    <w:name w:val="xl52"/>
    <w:basedOn w:val="1"/>
    <w:qFormat/>
    <w:uiPriority w:val="99"/>
    <w:pPr>
      <w:widowControl/>
      <w:pBdr>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292">
    <w:name w:val="xl5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0"/>
      <w:szCs w:val="20"/>
    </w:rPr>
  </w:style>
  <w:style w:type="paragraph" w:customStyle="1" w:styleId="293">
    <w:name w:val="样式 标题 2 + 黑体 段前: 10.25 磅 段后: 10.25 磅 行距: 单倍行距"/>
    <w:basedOn w:val="3"/>
    <w:qFormat/>
    <w:uiPriority w:val="99"/>
    <w:pPr>
      <w:adjustRightInd w:val="0"/>
      <w:spacing w:beforeLines="50" w:afterLines="50" w:line="240" w:lineRule="auto"/>
      <w:jc w:val="left"/>
      <w:textAlignment w:val="baseline"/>
    </w:pPr>
    <w:rPr>
      <w:rFonts w:ascii="黑体" w:hAnsi="黑体" w:eastAsia="黑体"/>
      <w:bCs w:val="0"/>
      <w:kern w:val="0"/>
      <w:sz w:val="21"/>
      <w:szCs w:val="20"/>
    </w:rPr>
  </w:style>
  <w:style w:type="paragraph" w:customStyle="1" w:styleId="294">
    <w:name w:val="二级标题"/>
    <w:basedOn w:val="3"/>
    <w:qFormat/>
    <w:uiPriority w:val="99"/>
    <w:pPr>
      <w:tabs>
        <w:tab w:val="left" w:pos="6840"/>
      </w:tabs>
      <w:autoSpaceDE w:val="0"/>
      <w:autoSpaceDN w:val="0"/>
      <w:adjustRightInd w:val="0"/>
      <w:spacing w:beforeLines="100" w:afterLines="50" w:line="240" w:lineRule="auto"/>
      <w:ind w:firstLine="200" w:firstLineChars="200"/>
      <w:textAlignment w:val="baseline"/>
    </w:pPr>
    <w:rPr>
      <w:rFonts w:ascii="Arial" w:hAnsi="Arial" w:eastAsia="黑体"/>
      <w:kern w:val="0"/>
      <w:sz w:val="24"/>
      <w:szCs w:val="24"/>
    </w:rPr>
  </w:style>
  <w:style w:type="paragraph" w:customStyle="1" w:styleId="295">
    <w:name w:val="名称"/>
    <w:basedOn w:val="1"/>
    <w:next w:val="68"/>
    <w:qFormat/>
    <w:uiPriority w:val="99"/>
    <w:pPr>
      <w:widowControl/>
      <w:shd w:val="clear" w:color="FFFFFF" w:fill="FFFFFF"/>
      <w:spacing w:before="640" w:after="560" w:line="460" w:lineRule="exact"/>
      <w:jc w:val="center"/>
    </w:pPr>
    <w:rPr>
      <w:rFonts w:ascii="黑体" w:hAnsi="Times New Roman" w:eastAsia="黑体"/>
      <w:b/>
      <w:kern w:val="0"/>
      <w:sz w:val="32"/>
      <w:szCs w:val="20"/>
    </w:rPr>
  </w:style>
  <w:style w:type="paragraph" w:customStyle="1" w:styleId="296">
    <w:name w:val="列表接续 31"/>
    <w:basedOn w:val="1"/>
    <w:qFormat/>
    <w:uiPriority w:val="99"/>
    <w:pPr>
      <w:spacing w:after="120"/>
      <w:ind w:left="1260"/>
    </w:pPr>
    <w:rPr>
      <w:rFonts w:ascii="Times New Roman" w:hAnsi="Times New Roman"/>
      <w:szCs w:val="24"/>
    </w:rPr>
  </w:style>
  <w:style w:type="paragraph" w:customStyle="1" w:styleId="297">
    <w:name w:val="xl50"/>
    <w:basedOn w:val="1"/>
    <w:qFormat/>
    <w:uiPriority w:val="99"/>
    <w:pPr>
      <w:widowControl/>
      <w:spacing w:before="100" w:beforeAutospacing="1" w:after="100" w:afterAutospacing="1"/>
      <w:jc w:val="center"/>
    </w:pPr>
    <w:rPr>
      <w:rFonts w:ascii="宋体" w:hAnsi="宋体"/>
      <w:kern w:val="0"/>
      <w:sz w:val="24"/>
      <w:szCs w:val="24"/>
    </w:rPr>
  </w:style>
  <w:style w:type="paragraph" w:customStyle="1" w:styleId="298">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9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16"/>
      <w:szCs w:val="16"/>
    </w:rPr>
  </w:style>
  <w:style w:type="paragraph" w:customStyle="1" w:styleId="300">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0"/>
      <w:szCs w:val="20"/>
    </w:rPr>
  </w:style>
  <w:style w:type="paragraph" w:customStyle="1" w:styleId="301">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16"/>
      <w:szCs w:val="16"/>
    </w:rPr>
  </w:style>
  <w:style w:type="paragraph" w:customStyle="1" w:styleId="302">
    <w:name w:val="xl44"/>
    <w:basedOn w:val="1"/>
    <w:qFormat/>
    <w:uiPriority w:val="99"/>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303">
    <w:name w:val="xl4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0"/>
      <w:szCs w:val="20"/>
    </w:rPr>
  </w:style>
  <w:style w:type="paragraph" w:customStyle="1" w:styleId="304">
    <w:name w:val="xl53"/>
    <w:basedOn w:val="1"/>
    <w:qFormat/>
    <w:uiPriority w:val="99"/>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305">
    <w:name w:val="图形标题"/>
    <w:basedOn w:val="16"/>
    <w:qFormat/>
    <w:uiPriority w:val="99"/>
    <w:pPr>
      <w:spacing w:before="0" w:after="0"/>
      <w:jc w:val="center"/>
    </w:pPr>
    <w:rPr>
      <w:rFonts w:ascii="宋体" w:hAnsi="Plotter" w:eastAsia="宋体"/>
      <w:sz w:val="21"/>
    </w:rPr>
  </w:style>
  <w:style w:type="paragraph" w:customStyle="1" w:styleId="306">
    <w:name w:val="三级标题"/>
    <w:basedOn w:val="5"/>
    <w:qFormat/>
    <w:uiPriority w:val="99"/>
    <w:pPr>
      <w:adjustRightInd w:val="0"/>
      <w:spacing w:beforeLines="50" w:afterLines="50" w:line="240" w:lineRule="auto"/>
      <w:ind w:firstLine="200" w:firstLineChars="200"/>
      <w:jc w:val="left"/>
      <w:textAlignment w:val="baseline"/>
    </w:pPr>
    <w:rPr>
      <w:rFonts w:ascii="Times New Roman" w:hAnsi="Times New Roman"/>
      <w:kern w:val="0"/>
      <w:sz w:val="24"/>
      <w:szCs w:val="20"/>
    </w:rPr>
  </w:style>
  <w:style w:type="paragraph" w:customStyle="1" w:styleId="307">
    <w:name w:val="列出段落11"/>
    <w:basedOn w:val="1"/>
    <w:qFormat/>
    <w:uiPriority w:val="99"/>
    <w:pPr>
      <w:spacing w:line="580" w:lineRule="exact"/>
      <w:ind w:left="142" w:firstLine="420" w:firstLineChars="200"/>
    </w:pPr>
    <w:rPr>
      <w:rFonts w:ascii="Times New Roman" w:hAnsi="Times New Roman"/>
      <w:szCs w:val="24"/>
    </w:rPr>
  </w:style>
  <w:style w:type="paragraph" w:customStyle="1" w:styleId="308">
    <w:name w:val="p21"/>
    <w:basedOn w:val="1"/>
    <w:qFormat/>
    <w:uiPriority w:val="99"/>
    <w:pPr>
      <w:widowControl/>
      <w:spacing w:line="300" w:lineRule="atLeast"/>
    </w:pPr>
    <w:rPr>
      <w:rFonts w:ascii="宋体" w:hAnsi="宋体" w:cs="宋体"/>
      <w:kern w:val="0"/>
      <w:szCs w:val="21"/>
    </w:rPr>
  </w:style>
  <w:style w:type="paragraph" w:customStyle="1" w:styleId="309">
    <w:name w:val="列表接续 51"/>
    <w:basedOn w:val="1"/>
    <w:qFormat/>
    <w:uiPriority w:val="99"/>
    <w:pPr>
      <w:spacing w:after="120"/>
      <w:ind w:left="2100"/>
    </w:pPr>
    <w:rPr>
      <w:rFonts w:ascii="Times New Roman" w:hAnsi="Times New Roman"/>
      <w:szCs w:val="24"/>
    </w:rPr>
  </w:style>
  <w:style w:type="paragraph" w:customStyle="1" w:styleId="310">
    <w:name w:val="附录"/>
    <w:basedOn w:val="2"/>
    <w:qFormat/>
    <w:uiPriority w:val="99"/>
    <w:pPr>
      <w:topLinePunct/>
      <w:spacing w:before="0" w:after="0" w:line="960" w:lineRule="auto"/>
      <w:ind w:firstLine="420"/>
      <w:jc w:val="center"/>
      <w:textAlignment w:val="baseline"/>
    </w:pPr>
    <w:rPr>
      <w:rFonts w:ascii="Times New Roman" w:hAnsi="Times New Roman" w:eastAsia="黑体"/>
      <w:b w:val="0"/>
      <w:bCs w:val="0"/>
      <w:kern w:val="2"/>
      <w:sz w:val="28"/>
      <w:szCs w:val="28"/>
    </w:rPr>
  </w:style>
  <w:style w:type="paragraph" w:customStyle="1" w:styleId="311">
    <w:name w:val="表格内字体字号"/>
    <w:basedOn w:val="1"/>
    <w:qFormat/>
    <w:uiPriority w:val="99"/>
    <w:pPr>
      <w:topLinePunct/>
      <w:snapToGrid w:val="0"/>
      <w:spacing w:beforeLines="20" w:afterLines="20"/>
      <w:ind w:left="30" w:leftChars="30" w:right="30" w:rightChars="30"/>
      <w:jc w:val="center"/>
    </w:pPr>
    <w:rPr>
      <w:rFonts w:ascii="Times New Roman" w:hAnsi="Times New Roman"/>
      <w:sz w:val="18"/>
      <w:szCs w:val="18"/>
    </w:rPr>
  </w:style>
  <w:style w:type="paragraph" w:customStyle="1" w:styleId="312">
    <w:name w:val="xl26"/>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313">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16"/>
      <w:szCs w:val="16"/>
    </w:rPr>
  </w:style>
  <w:style w:type="paragraph" w:customStyle="1" w:styleId="314">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315">
    <w:name w:val="xl3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Times New Roman" w:hAnsi="Times New Roman"/>
      <w:kern w:val="0"/>
      <w:sz w:val="16"/>
      <w:szCs w:val="16"/>
    </w:rPr>
  </w:style>
  <w:style w:type="paragraph" w:customStyle="1" w:styleId="316">
    <w:name w:val="xl42"/>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317">
    <w:name w:val="xl46"/>
    <w:basedOn w:val="1"/>
    <w:qFormat/>
    <w:uiPriority w:val="99"/>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318">
    <w:name w:val="xl51"/>
    <w:basedOn w:val="1"/>
    <w:qFormat/>
    <w:uiPriority w:val="99"/>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319">
    <w:name w:val="xl55"/>
    <w:basedOn w:val="1"/>
    <w:qFormat/>
    <w:uiPriority w:val="99"/>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320">
    <w:name w:val="font0"/>
    <w:basedOn w:val="1"/>
    <w:qFormat/>
    <w:uiPriority w:val="99"/>
    <w:pPr>
      <w:widowControl/>
      <w:spacing w:before="100" w:beforeAutospacing="1" w:after="100" w:afterAutospacing="1"/>
      <w:jc w:val="left"/>
    </w:pPr>
    <w:rPr>
      <w:rFonts w:hint="eastAsia" w:ascii="宋体" w:hAnsi="Times New Roman"/>
      <w:kern w:val="0"/>
      <w:sz w:val="24"/>
      <w:szCs w:val="24"/>
    </w:rPr>
  </w:style>
  <w:style w:type="paragraph" w:customStyle="1" w:styleId="321">
    <w:name w:val="D4"/>
    <w:basedOn w:val="169"/>
    <w:qFormat/>
    <w:uiPriority w:val="99"/>
    <w:pPr>
      <w:tabs>
        <w:tab w:val="clear" w:pos="6840"/>
      </w:tabs>
      <w:overflowPunct w:val="0"/>
      <w:spacing w:line="312" w:lineRule="exact"/>
      <w:ind w:left="840" w:leftChars="200" w:hanging="420" w:hangingChars="200"/>
    </w:pPr>
  </w:style>
  <w:style w:type="paragraph" w:customStyle="1" w:styleId="322">
    <w:name w:val="一级标题"/>
    <w:basedOn w:val="2"/>
    <w:qFormat/>
    <w:uiPriority w:val="99"/>
    <w:pPr>
      <w:keepLines w:val="0"/>
      <w:tabs>
        <w:tab w:val="left" w:pos="6840"/>
      </w:tabs>
      <w:spacing w:beforeLines="100" w:afterLines="150" w:line="240" w:lineRule="auto"/>
      <w:jc w:val="center"/>
    </w:pPr>
    <w:rPr>
      <w:rFonts w:ascii="隶书" w:hAnsi="Times New Roman" w:eastAsia="黑体"/>
      <w:bCs w:val="0"/>
      <w:kern w:val="2"/>
      <w:sz w:val="30"/>
      <w:szCs w:val="32"/>
    </w:rPr>
  </w:style>
  <w:style w:type="paragraph" w:customStyle="1" w:styleId="323">
    <w:name w:val="Char Char Char Char Char2 Char2"/>
    <w:basedOn w:val="1"/>
    <w:qFormat/>
    <w:uiPriority w:val="99"/>
    <w:rPr>
      <w:rFonts w:ascii="Times New Roman" w:hAnsi="Times New Roman"/>
      <w:szCs w:val="20"/>
    </w:rPr>
  </w:style>
  <w:style w:type="paragraph" w:customStyle="1" w:styleId="324">
    <w:name w:val="默认段落字体 Para Char Char Char Char Char + Times New Roman"/>
    <w:qFormat/>
    <w:uiPriority w:val="99"/>
    <w:pPr>
      <w:overflowPunct w:val="0"/>
      <w:topLinePunct/>
    </w:pPr>
    <w:rPr>
      <w:rFonts w:ascii="Times New Roman" w:hAnsi="Times New Roman" w:eastAsia="宋体" w:cs="Times New Roman"/>
      <w:sz w:val="21"/>
      <w:szCs w:val="21"/>
      <w:lang w:val="en-US" w:eastAsia="zh-CN" w:bidi="ar-SA"/>
    </w:rPr>
  </w:style>
  <w:style w:type="paragraph" w:customStyle="1" w:styleId="325">
    <w:name w:val="p19"/>
    <w:basedOn w:val="1"/>
    <w:qFormat/>
    <w:uiPriority w:val="99"/>
    <w:pPr>
      <w:widowControl/>
    </w:pPr>
    <w:rPr>
      <w:rFonts w:ascii="宋体" w:hAnsi="宋体" w:cs="宋体"/>
      <w:kern w:val="0"/>
      <w:szCs w:val="21"/>
    </w:rPr>
  </w:style>
  <w:style w:type="character" w:customStyle="1" w:styleId="326">
    <w:name w:val="B Char"/>
    <w:link w:val="238"/>
    <w:qFormat/>
    <w:uiPriority w:val="0"/>
    <w:rPr>
      <w:rFonts w:ascii="E-F1" w:hAnsi="Times New Roman" w:eastAsia="黑体"/>
      <w:kern w:val="2"/>
      <w:sz w:val="21"/>
      <w:szCs w:val="21"/>
    </w:rPr>
  </w:style>
  <w:style w:type="character" w:customStyle="1" w:styleId="327">
    <w:name w:val="三级标题 Char"/>
    <w:semiHidden/>
    <w:qFormat/>
    <w:uiPriority w:val="0"/>
    <w:rPr>
      <w:rFonts w:eastAsia="宋体"/>
      <w:b/>
      <w:sz w:val="24"/>
      <w:lang w:val="en-US" w:eastAsia="zh-CN" w:bidi="ar-SA"/>
    </w:rPr>
  </w:style>
  <w:style w:type="character" w:customStyle="1" w:styleId="328">
    <w:name w:val="段 Char"/>
    <w:link w:val="68"/>
    <w:qFormat/>
    <w:uiPriority w:val="0"/>
    <w:rPr>
      <w:rFonts w:ascii="宋体" w:hAnsi="Times New Roman"/>
      <w:sz w:val="21"/>
      <w:lang w:bidi="ar-SA"/>
    </w:rPr>
  </w:style>
  <w:style w:type="character" w:customStyle="1" w:styleId="329">
    <w:name w:val="批注主题 Char1"/>
    <w:qFormat/>
    <w:uiPriority w:val="99"/>
    <w:rPr>
      <w:b/>
      <w:bCs/>
      <w:kern w:val="2"/>
      <w:sz w:val="21"/>
      <w:szCs w:val="24"/>
    </w:rPr>
  </w:style>
  <w:style w:type="paragraph" w:customStyle="1" w:styleId="330">
    <w:name w:val="JSTJ正文"/>
    <w:basedOn w:val="1"/>
    <w:qFormat/>
    <w:uiPriority w:val="99"/>
    <w:pPr>
      <w:tabs>
        <w:tab w:val="left" w:pos="742"/>
      </w:tabs>
      <w:autoSpaceDE w:val="0"/>
      <w:autoSpaceDN w:val="0"/>
      <w:adjustRightInd w:val="0"/>
      <w:snapToGrid w:val="0"/>
      <w:ind w:firstLine="480" w:firstLineChars="200"/>
      <w:textAlignment w:val="baseline"/>
    </w:pPr>
    <w:rPr>
      <w:rFonts w:ascii="宋体" w:hAnsi="宋体"/>
      <w:color w:val="0000FF"/>
      <w:kern w:val="0"/>
      <w:sz w:val="24"/>
      <w:szCs w:val="24"/>
    </w:rPr>
  </w:style>
  <w:style w:type="paragraph" w:customStyle="1" w:styleId="331">
    <w:name w:val="表格内文字"/>
    <w:qFormat/>
    <w:uiPriority w:val="99"/>
    <w:pPr>
      <w:adjustRightInd w:val="0"/>
      <w:snapToGrid w:val="0"/>
      <w:jc w:val="center"/>
    </w:pPr>
    <w:rPr>
      <w:rFonts w:ascii="黑体" w:hAnsi="Arial" w:eastAsia="宋体" w:cs="Times New Roman"/>
      <w:bCs/>
      <w:sz w:val="18"/>
      <w:szCs w:val="32"/>
      <w:lang w:val="en-US" w:eastAsia="zh-CN" w:bidi="ar-SA"/>
    </w:rPr>
  </w:style>
  <w:style w:type="character" w:customStyle="1" w:styleId="332">
    <w:name w:val="正文文本缩进 字符"/>
    <w:link w:val="22"/>
    <w:qFormat/>
    <w:uiPriority w:val="99"/>
    <w:rPr>
      <w:rFonts w:ascii="Times New Roman" w:hAnsi="Times New Roman"/>
      <w:kern w:val="2"/>
      <w:sz w:val="21"/>
      <w:szCs w:val="24"/>
    </w:rPr>
  </w:style>
  <w:style w:type="character" w:customStyle="1" w:styleId="333">
    <w:name w:val="正文文本缩进 2 字符"/>
    <w:link w:val="32"/>
    <w:qFormat/>
    <w:uiPriority w:val="99"/>
    <w:rPr>
      <w:rFonts w:ascii="Times New Roman" w:hAnsi="Times New Roman"/>
      <w:kern w:val="2"/>
      <w:sz w:val="21"/>
      <w:szCs w:val="24"/>
    </w:rPr>
  </w:style>
  <w:style w:type="paragraph" w:customStyle="1" w:styleId="334">
    <w:name w:val="样式 样式 样式 样式9 + 段前: 1 行 段后: 1 行 + 段前: 1 行 段后: 1 行 + 段前: 1 行 段后: ..."/>
    <w:basedOn w:val="1"/>
    <w:qFormat/>
    <w:uiPriority w:val="99"/>
    <w:pPr>
      <w:keepNext/>
      <w:keepLines/>
      <w:widowControl/>
      <w:numPr>
        <w:ilvl w:val="2"/>
        <w:numId w:val="17"/>
      </w:numPr>
      <w:spacing w:beforeLines="50" w:afterLines="50"/>
      <w:jc w:val="left"/>
      <w:outlineLvl w:val="2"/>
    </w:pPr>
    <w:rPr>
      <w:rFonts w:ascii="宋体"/>
      <w:b/>
      <w:kern w:val="0"/>
      <w:sz w:val="32"/>
      <w:szCs w:val="24"/>
    </w:rPr>
  </w:style>
  <w:style w:type="character" w:customStyle="1" w:styleId="335">
    <w:name w:val="一级条标题 Char"/>
    <w:qFormat/>
    <w:uiPriority w:val="0"/>
    <w:rPr>
      <w:rFonts w:ascii="黑体" w:hAnsi="Times New Roman" w:eastAsia="黑体" w:cs="Times New Roman"/>
      <w:kern w:val="0"/>
      <w:szCs w:val="20"/>
    </w:rPr>
  </w:style>
  <w:style w:type="paragraph" w:customStyle="1" w:styleId="336">
    <w:name w:val="正文表标题"/>
    <w:next w:val="68"/>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337">
    <w:name w:val="表格"/>
    <w:basedOn w:val="1"/>
    <w:qFormat/>
    <w:uiPriority w:val="0"/>
    <w:pPr>
      <w:jc w:val="center"/>
    </w:pPr>
    <w:rPr>
      <w:rFonts w:ascii="宋体" w:hAnsi="宋体"/>
      <w:color w:val="000000"/>
      <w:sz w:val="24"/>
      <w:szCs w:val="18"/>
    </w:rPr>
  </w:style>
  <w:style w:type="paragraph" w:customStyle="1" w:styleId="338">
    <w:name w:val="标准"/>
    <w:basedOn w:val="1"/>
    <w:qFormat/>
    <w:uiPriority w:val="99"/>
    <w:pPr>
      <w:adjustRightInd w:val="0"/>
      <w:spacing w:line="312" w:lineRule="atLeast"/>
      <w:textAlignment w:val="baseline"/>
    </w:pPr>
    <w:rPr>
      <w:rFonts w:ascii="Times New Roman" w:hAnsi="Times New Roman"/>
      <w:kern w:val="0"/>
      <w:szCs w:val="20"/>
    </w:rPr>
  </w:style>
  <w:style w:type="paragraph" w:customStyle="1" w:styleId="339">
    <w:name w:val="列出段落2"/>
    <w:basedOn w:val="1"/>
    <w:unhideWhenUsed/>
    <w:qFormat/>
    <w:uiPriority w:val="34"/>
    <w:pPr>
      <w:ind w:firstLine="420" w:firstLineChars="200"/>
    </w:pPr>
  </w:style>
  <w:style w:type="paragraph" w:customStyle="1" w:styleId="34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41">
    <w:name w:val="修订2"/>
    <w:hidden/>
    <w:unhideWhenUsed/>
    <w:qFormat/>
    <w:uiPriority w:val="99"/>
    <w:rPr>
      <w:rFonts w:ascii="Calibri" w:hAnsi="Calibri" w:eastAsia="宋体" w:cs="Times New Roman"/>
      <w:kern w:val="2"/>
      <w:sz w:val="21"/>
      <w:szCs w:val="22"/>
      <w:lang w:val="en-US" w:eastAsia="zh-CN" w:bidi="ar-SA"/>
    </w:rPr>
  </w:style>
  <w:style w:type="paragraph" w:customStyle="1" w:styleId="342">
    <w:name w:val="msolistparagraph"/>
    <w:basedOn w:val="1"/>
    <w:qFormat/>
    <w:uiPriority w:val="99"/>
    <w:pPr>
      <w:ind w:firstLine="420" w:firstLineChars="200"/>
    </w:pPr>
  </w:style>
  <w:style w:type="paragraph" w:customStyle="1" w:styleId="343">
    <w:name w:val="列出段落3"/>
    <w:basedOn w:val="1"/>
    <w:unhideWhenUsed/>
    <w:qFormat/>
    <w:uiPriority w:val="99"/>
    <w:pPr>
      <w:ind w:firstLine="420" w:firstLineChars="200"/>
    </w:pPr>
  </w:style>
  <w:style w:type="paragraph" w:customStyle="1" w:styleId="344">
    <w:name w:val="修订3"/>
    <w:hidden/>
    <w:unhideWhenUsed/>
    <w:qFormat/>
    <w:uiPriority w:val="99"/>
    <w:rPr>
      <w:rFonts w:ascii="Calibri" w:hAnsi="Calibri" w:eastAsia="宋体" w:cs="Times New Roman"/>
      <w:kern w:val="2"/>
      <w:sz w:val="21"/>
      <w:szCs w:val="22"/>
      <w:lang w:val="en-US" w:eastAsia="zh-CN" w:bidi="ar-SA"/>
    </w:rPr>
  </w:style>
  <w:style w:type="character" w:customStyle="1" w:styleId="345">
    <w:name w:val="标题 3 字符"/>
    <w:basedOn w:val="53"/>
    <w:link w:val="5"/>
    <w:qFormat/>
    <w:uiPriority w:val="0"/>
    <w:rPr>
      <w:b/>
      <w:kern w:val="2"/>
      <w:sz w:val="32"/>
      <w:szCs w:val="22"/>
    </w:rPr>
  </w:style>
  <w:style w:type="character" w:customStyle="1" w:styleId="346">
    <w:name w:val="font01"/>
    <w:basedOn w:val="53"/>
    <w:qFormat/>
    <w:uiPriority w:val="0"/>
    <w:rPr>
      <w:rFonts w:hint="default" w:ascii="Calibri" w:hAnsi="Calibri"/>
      <w:color w:val="000000"/>
      <w:sz w:val="18"/>
      <w:szCs w:val="18"/>
      <w:u w:val="none"/>
    </w:rPr>
  </w:style>
  <w:style w:type="character" w:customStyle="1" w:styleId="347">
    <w:name w:val="font11"/>
    <w:basedOn w:val="53"/>
    <w:qFormat/>
    <w:uiPriority w:val="0"/>
    <w:rPr>
      <w:rFonts w:hint="eastAsia" w:ascii="宋体" w:hAnsi="宋体" w:eastAsia="宋体"/>
      <w:color w:val="000000"/>
      <w:sz w:val="18"/>
      <w:szCs w:val="18"/>
      <w:u w:val="none"/>
    </w:rPr>
  </w:style>
  <w:style w:type="paragraph" w:customStyle="1" w:styleId="348">
    <w:name w:val="WPSOffice手动目录 1"/>
    <w:qFormat/>
    <w:uiPriority w:val="0"/>
    <w:rPr>
      <w:rFonts w:ascii="Calibri" w:hAnsi="Calibri" w:eastAsia="宋体" w:cs="Times New Roman"/>
      <w:lang w:val="en-US" w:eastAsia="zh-CN" w:bidi="ar-SA"/>
    </w:rPr>
  </w:style>
  <w:style w:type="paragraph" w:customStyle="1" w:styleId="349">
    <w:name w:val="正文(表格)"/>
    <w:qFormat/>
    <w:uiPriority w:val="0"/>
    <w:pPr>
      <w:snapToGrid w:val="0"/>
      <w:jc w:val="center"/>
    </w:pPr>
    <w:rPr>
      <w:rFonts w:ascii="Times New Roman" w:hAnsi="Times New Roman" w:eastAsia="宋体" w:cs="Arial"/>
      <w:spacing w:val="8"/>
      <w:sz w:val="18"/>
      <w:szCs w:val="18"/>
      <w:lang w:val="en-GB" w:eastAsia="zh-CN" w:bidi="ar-SA"/>
    </w:rPr>
  </w:style>
  <w:style w:type="paragraph" w:customStyle="1" w:styleId="350">
    <w:name w:val="正文(编号)"/>
    <w:basedOn w:val="351"/>
    <w:semiHidden/>
    <w:qFormat/>
    <w:uiPriority w:val="0"/>
    <w:pPr>
      <w:numPr>
        <w:ilvl w:val="0"/>
        <w:numId w:val="18"/>
      </w:numPr>
      <w:outlineLvl w:val="5"/>
    </w:pPr>
  </w:style>
  <w:style w:type="paragraph" w:customStyle="1" w:styleId="351">
    <w:name w:val="无缩进正文"/>
    <w:semiHidden/>
    <w:qFormat/>
    <w:uiPriority w:val="0"/>
    <w:rPr>
      <w:rFonts w:ascii="Times New Roman" w:hAnsi="Times New Roman" w:eastAsia="宋体" w:cs="Times New Roman"/>
      <w:kern w:val="2"/>
      <w:sz w:val="21"/>
      <w:szCs w:val="22"/>
      <w:lang w:val="en-US" w:eastAsia="zh-CN" w:bidi="ar-SA"/>
    </w:rPr>
  </w:style>
  <w:style w:type="paragraph" w:customStyle="1" w:styleId="352">
    <w:name w:val="正文注释"/>
    <w:basedOn w:val="351"/>
    <w:next w:val="1"/>
    <w:semiHidden/>
    <w:qFormat/>
    <w:uiPriority w:val="0"/>
    <w:pPr>
      <w:ind w:left="400" w:leftChars="200" w:hanging="200" w:hangingChars="200"/>
    </w:pPr>
    <w:rPr>
      <w:rFonts w:ascii="Tahoma" w:hAnsi="Tahoma"/>
      <w:spacing w:val="8"/>
      <w:sz w:val="18"/>
      <w:szCs w:val="21"/>
    </w:rPr>
  </w:style>
  <w:style w:type="paragraph" w:customStyle="1" w:styleId="353">
    <w:name w:val="表格(编号)"/>
    <w:basedOn w:val="349"/>
    <w:semiHidden/>
    <w:qFormat/>
    <w:uiPriority w:val="0"/>
    <w:pPr>
      <w:numPr>
        <w:ilvl w:val="0"/>
        <w:numId w:val="19"/>
      </w:numPr>
      <w:ind w:left="0" w:firstLine="0"/>
    </w:pPr>
  </w:style>
  <w:style w:type="paragraph" w:customStyle="1" w:styleId="354">
    <w:name w:val="标准1级标题"/>
    <w:basedOn w:val="1"/>
    <w:qFormat/>
    <w:uiPriority w:val="0"/>
    <w:pPr>
      <w:keepNext/>
      <w:keepLines/>
      <w:widowControl/>
      <w:spacing w:beforeLines="100" w:afterLines="100" w:line="416" w:lineRule="atLeast"/>
      <w:jc w:val="left"/>
      <w:outlineLvl w:val="0"/>
    </w:pPr>
    <w:rPr>
      <w:rFonts w:ascii="黑体" w:eastAsia="黑体"/>
      <w:kern w:val="0"/>
      <w:szCs w:val="20"/>
    </w:rPr>
  </w:style>
  <w:style w:type="paragraph" w:customStyle="1" w:styleId="355">
    <w:name w:val="标准2级标题"/>
    <w:basedOn w:val="1"/>
    <w:qFormat/>
    <w:uiPriority w:val="0"/>
    <w:pPr>
      <w:widowControl/>
      <w:spacing w:before="120" w:after="120"/>
      <w:jc w:val="left"/>
      <w:outlineLvl w:val="1"/>
    </w:pPr>
    <w:rPr>
      <w:rFonts w:ascii="黑体" w:eastAsia="黑体"/>
      <w:kern w:val="0"/>
      <w:szCs w:val="20"/>
    </w:rPr>
  </w:style>
  <w:style w:type="paragraph" w:customStyle="1" w:styleId="356">
    <w:name w:val="标准正文"/>
    <w:basedOn w:val="1"/>
    <w:qFormat/>
    <w:uiPriority w:val="0"/>
    <w:pPr>
      <w:spacing w:line="320" w:lineRule="exact"/>
      <w:ind w:firstLine="420" w:firstLineChars="200"/>
    </w:pPr>
  </w:style>
  <w:style w:type="paragraph" w:customStyle="1" w:styleId="357">
    <w:name w:val="表格名称"/>
    <w:basedOn w:val="1"/>
    <w:qFormat/>
    <w:uiPriority w:val="0"/>
    <w:pPr>
      <w:widowControl/>
      <w:jc w:val="center"/>
    </w:pPr>
    <w:rPr>
      <w:rFonts w:eastAsia="黑体"/>
      <w:kern w:val="0"/>
      <w:sz w:val="18"/>
      <w:szCs w:val="20"/>
    </w:rPr>
  </w:style>
  <w:style w:type="paragraph" w:styleId="358">
    <w:name w:val="List Paragraph"/>
    <w:basedOn w:val="1"/>
    <w:qFormat/>
    <w:uiPriority w:val="34"/>
    <w:pPr>
      <w:ind w:firstLine="420" w:firstLineChars="200"/>
    </w:pPr>
  </w:style>
  <w:style w:type="paragraph" w:customStyle="1" w:styleId="359">
    <w:name w:val="字母编号列项（一级）"/>
    <w:unhideWhenUsed/>
    <w:qFormat/>
    <w:uiPriority w:val="0"/>
    <w:pPr>
      <w:widowControl w:val="0"/>
      <w:adjustRightInd w:val="0"/>
      <w:spacing w:line="360" w:lineRule="atLeast"/>
      <w:ind w:left="840" w:leftChars="200" w:hanging="420" w:hangingChars="200"/>
      <w:jc w:val="both"/>
      <w:textAlignment w:val="baseline"/>
    </w:pPr>
    <w:rPr>
      <w:rFonts w:hint="eastAsia" w:ascii="宋体" w:hAnsi="Calibri" w:eastAsia="宋体" w:cs="Times New Roman"/>
      <w:sz w:val="21"/>
      <w:szCs w:val="24"/>
      <w:lang w:val="en-US" w:eastAsia="zh-CN" w:bidi="ar-SA"/>
    </w:rPr>
  </w:style>
  <w:style w:type="paragraph" w:customStyle="1" w:styleId="360">
    <w:name w:val="_Style 453"/>
    <w:basedOn w:val="1"/>
    <w:next w:val="1"/>
    <w:unhideWhenUsed/>
    <w:qFormat/>
    <w:uiPriority w:val="99"/>
    <w:pPr>
      <w:ind w:left="630"/>
    </w:pPr>
    <w:rPr>
      <w:rFonts w:hint="eastAsia"/>
      <w:szCs w:val="20"/>
    </w:rPr>
  </w:style>
  <w:style w:type="paragraph" w:customStyle="1" w:styleId="361">
    <w:name w:val="Table Heading"/>
    <w:basedOn w:val="1"/>
    <w:unhideWhenUsed/>
    <w:qFormat/>
    <w:uiPriority w:val="0"/>
    <w:pPr>
      <w:topLinePunct/>
      <w:adjustRightInd w:val="0"/>
      <w:snapToGrid w:val="0"/>
      <w:spacing w:before="80" w:after="80" w:line="240" w:lineRule="atLeast"/>
      <w:jc w:val="left"/>
    </w:pPr>
    <w:rPr>
      <w:rFonts w:hint="eastAsia" w:ascii="Book Antiqua" w:hAnsi="Book Antiqua" w:eastAsia="黑体" w:cs="Book Antiqua"/>
      <w:snapToGrid w:val="0"/>
      <w:kern w:val="0"/>
      <w:szCs w:val="21"/>
    </w:rPr>
  </w:style>
  <w:style w:type="paragraph" w:customStyle="1" w:styleId="362">
    <w:name w:val="Table Text"/>
    <w:basedOn w:val="1"/>
    <w:unhideWhenUsed/>
    <w:qFormat/>
    <w:uiPriority w:val="0"/>
    <w:pPr>
      <w:topLinePunct/>
      <w:adjustRightInd w:val="0"/>
      <w:snapToGrid w:val="0"/>
      <w:spacing w:before="80" w:after="80" w:line="240" w:lineRule="atLeast"/>
      <w:jc w:val="left"/>
    </w:pPr>
    <w:rPr>
      <w:rFonts w:hint="eastAsia" w:cs="Arial"/>
      <w:snapToGrid w:val="0"/>
      <w:kern w:val="0"/>
      <w:szCs w:val="21"/>
    </w:rPr>
  </w:style>
  <w:style w:type="paragraph" w:customStyle="1" w:styleId="363">
    <w:name w:val="附录图标题"/>
    <w:basedOn w:val="1"/>
    <w:next w:val="68"/>
    <w:unhideWhenUsed/>
    <w:qFormat/>
    <w:uiPriority w:val="0"/>
    <w:pPr>
      <w:numPr>
        <w:ilvl w:val="1"/>
        <w:numId w:val="20"/>
      </w:numPr>
      <w:tabs>
        <w:tab w:val="left" w:pos="363"/>
      </w:tabs>
      <w:spacing w:beforeLines="50" w:afterLines="50"/>
      <w:jc w:val="center"/>
    </w:pPr>
    <w:rPr>
      <w:rFonts w:hint="eastAsia" w:ascii="黑体" w:eastAsia="黑体"/>
      <w:szCs w:val="20"/>
    </w:rPr>
  </w:style>
  <w:style w:type="paragraph" w:customStyle="1" w:styleId="364">
    <w:name w:val="示例×："/>
    <w:basedOn w:val="67"/>
    <w:unhideWhenUsed/>
    <w:qFormat/>
    <w:uiPriority w:val="0"/>
    <w:pPr>
      <w:numPr>
        <w:ilvl w:val="0"/>
        <w:numId w:val="21"/>
      </w:numPr>
      <w:spacing w:beforeLines="0" w:afterLines="0"/>
      <w:outlineLvl w:val="9"/>
    </w:pPr>
    <w:rPr>
      <w:rFonts w:hint="eastAsia" w:ascii="宋体" w:eastAsia="宋体"/>
      <w:sz w:val="18"/>
      <w:szCs w:val="18"/>
    </w:rPr>
  </w:style>
  <w:style w:type="character" w:customStyle="1" w:styleId="365">
    <w:name w:val="纯文本 字符1"/>
    <w:qFormat/>
    <w:uiPriority w:val="0"/>
    <w:rPr>
      <w:rFonts w:ascii="宋体" w:hAnsi="Courier New" w:eastAsia="宋体"/>
      <w:kern w:val="2"/>
      <w:sz w:val="21"/>
      <w:lang w:val="en-US" w:eastAsia="zh-CN"/>
    </w:rPr>
  </w:style>
  <w:style w:type="paragraph" w:customStyle="1" w:styleId="366">
    <w:name w:val="列表段落1"/>
    <w:basedOn w:val="1"/>
    <w:qFormat/>
    <w:uiPriority w:val="34"/>
    <w:pPr>
      <w:spacing w:line="580" w:lineRule="exact"/>
      <w:ind w:left="142" w:firstLine="420"/>
    </w:pPr>
  </w:style>
  <w:style w:type="paragraph" w:customStyle="1" w:styleId="367">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character" w:customStyle="1" w:styleId="368">
    <w:name w:val="标题 2 字符1"/>
    <w:qFormat/>
    <w:uiPriority w:val="0"/>
    <w:rPr>
      <w:rFonts w:ascii="宋体" w:hAnsi="Times New Roman" w:eastAsia="宋体" w:cs="Times New Roman"/>
      <w:bCs/>
      <w:kern w:val="2"/>
      <w:sz w:val="21"/>
      <w:szCs w:val="21"/>
    </w:rPr>
  </w:style>
  <w:style w:type="character" w:customStyle="1" w:styleId="369">
    <w:name w:val="标题 2 Char2"/>
    <w:qFormat/>
    <w:uiPriority w:val="0"/>
    <w:rPr>
      <w:rFonts w:ascii="Cambria" w:hAnsi="Cambria"/>
      <w:b/>
      <w:bCs/>
      <w:kern w:val="2"/>
      <w:sz w:val="32"/>
      <w:szCs w:val="32"/>
    </w:rPr>
  </w:style>
  <w:style w:type="character" w:customStyle="1" w:styleId="370">
    <w:name w:val="正文文本 2 字符"/>
    <w:basedOn w:val="53"/>
    <w:link w:val="45"/>
    <w:qFormat/>
    <w:uiPriority w:val="0"/>
    <w:rPr>
      <w:kern w:val="2"/>
      <w:sz w:val="21"/>
      <w:szCs w:val="24"/>
    </w:rPr>
  </w:style>
  <w:style w:type="paragraph" w:customStyle="1" w:styleId="371">
    <w:name w:val="Body text|1"/>
    <w:basedOn w:val="1"/>
    <w:qFormat/>
    <w:uiPriority w:val="0"/>
    <w:rPr>
      <w:rFonts w:ascii="宋体" w:hAnsi="宋体" w:cs="宋体"/>
      <w:sz w:val="20"/>
      <w:szCs w:val="20"/>
      <w:lang w:val="zh-TW" w:eastAsia="zh-TW" w:bidi="zh-TW"/>
    </w:rPr>
  </w:style>
  <w:style w:type="paragraph" w:customStyle="1" w:styleId="372">
    <w:name w:val="Other|1"/>
    <w:basedOn w:val="1"/>
    <w:qFormat/>
    <w:uiPriority w:val="0"/>
    <w:rPr>
      <w:rFonts w:ascii="宋体" w:hAnsi="宋体" w:cs="宋体"/>
      <w:sz w:val="20"/>
      <w:szCs w:val="20"/>
      <w:lang w:val="zh-TW" w:eastAsia="zh-TW" w:bidi="zh-TW"/>
    </w:rPr>
  </w:style>
  <w:style w:type="paragraph" w:customStyle="1" w:styleId="373">
    <w:name w:val="Table caption|1"/>
    <w:basedOn w:val="1"/>
    <w:qFormat/>
    <w:uiPriority w:val="0"/>
    <w:rPr>
      <w:rFonts w:ascii="宋体" w:hAnsi="宋体" w:cs="宋体"/>
      <w:sz w:val="20"/>
      <w:szCs w:val="20"/>
      <w:lang w:val="zh-TW" w:eastAsia="zh-TW" w:bidi="zh-TW"/>
    </w:rPr>
  </w:style>
  <w:style w:type="paragraph" w:customStyle="1" w:styleId="374">
    <w:name w:val="00 正文"/>
    <w:basedOn w:val="24"/>
    <w:qFormat/>
    <w:uiPriority w:val="0"/>
    <w:pPr>
      <w:widowControl/>
      <w:snapToGrid w:val="0"/>
      <w:spacing w:before="120" w:after="0"/>
      <w:ind w:left="108" w:leftChars="0" w:right="28" w:rightChars="0" w:firstLine="357"/>
    </w:pPr>
    <w:rPr>
      <w:rFonts w:ascii="Arial" w:hAnsi="Arial" w:cs="宋体"/>
      <w:kern w:val="0"/>
      <w:szCs w:val="20"/>
      <w:lang w:eastAsia="en-US"/>
    </w:rPr>
  </w:style>
  <w:style w:type="paragraph" w:customStyle="1" w:styleId="375">
    <w:name w:val="00 正文 Bullet"/>
    <w:basedOn w:val="24"/>
    <w:next w:val="22"/>
    <w:qFormat/>
    <w:uiPriority w:val="0"/>
    <w:pPr>
      <w:widowControl/>
      <w:numPr>
        <w:ilvl w:val="0"/>
        <w:numId w:val="22"/>
      </w:numPr>
      <w:spacing w:after="0"/>
      <w:ind w:left="0" w:leftChars="0" w:right="28" w:rightChars="0"/>
    </w:pPr>
    <w:rPr>
      <w:rFonts w:ascii="Arial" w:hAnsi="Arial" w:cs="宋体"/>
      <w:kern w:val="0"/>
      <w:szCs w:val="20"/>
    </w:rPr>
  </w:style>
  <w:style w:type="paragraph" w:customStyle="1" w:styleId="376">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77">
    <w:name w:val="a2"/>
    <w:basedOn w:val="1"/>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378">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6438</Words>
  <Characters>7176</Characters>
  <Lines>128</Lines>
  <Paragraphs>36</Paragraphs>
  <TotalTime>0</TotalTime>
  <ScaleCrop>false</ScaleCrop>
  <LinksUpToDate>false</LinksUpToDate>
  <CharactersWithSpaces>7356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2025-10-12T08:15:00Z</dcterms:created>
  <dc:creator>吴榕涛</dc:creator>
  <cp:lastModifiedBy>马鋕荢</cp:lastModifiedBy>
  <dcterms:modified xsi:type="dcterms:W3CDTF">2025-11-13T10:15:33Z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7076156E0CBFD0484922E36829F60F50_43</vt:lpwstr>
  </property>
  <property fmtid="{D5CDD505-2E9C-101B-9397-08002B2CF9AE}" pid="4" name="KSOTemplateDocerSaveRecord">
    <vt:lpwstr>eyJoZGlkIjoiOGE0MWI1MjMyYzYyN2FhMDU4NDQ4MTBmOWM0ODBjM2IiLCJ1c2VySWQiOiI0MTk3MjU3NTMifQ==</vt:lpwstr>
  </property>
</Properties>
</file>