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B5152F">
      <w:pPr>
        <w:pStyle w:val="7"/>
        <w:jc w:val="center"/>
        <w:rPr>
          <w:rFonts w:ascii="隶书" w:eastAsia="隶书"/>
          <w:sz w:val="56"/>
          <w:szCs w:val="56"/>
          <w:highlight w:val="none"/>
        </w:rPr>
      </w:pPr>
    </w:p>
    <w:p w14:paraId="287FB718">
      <w:pPr>
        <w:pStyle w:val="17"/>
        <w:rPr>
          <w:rFonts w:hint="eastAsia" w:ascii="黑体" w:hAnsi="黑体" w:eastAsia="黑体" w:cs="黑体"/>
          <w:sz w:val="48"/>
          <w:szCs w:val="48"/>
          <w:highlight w:val="none"/>
          <w:lang w:val="en-US" w:eastAsia="zh-CN"/>
        </w:rPr>
      </w:pPr>
    </w:p>
    <w:p w14:paraId="0B3A8745">
      <w:pPr>
        <w:pStyle w:val="7"/>
        <w:jc w:val="center"/>
        <w:rPr>
          <w:rFonts w:hint="default" w:ascii="隶书" w:eastAsia="隶书"/>
          <w:sz w:val="48"/>
          <w:szCs w:val="48"/>
          <w:highlight w:val="none"/>
          <w:lang w:val="en-US" w:eastAsia="zh-CN"/>
        </w:rPr>
      </w:pPr>
      <w:r>
        <w:rPr>
          <w:rFonts w:hint="eastAsia" w:ascii="隶书" w:eastAsia="隶书"/>
          <w:sz w:val="48"/>
          <w:szCs w:val="48"/>
          <w:highlight w:val="none"/>
          <w:lang w:val="en-US" w:eastAsia="zh-CN"/>
        </w:rPr>
        <w:t>广州供电局电力科学研究院开关柜放电光谱诊断成套装置技术鉴定服务</w:t>
      </w:r>
    </w:p>
    <w:p w14:paraId="553663FF">
      <w:pPr>
        <w:pStyle w:val="7"/>
        <w:jc w:val="center"/>
        <w:rPr>
          <w:rFonts w:ascii="隶书" w:eastAsia="隶书"/>
          <w:sz w:val="48"/>
          <w:szCs w:val="48"/>
          <w:highlight w:val="none"/>
        </w:rPr>
      </w:pPr>
    </w:p>
    <w:p w14:paraId="69F4B475">
      <w:pPr>
        <w:pStyle w:val="7"/>
        <w:jc w:val="center"/>
        <w:rPr>
          <w:rFonts w:ascii="隶书" w:eastAsia="隶书"/>
          <w:sz w:val="48"/>
          <w:szCs w:val="48"/>
          <w:highlight w:val="none"/>
        </w:rPr>
      </w:pPr>
    </w:p>
    <w:p w14:paraId="6CA186BD">
      <w:pPr>
        <w:pStyle w:val="7"/>
        <w:jc w:val="center"/>
        <w:rPr>
          <w:rFonts w:ascii="黑体" w:hAnsi="黑体" w:eastAsia="黑体" w:cs="黑体"/>
          <w:sz w:val="52"/>
          <w:szCs w:val="52"/>
          <w:highlight w:val="none"/>
        </w:rPr>
      </w:pPr>
      <w:r>
        <w:rPr>
          <w:rFonts w:hint="eastAsia" w:ascii="黑体" w:hAnsi="黑体" w:eastAsia="黑体" w:cs="黑体"/>
          <w:sz w:val="52"/>
          <w:szCs w:val="52"/>
          <w:highlight w:val="none"/>
        </w:rPr>
        <w:t>技术规范书</w:t>
      </w:r>
    </w:p>
    <w:p w14:paraId="1DCB6698">
      <w:pPr>
        <w:spacing w:before="156" w:beforeLines="50"/>
        <w:rPr>
          <w:rFonts w:ascii="楷体_GB2312" w:hAnsi="宋体" w:eastAsia="楷体_GB2312"/>
          <w:sz w:val="32"/>
          <w:szCs w:val="32"/>
          <w:highlight w:val="none"/>
        </w:rPr>
      </w:pPr>
    </w:p>
    <w:p w14:paraId="4CAEB4AA">
      <w:pPr>
        <w:spacing w:before="156" w:beforeLines="50"/>
        <w:jc w:val="center"/>
        <w:rPr>
          <w:rFonts w:ascii="楷体_GB2312" w:hAnsi="宋体" w:eastAsia="楷体_GB2312"/>
          <w:sz w:val="32"/>
          <w:szCs w:val="32"/>
          <w:highlight w:val="none"/>
        </w:rPr>
      </w:pPr>
    </w:p>
    <w:p w14:paraId="048BED0F">
      <w:pPr>
        <w:spacing w:before="156" w:beforeLines="50"/>
        <w:rPr>
          <w:rFonts w:ascii="楷体_GB2312" w:hAnsi="宋体" w:eastAsia="楷体_GB2312"/>
          <w:sz w:val="32"/>
          <w:szCs w:val="32"/>
          <w:highlight w:val="none"/>
        </w:rPr>
      </w:pPr>
    </w:p>
    <w:p w14:paraId="5779352D">
      <w:pPr>
        <w:pStyle w:val="18"/>
        <w:rPr>
          <w:rStyle w:val="20"/>
          <w:rFonts w:ascii="黑体" w:hAnsi="黑体" w:eastAsia="黑体" w:cs="黑体"/>
          <w:highlight w:val="none"/>
        </w:rPr>
      </w:pPr>
    </w:p>
    <w:p w14:paraId="68FD848A">
      <w:pPr>
        <w:pStyle w:val="18"/>
        <w:rPr>
          <w:rStyle w:val="20"/>
          <w:rFonts w:ascii="黑体" w:hAnsi="黑体" w:eastAsia="黑体" w:cs="黑体"/>
          <w:highlight w:val="none"/>
        </w:rPr>
      </w:pPr>
    </w:p>
    <w:p w14:paraId="3F7BD49C">
      <w:pPr>
        <w:pStyle w:val="18"/>
        <w:rPr>
          <w:rFonts w:ascii="黑体" w:hAnsi="黑体" w:eastAsia="黑体" w:cs="黑体"/>
          <w:highlight w:val="none"/>
        </w:rPr>
        <w:sectPr>
          <w:pgSz w:w="11906" w:h="16838"/>
          <w:pgMar w:top="1440" w:right="1800" w:bottom="1440" w:left="1800" w:header="851" w:footer="992" w:gutter="0"/>
          <w:cols w:space="425" w:num="1"/>
          <w:docGrid w:type="lines" w:linePitch="312" w:charSpace="0"/>
        </w:sectPr>
      </w:pPr>
      <w:r>
        <w:rPr>
          <w:rStyle w:val="20"/>
          <w:rFonts w:hint="eastAsia" w:ascii="黑体" w:hAnsi="黑体" w:eastAsia="黑体" w:cs="黑体"/>
          <w:highlight w:val="none"/>
          <w:lang w:val="en-US" w:eastAsia="zh-CN"/>
        </w:rPr>
        <w:t>2025</w:t>
      </w:r>
      <w:r>
        <w:rPr>
          <w:rStyle w:val="20"/>
          <w:rFonts w:hint="eastAsia" w:ascii="黑体" w:hAnsi="黑体" w:eastAsia="黑体" w:cs="黑体"/>
          <w:highlight w:val="none"/>
        </w:rPr>
        <w:t>年</w:t>
      </w:r>
      <w:r>
        <w:rPr>
          <w:rStyle w:val="20"/>
          <w:rFonts w:hint="eastAsia" w:ascii="黑体" w:hAnsi="黑体" w:eastAsia="黑体" w:cs="黑体"/>
          <w:highlight w:val="none"/>
          <w:lang w:val="en-US" w:eastAsia="zh-CN"/>
        </w:rPr>
        <w:t>11</w:t>
      </w:r>
      <w:r>
        <w:rPr>
          <w:rStyle w:val="20"/>
          <w:rFonts w:hint="eastAsia" w:ascii="黑体" w:hAnsi="黑体" w:eastAsia="黑体" w:cs="黑体"/>
          <w:highlight w:val="none"/>
        </w:rPr>
        <w:t>月</w:t>
      </w:r>
    </w:p>
    <w:p w14:paraId="6EB3171B">
      <w:pPr>
        <w:spacing w:line="480" w:lineRule="auto"/>
        <w:jc w:val="center"/>
        <w:outlineLvl w:val="0"/>
        <w:rPr>
          <w:rFonts w:asciiTheme="minorEastAsia" w:hAnsiTheme="minorEastAsia" w:eastAsiaTheme="minorEastAsia" w:cstheme="minorEastAsia"/>
          <w:bCs/>
          <w:sz w:val="44"/>
          <w:szCs w:val="36"/>
          <w:highlight w:val="none"/>
        </w:rPr>
      </w:pPr>
      <w:bookmarkStart w:id="0" w:name="_Toc29868"/>
      <w:bookmarkStart w:id="1" w:name="_Toc26266"/>
      <w:bookmarkStart w:id="2" w:name="_Toc6059"/>
    </w:p>
    <w:p w14:paraId="4AC51E44">
      <w:pPr>
        <w:spacing w:line="480" w:lineRule="auto"/>
        <w:jc w:val="center"/>
        <w:outlineLvl w:val="0"/>
        <w:rPr>
          <w:rFonts w:asciiTheme="minorEastAsia" w:hAnsiTheme="minorEastAsia" w:eastAsiaTheme="minorEastAsia" w:cstheme="minorEastAsia"/>
          <w:bCs/>
          <w:sz w:val="44"/>
          <w:szCs w:val="36"/>
          <w:highlight w:val="none"/>
        </w:rPr>
      </w:pPr>
      <w:r>
        <w:rPr>
          <w:rFonts w:hint="eastAsia" w:asciiTheme="minorEastAsia" w:hAnsiTheme="minorEastAsia" w:eastAsiaTheme="minorEastAsia" w:cstheme="minorEastAsia"/>
          <w:bCs/>
          <w:sz w:val="44"/>
          <w:szCs w:val="36"/>
          <w:highlight w:val="none"/>
        </w:rPr>
        <w:t>目录</w:t>
      </w:r>
      <w:bookmarkEnd w:id="0"/>
      <w:bookmarkEnd w:id="1"/>
      <w:bookmarkEnd w:id="2"/>
    </w:p>
    <w:p w14:paraId="635C7C1B">
      <w:pPr>
        <w:pStyle w:val="10"/>
        <w:tabs>
          <w:tab w:val="right" w:leader="dot" w:pos="8306"/>
        </w:tabs>
        <w:spacing w:line="560" w:lineRule="exact"/>
        <w:rPr>
          <w:rFonts w:ascii="黑体" w:hAnsi="黑体" w:eastAsia="黑体" w:cs="黑体"/>
          <w:sz w:val="24"/>
          <w:highlight w:val="none"/>
        </w:rPr>
      </w:pPr>
      <w:r>
        <w:rPr>
          <w:rFonts w:hint="eastAsia" w:ascii="黑体" w:hAnsi="黑体" w:eastAsia="黑体" w:cs="黑体"/>
          <w:b/>
          <w:sz w:val="24"/>
          <w:highlight w:val="none"/>
        </w:rPr>
        <w:fldChar w:fldCharType="begin"/>
      </w:r>
      <w:r>
        <w:rPr>
          <w:rFonts w:hint="eastAsia" w:ascii="黑体" w:hAnsi="黑体" w:eastAsia="黑体" w:cs="黑体"/>
          <w:b/>
          <w:sz w:val="24"/>
          <w:highlight w:val="none"/>
        </w:rPr>
        <w:instrText xml:space="preserve">TOC \o "1-2" \h \u </w:instrText>
      </w:r>
      <w:r>
        <w:rPr>
          <w:rFonts w:hint="eastAsia" w:ascii="黑体" w:hAnsi="黑体" w:eastAsia="黑体" w:cs="黑体"/>
          <w:b/>
          <w:sz w:val="24"/>
          <w:highlight w:val="none"/>
        </w:rPr>
        <w:fldChar w:fldCharType="separate"/>
      </w:r>
    </w:p>
    <w:p w14:paraId="01AC64E9">
      <w:pPr>
        <w:pStyle w:val="10"/>
        <w:tabs>
          <w:tab w:val="right" w:leader="dot" w:pos="8306"/>
        </w:tabs>
        <w:spacing w:line="560" w:lineRule="exact"/>
        <w:rPr>
          <w:rFonts w:ascii="黑体" w:hAnsi="黑体" w:eastAsia="黑体" w:cs="黑体"/>
          <w:sz w:val="24"/>
          <w:highlight w:val="none"/>
        </w:rPr>
      </w:pPr>
      <w:r>
        <w:rPr>
          <w:highlight w:val="none"/>
        </w:rPr>
        <w:fldChar w:fldCharType="begin"/>
      </w:r>
      <w:r>
        <w:rPr>
          <w:highlight w:val="none"/>
        </w:rPr>
        <w:instrText xml:space="preserve"> HYPERLINK \l "_Toc16459" </w:instrText>
      </w:r>
      <w:r>
        <w:rPr>
          <w:highlight w:val="none"/>
        </w:rPr>
        <w:fldChar w:fldCharType="separate"/>
      </w:r>
      <w:r>
        <w:rPr>
          <w:rFonts w:hint="eastAsia" w:ascii="黑体" w:hAnsi="黑体" w:eastAsia="黑体" w:cs="黑体"/>
          <w:sz w:val="24"/>
          <w:highlight w:val="none"/>
        </w:rPr>
        <w:t xml:space="preserve">1  </w:t>
      </w:r>
      <w:r>
        <w:rPr>
          <w:rFonts w:hint="eastAsia" w:ascii="黑体" w:hAnsi="黑体" w:eastAsia="黑体" w:cs="黑体"/>
          <w:sz w:val="24"/>
          <w:highlight w:val="none"/>
          <w:lang w:val="en-US" w:eastAsia="zh-CN"/>
        </w:rPr>
        <w:t>项目</w:t>
      </w:r>
      <w:r>
        <w:rPr>
          <w:rFonts w:hint="eastAsia" w:ascii="黑体" w:hAnsi="黑体" w:eastAsia="黑体" w:cs="黑体"/>
          <w:sz w:val="24"/>
          <w:highlight w:val="none"/>
        </w:rPr>
        <w:t>概况</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_Toc16459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3</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p>
    <w:p w14:paraId="4795B7ED">
      <w:pPr>
        <w:pStyle w:val="10"/>
        <w:tabs>
          <w:tab w:val="right" w:leader="dot" w:pos="8306"/>
        </w:tabs>
        <w:spacing w:line="560" w:lineRule="exact"/>
        <w:rPr>
          <w:rFonts w:ascii="黑体" w:hAnsi="黑体" w:eastAsia="黑体" w:cs="黑体"/>
          <w:sz w:val="24"/>
          <w:highlight w:val="none"/>
        </w:rPr>
      </w:pPr>
      <w:r>
        <w:rPr>
          <w:highlight w:val="none"/>
        </w:rPr>
        <w:fldChar w:fldCharType="begin"/>
      </w:r>
      <w:r>
        <w:rPr>
          <w:highlight w:val="none"/>
        </w:rPr>
        <w:instrText xml:space="preserve"> HYPERLINK \l "_Toc7671" </w:instrText>
      </w:r>
      <w:r>
        <w:rPr>
          <w:highlight w:val="none"/>
        </w:rPr>
        <w:fldChar w:fldCharType="separate"/>
      </w:r>
      <w:r>
        <w:rPr>
          <w:rFonts w:hint="eastAsia" w:ascii="黑体" w:hAnsi="黑体" w:eastAsia="黑体" w:cs="黑体"/>
          <w:kern w:val="0"/>
          <w:sz w:val="24"/>
          <w:highlight w:val="none"/>
        </w:rPr>
        <w:t xml:space="preserve">2  </w:t>
      </w:r>
      <w:r>
        <w:rPr>
          <w:rFonts w:hint="eastAsia" w:ascii="黑体" w:hAnsi="黑体" w:eastAsia="黑体" w:cs="黑体"/>
          <w:sz w:val="24"/>
          <w:highlight w:val="none"/>
        </w:rPr>
        <w:t>项目要求</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_Toc7671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3</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p>
    <w:p w14:paraId="5B783D76">
      <w:pPr>
        <w:pStyle w:val="10"/>
        <w:tabs>
          <w:tab w:val="right" w:leader="dot" w:pos="8306"/>
        </w:tabs>
        <w:spacing w:line="560" w:lineRule="exact"/>
        <w:rPr>
          <w:rFonts w:ascii="黑体" w:hAnsi="黑体" w:eastAsia="黑体" w:cs="黑体"/>
          <w:sz w:val="24"/>
          <w:highlight w:val="none"/>
        </w:rPr>
      </w:pPr>
      <w:r>
        <w:rPr>
          <w:highlight w:val="none"/>
        </w:rPr>
        <w:fldChar w:fldCharType="begin"/>
      </w:r>
      <w:r>
        <w:rPr>
          <w:highlight w:val="none"/>
        </w:rPr>
        <w:instrText xml:space="preserve"> HYPERLINK \l "_Toc16082" </w:instrText>
      </w:r>
      <w:r>
        <w:rPr>
          <w:highlight w:val="none"/>
        </w:rPr>
        <w:fldChar w:fldCharType="separate"/>
      </w:r>
      <w:r>
        <w:rPr>
          <w:rFonts w:hint="eastAsia" w:ascii="黑体" w:hAnsi="黑体" w:eastAsia="黑体" w:cs="黑体"/>
          <w:sz w:val="24"/>
          <w:highlight w:val="none"/>
        </w:rPr>
        <w:t>3  技术服务的要求</w:t>
      </w:r>
      <w:r>
        <w:rPr>
          <w:rFonts w:hint="eastAsia" w:ascii="黑体" w:hAnsi="黑体" w:eastAsia="黑体" w:cs="黑体"/>
          <w:sz w:val="24"/>
          <w:highlight w:val="none"/>
        </w:rPr>
        <w:tab/>
      </w:r>
      <w:r>
        <w:rPr>
          <w:rFonts w:hint="eastAsia" w:ascii="黑体" w:hAnsi="黑体" w:eastAsia="黑体" w:cs="黑体"/>
          <w:sz w:val="24"/>
          <w:highlight w:val="none"/>
          <w:lang w:val="en-US" w:eastAsia="zh-CN"/>
        </w:rPr>
        <w:t>3</w:t>
      </w:r>
      <w:r>
        <w:rPr>
          <w:rFonts w:hint="eastAsia" w:ascii="黑体" w:hAnsi="黑体" w:eastAsia="黑体" w:cs="黑体"/>
          <w:sz w:val="24"/>
          <w:highlight w:val="none"/>
        </w:rPr>
        <w:fldChar w:fldCharType="end"/>
      </w:r>
    </w:p>
    <w:p w14:paraId="3FB49D58">
      <w:pPr>
        <w:pStyle w:val="10"/>
        <w:tabs>
          <w:tab w:val="right" w:leader="dot" w:pos="8306"/>
        </w:tabs>
        <w:spacing w:line="560" w:lineRule="exact"/>
        <w:rPr>
          <w:rFonts w:ascii="黑体" w:hAnsi="黑体" w:eastAsia="黑体" w:cs="黑体"/>
          <w:sz w:val="24"/>
          <w:highlight w:val="none"/>
        </w:rPr>
      </w:pPr>
      <w:r>
        <w:rPr>
          <w:highlight w:val="none"/>
        </w:rPr>
        <w:fldChar w:fldCharType="begin"/>
      </w:r>
      <w:r>
        <w:rPr>
          <w:highlight w:val="none"/>
        </w:rPr>
        <w:instrText xml:space="preserve"> HYPERLINK \l "_Toc21612" </w:instrText>
      </w:r>
      <w:r>
        <w:rPr>
          <w:highlight w:val="none"/>
        </w:rPr>
        <w:fldChar w:fldCharType="separate"/>
      </w:r>
      <w:r>
        <w:rPr>
          <w:rFonts w:hint="eastAsia" w:ascii="黑体" w:hAnsi="黑体" w:eastAsia="黑体" w:cs="黑体"/>
          <w:sz w:val="24"/>
          <w:highlight w:val="none"/>
        </w:rPr>
        <w:t>4  时间进度要求</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_Toc21612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3</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p>
    <w:p w14:paraId="6DB643A9">
      <w:pPr>
        <w:pStyle w:val="10"/>
        <w:tabs>
          <w:tab w:val="right" w:leader="dot" w:pos="8306"/>
        </w:tabs>
        <w:spacing w:line="560" w:lineRule="exact"/>
        <w:rPr>
          <w:rFonts w:ascii="黑体" w:hAnsi="黑体" w:eastAsia="黑体" w:cs="黑体"/>
          <w:sz w:val="24"/>
          <w:highlight w:val="none"/>
        </w:rPr>
      </w:pPr>
      <w:r>
        <w:rPr>
          <w:highlight w:val="none"/>
        </w:rPr>
        <w:fldChar w:fldCharType="begin"/>
      </w:r>
      <w:r>
        <w:rPr>
          <w:highlight w:val="none"/>
        </w:rPr>
        <w:instrText xml:space="preserve"> HYPERLINK \l "_Toc8651" </w:instrText>
      </w:r>
      <w:r>
        <w:rPr>
          <w:highlight w:val="none"/>
        </w:rPr>
        <w:fldChar w:fldCharType="separate"/>
      </w:r>
      <w:r>
        <w:rPr>
          <w:rFonts w:hint="eastAsia" w:ascii="黑体" w:hAnsi="黑体" w:eastAsia="黑体" w:cs="黑体"/>
          <w:sz w:val="24"/>
          <w:highlight w:val="none"/>
        </w:rPr>
        <w:t>5  交付与验收</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_Toc8651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4</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p>
    <w:p w14:paraId="4A168F30">
      <w:pPr>
        <w:pStyle w:val="10"/>
        <w:tabs>
          <w:tab w:val="right" w:leader="dot" w:pos="8306"/>
        </w:tabs>
        <w:spacing w:line="560" w:lineRule="exact"/>
        <w:rPr>
          <w:rFonts w:ascii="黑体" w:hAnsi="黑体" w:eastAsia="黑体" w:cs="黑体"/>
          <w:sz w:val="24"/>
          <w:highlight w:val="none"/>
        </w:rPr>
      </w:pPr>
      <w:r>
        <w:rPr>
          <w:highlight w:val="none"/>
        </w:rPr>
        <w:fldChar w:fldCharType="begin"/>
      </w:r>
      <w:r>
        <w:rPr>
          <w:highlight w:val="none"/>
        </w:rPr>
        <w:instrText xml:space="preserve"> HYPERLINK \l "_Toc859" </w:instrText>
      </w:r>
      <w:r>
        <w:rPr>
          <w:highlight w:val="none"/>
        </w:rPr>
        <w:fldChar w:fldCharType="separate"/>
      </w:r>
      <w:r>
        <w:rPr>
          <w:rFonts w:hint="eastAsia" w:ascii="黑体" w:hAnsi="黑体" w:eastAsia="黑体" w:cs="黑体"/>
          <w:sz w:val="24"/>
          <w:highlight w:val="none"/>
        </w:rPr>
        <w:t>6  投标技术文件要求</w:t>
      </w:r>
      <w:r>
        <w:rPr>
          <w:rFonts w:hint="eastAsia" w:ascii="黑体" w:hAnsi="黑体" w:eastAsia="黑体" w:cs="黑体"/>
          <w:sz w:val="24"/>
          <w:highlight w:val="none"/>
        </w:rPr>
        <w:tab/>
      </w:r>
      <w:r>
        <w:rPr>
          <w:rFonts w:hint="eastAsia" w:ascii="黑体" w:hAnsi="黑体" w:eastAsia="黑体" w:cs="黑体"/>
          <w:sz w:val="24"/>
          <w:highlight w:val="none"/>
        </w:rPr>
        <w:fldChar w:fldCharType="begin"/>
      </w:r>
      <w:r>
        <w:rPr>
          <w:rFonts w:hint="eastAsia" w:ascii="黑体" w:hAnsi="黑体" w:eastAsia="黑体" w:cs="黑体"/>
          <w:sz w:val="24"/>
          <w:highlight w:val="none"/>
        </w:rPr>
        <w:instrText xml:space="preserve"> PAGEREF _Toc859 </w:instrText>
      </w:r>
      <w:r>
        <w:rPr>
          <w:rFonts w:hint="eastAsia" w:ascii="黑体" w:hAnsi="黑体" w:eastAsia="黑体" w:cs="黑体"/>
          <w:sz w:val="24"/>
          <w:highlight w:val="none"/>
        </w:rPr>
        <w:fldChar w:fldCharType="separate"/>
      </w:r>
      <w:r>
        <w:rPr>
          <w:rFonts w:hint="eastAsia" w:ascii="黑体" w:hAnsi="黑体" w:eastAsia="黑体" w:cs="黑体"/>
          <w:sz w:val="24"/>
          <w:highlight w:val="none"/>
        </w:rPr>
        <w:t>4</w:t>
      </w:r>
      <w:r>
        <w:rPr>
          <w:rFonts w:hint="eastAsia" w:ascii="黑体" w:hAnsi="黑体" w:eastAsia="黑体" w:cs="黑体"/>
          <w:sz w:val="24"/>
          <w:highlight w:val="none"/>
        </w:rPr>
        <w:fldChar w:fldCharType="end"/>
      </w:r>
      <w:r>
        <w:rPr>
          <w:rFonts w:hint="eastAsia" w:ascii="黑体" w:hAnsi="黑体" w:eastAsia="黑体" w:cs="黑体"/>
          <w:sz w:val="24"/>
          <w:highlight w:val="none"/>
        </w:rPr>
        <w:fldChar w:fldCharType="end"/>
      </w:r>
    </w:p>
    <w:p w14:paraId="1B42A626">
      <w:pPr>
        <w:spacing w:line="560" w:lineRule="exact"/>
        <w:rPr>
          <w:rFonts w:hint="eastAsia" w:ascii="黑体" w:hAnsi="黑体" w:eastAsia="黑体" w:cs="黑体"/>
          <w:sz w:val="24"/>
          <w:highlight w:val="none"/>
        </w:rPr>
      </w:pPr>
      <w:r>
        <w:rPr>
          <w:rFonts w:hint="eastAsia" w:ascii="黑体" w:hAnsi="黑体" w:eastAsia="黑体" w:cs="黑体"/>
          <w:sz w:val="24"/>
          <w:highlight w:val="none"/>
        </w:rPr>
        <w:fldChar w:fldCharType="end"/>
      </w:r>
    </w:p>
    <w:p w14:paraId="7B2E46BE">
      <w:pPr>
        <w:rPr>
          <w:rFonts w:hint="eastAsia" w:ascii="黑体" w:hAnsi="黑体" w:eastAsia="黑体" w:cs="黑体"/>
          <w:sz w:val="24"/>
          <w:highlight w:val="none"/>
        </w:rPr>
      </w:pPr>
      <w:r>
        <w:rPr>
          <w:rFonts w:hint="eastAsia" w:ascii="黑体" w:hAnsi="黑体" w:eastAsia="黑体" w:cs="黑体"/>
          <w:sz w:val="24"/>
          <w:highlight w:val="none"/>
        </w:rPr>
        <w:br w:type="page"/>
      </w:r>
    </w:p>
    <w:p w14:paraId="552A2F8C">
      <w:pPr>
        <w:pStyle w:val="2"/>
        <w:rPr>
          <w:highlight w:val="none"/>
        </w:rPr>
      </w:pPr>
    </w:p>
    <w:p w14:paraId="4B76436B">
      <w:pPr>
        <w:spacing w:line="480" w:lineRule="auto"/>
        <w:jc w:val="center"/>
        <w:outlineLvl w:val="0"/>
        <w:rPr>
          <w:rFonts w:ascii="宋体" w:hAnsi="宋体"/>
          <w:b/>
          <w:sz w:val="32"/>
          <w:highlight w:val="none"/>
        </w:rPr>
      </w:pPr>
      <w:bookmarkStart w:id="3" w:name="_Toc9243"/>
      <w:bookmarkStart w:id="4" w:name="_Toc19589"/>
      <w:bookmarkStart w:id="5" w:name="_Toc32342"/>
      <w:bookmarkStart w:id="6" w:name="_Toc266713645"/>
      <w:r>
        <w:rPr>
          <w:rFonts w:hint="eastAsia" w:ascii="宋体" w:hAnsi="宋体"/>
          <w:b/>
          <w:sz w:val="32"/>
          <w:highlight w:val="none"/>
        </w:rPr>
        <w:t>总 则</w:t>
      </w:r>
      <w:bookmarkEnd w:id="3"/>
      <w:bookmarkEnd w:id="4"/>
      <w:bookmarkEnd w:id="5"/>
      <w:bookmarkEnd w:id="6"/>
    </w:p>
    <w:p w14:paraId="1C316BA8">
      <w:pPr>
        <w:numPr>
          <w:ilvl w:val="0"/>
          <w:numId w:val="2"/>
        </w:numPr>
        <w:spacing w:line="360" w:lineRule="auto"/>
        <w:rPr>
          <w:rFonts w:ascii="宋体" w:hAnsi="宋体"/>
          <w:bCs/>
          <w:sz w:val="24"/>
          <w:highlight w:val="none"/>
        </w:rPr>
      </w:pPr>
      <w:r>
        <w:rPr>
          <w:rFonts w:hint="eastAsia" w:ascii="宋体" w:hAnsi="宋体"/>
          <w:bCs/>
          <w:sz w:val="24"/>
          <w:highlight w:val="none"/>
        </w:rPr>
        <w:t>本文件为</w:t>
      </w:r>
      <w:r>
        <w:rPr>
          <w:rFonts w:hint="eastAsia" w:ascii="宋体" w:hAnsi="宋体"/>
          <w:bCs/>
          <w:sz w:val="24"/>
          <w:highlight w:val="none"/>
          <w:lang w:val="en-US" w:eastAsia="zh-CN"/>
        </w:rPr>
        <w:t>该采购项目的</w:t>
      </w:r>
      <w:r>
        <w:rPr>
          <w:rFonts w:hint="eastAsia" w:ascii="宋体" w:hAnsi="宋体"/>
          <w:bCs/>
          <w:sz w:val="24"/>
          <w:highlight w:val="none"/>
        </w:rPr>
        <w:t>技术招标文件。</w:t>
      </w:r>
    </w:p>
    <w:p w14:paraId="12198DC6">
      <w:pPr>
        <w:numPr>
          <w:ilvl w:val="0"/>
          <w:numId w:val="2"/>
        </w:numPr>
        <w:spacing w:line="360" w:lineRule="auto"/>
        <w:rPr>
          <w:rFonts w:ascii="宋体" w:hAnsi="宋体"/>
          <w:bCs/>
          <w:sz w:val="24"/>
          <w:highlight w:val="none"/>
        </w:rPr>
      </w:pPr>
      <w:r>
        <w:rPr>
          <w:rFonts w:hint="eastAsia" w:ascii="宋体" w:hAnsi="宋体"/>
          <w:bCs/>
          <w:sz w:val="24"/>
          <w:highlight w:val="none"/>
        </w:rPr>
        <w:t>本文件所描述的各</w:t>
      </w:r>
      <w:r>
        <w:rPr>
          <w:rFonts w:hint="eastAsia" w:hAnsi="宋体"/>
          <w:bCs/>
          <w:sz w:val="24"/>
          <w:highlight w:val="none"/>
        </w:rPr>
        <w:t>项技术要求</w:t>
      </w:r>
      <w:r>
        <w:rPr>
          <w:rFonts w:hint="eastAsia" w:ascii="宋体" w:hAnsi="宋体"/>
          <w:bCs/>
          <w:sz w:val="24"/>
          <w:highlight w:val="none"/>
        </w:rPr>
        <w:t>仅供投标方编制投标文件之用。</w:t>
      </w:r>
    </w:p>
    <w:p w14:paraId="07ED0199">
      <w:pPr>
        <w:numPr>
          <w:ilvl w:val="0"/>
          <w:numId w:val="2"/>
        </w:numPr>
        <w:spacing w:line="360" w:lineRule="auto"/>
        <w:rPr>
          <w:rFonts w:ascii="宋体" w:hAnsi="宋体"/>
          <w:bCs/>
          <w:sz w:val="24"/>
          <w:highlight w:val="none"/>
        </w:rPr>
      </w:pPr>
      <w:r>
        <w:rPr>
          <w:rFonts w:hint="eastAsia" w:ascii="宋体" w:hAnsi="宋体"/>
          <w:bCs/>
          <w:sz w:val="24"/>
          <w:highlight w:val="none"/>
        </w:rPr>
        <w:t>本标书仅描述基本的技术需求，并未对一切技术细节做出规定，也未充分引述有关标准和技术条文，投标方应根据需求目标提供进一步具体的可满足要求的</w:t>
      </w:r>
      <w:r>
        <w:rPr>
          <w:rFonts w:hint="eastAsia" w:hAnsi="宋体"/>
          <w:bCs/>
          <w:sz w:val="24"/>
          <w:highlight w:val="none"/>
        </w:rPr>
        <w:t>技术</w:t>
      </w:r>
      <w:r>
        <w:rPr>
          <w:rFonts w:hint="eastAsia" w:ascii="宋体" w:hAnsi="宋体"/>
          <w:bCs/>
          <w:sz w:val="24"/>
          <w:highlight w:val="none"/>
        </w:rPr>
        <w:t>指标。</w:t>
      </w:r>
    </w:p>
    <w:p w14:paraId="63A7A12F">
      <w:pPr>
        <w:numPr>
          <w:ilvl w:val="0"/>
          <w:numId w:val="2"/>
        </w:numPr>
        <w:spacing w:line="360" w:lineRule="auto"/>
        <w:rPr>
          <w:rFonts w:ascii="宋体" w:hAnsi="宋体"/>
          <w:bCs/>
          <w:sz w:val="24"/>
          <w:highlight w:val="none"/>
        </w:rPr>
      </w:pPr>
      <w:r>
        <w:rPr>
          <w:rFonts w:hint="eastAsia" w:ascii="宋体" w:hAnsi="宋体"/>
          <w:bCs/>
          <w:sz w:val="24"/>
          <w:highlight w:val="none"/>
        </w:rPr>
        <w:t>投标技术文件要求文字精练、数据准确、表述及图示清晰明确，具有针对性。</w:t>
      </w:r>
    </w:p>
    <w:p w14:paraId="45D2F8DF">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投标方在投标技术文件中应对本标书逐项予以说明和答复,应如实反映投标</w:t>
      </w:r>
      <w:r>
        <w:rPr>
          <w:rFonts w:hint="eastAsia" w:hAnsi="宋体"/>
          <w:bCs/>
          <w:sz w:val="24"/>
          <w:szCs w:val="22"/>
          <w:highlight w:val="none"/>
        </w:rPr>
        <w:t>服务</w:t>
      </w:r>
      <w:r>
        <w:rPr>
          <w:rFonts w:hint="eastAsia" w:ascii="宋体" w:hAnsi="宋体"/>
          <w:bCs/>
          <w:sz w:val="24"/>
          <w:szCs w:val="22"/>
          <w:highlight w:val="none"/>
        </w:rPr>
        <w:t>与本技术规范书的技术差异。如果投标方没有提出技术差异，而在执行合同的过程中，招标方发现投标方提供的</w:t>
      </w:r>
      <w:r>
        <w:rPr>
          <w:rFonts w:hint="eastAsia" w:hAnsi="宋体"/>
          <w:bCs/>
          <w:sz w:val="24"/>
          <w:szCs w:val="22"/>
          <w:highlight w:val="none"/>
        </w:rPr>
        <w:t>服务</w:t>
      </w:r>
      <w:r>
        <w:rPr>
          <w:rFonts w:hint="eastAsia" w:ascii="宋体" w:hAnsi="宋体"/>
          <w:bCs/>
          <w:sz w:val="24"/>
          <w:szCs w:val="22"/>
          <w:highlight w:val="none"/>
        </w:rPr>
        <w:t>与其投标技术文件的条文存在差异，招标方</w:t>
      </w:r>
      <w:r>
        <w:rPr>
          <w:rFonts w:hint="eastAsia" w:hAnsi="宋体"/>
          <w:bCs/>
          <w:sz w:val="24"/>
          <w:szCs w:val="22"/>
          <w:highlight w:val="none"/>
        </w:rPr>
        <w:t>将</w:t>
      </w:r>
      <w:r>
        <w:rPr>
          <w:rFonts w:hint="eastAsia" w:ascii="宋体" w:hAnsi="宋体"/>
          <w:bCs/>
          <w:sz w:val="24"/>
          <w:szCs w:val="22"/>
          <w:highlight w:val="none"/>
        </w:rPr>
        <w:t>追究投标方违约责任</w:t>
      </w:r>
      <w:r>
        <w:rPr>
          <w:rFonts w:hint="eastAsia" w:ascii="宋体" w:hAnsi="宋体"/>
          <w:bCs/>
          <w:sz w:val="24"/>
          <w:highlight w:val="none"/>
        </w:rPr>
        <w:t>。</w:t>
      </w:r>
    </w:p>
    <w:p w14:paraId="55B32080">
      <w:pPr>
        <w:numPr>
          <w:ilvl w:val="0"/>
          <w:numId w:val="2"/>
        </w:numPr>
        <w:spacing w:line="360" w:lineRule="auto"/>
        <w:rPr>
          <w:rFonts w:ascii="宋体" w:hAnsi="宋体"/>
          <w:bCs/>
          <w:sz w:val="24"/>
          <w:highlight w:val="none"/>
        </w:rPr>
      </w:pPr>
      <w:r>
        <w:rPr>
          <w:rFonts w:hint="eastAsia" w:ascii="宋体" w:hAnsi="宋体"/>
          <w:bCs/>
          <w:sz w:val="24"/>
          <w:szCs w:val="22"/>
          <w:highlight w:val="none"/>
        </w:rPr>
        <w:t>投标方应在投标技术部分按本技术规范书的要求</w:t>
      </w:r>
      <w:r>
        <w:rPr>
          <w:rFonts w:hint="eastAsia" w:hAnsi="宋体"/>
          <w:bCs/>
          <w:sz w:val="24"/>
          <w:szCs w:val="22"/>
          <w:highlight w:val="none"/>
        </w:rPr>
        <w:t>内容</w:t>
      </w:r>
      <w:r>
        <w:rPr>
          <w:rFonts w:hint="eastAsia" w:ascii="宋体" w:hAnsi="宋体"/>
          <w:bCs/>
          <w:sz w:val="24"/>
          <w:szCs w:val="22"/>
          <w:highlight w:val="none"/>
        </w:rPr>
        <w:t>如实详细填写投标</w:t>
      </w:r>
      <w:r>
        <w:rPr>
          <w:rFonts w:hint="eastAsia" w:hAnsi="宋体"/>
          <w:bCs/>
          <w:sz w:val="24"/>
          <w:szCs w:val="22"/>
          <w:highlight w:val="none"/>
        </w:rPr>
        <w:t>服务</w:t>
      </w:r>
      <w:r>
        <w:rPr>
          <w:rFonts w:hint="eastAsia" w:ascii="宋体" w:hAnsi="宋体"/>
          <w:bCs/>
          <w:sz w:val="24"/>
          <w:szCs w:val="22"/>
          <w:highlight w:val="none"/>
        </w:rPr>
        <w:t>的</w:t>
      </w:r>
      <w:r>
        <w:rPr>
          <w:rFonts w:hint="eastAsia" w:hAnsi="宋体"/>
          <w:bCs/>
          <w:sz w:val="24"/>
          <w:szCs w:val="22"/>
          <w:highlight w:val="none"/>
        </w:rPr>
        <w:t>范围及明细</w:t>
      </w:r>
      <w:r>
        <w:rPr>
          <w:rFonts w:hint="eastAsia" w:ascii="宋体" w:hAnsi="宋体"/>
          <w:bCs/>
          <w:sz w:val="24"/>
          <w:szCs w:val="22"/>
          <w:highlight w:val="none"/>
        </w:rPr>
        <w:t>，并在投标商务部分</w:t>
      </w:r>
      <w:r>
        <w:rPr>
          <w:rFonts w:hint="eastAsia" w:hAnsi="宋体"/>
          <w:bCs/>
          <w:sz w:val="24"/>
          <w:szCs w:val="22"/>
          <w:highlight w:val="none"/>
        </w:rPr>
        <w:t>（或报价部分）</w:t>
      </w:r>
      <w:r>
        <w:rPr>
          <w:rFonts w:hint="eastAsia" w:ascii="宋体" w:hAnsi="宋体"/>
          <w:bCs/>
          <w:sz w:val="24"/>
          <w:szCs w:val="22"/>
          <w:highlight w:val="none"/>
        </w:rPr>
        <w:t>按</w:t>
      </w:r>
      <w:r>
        <w:rPr>
          <w:rFonts w:hint="eastAsia" w:hAnsi="宋体"/>
          <w:bCs/>
          <w:sz w:val="24"/>
          <w:szCs w:val="22"/>
          <w:highlight w:val="none"/>
        </w:rPr>
        <w:t>此范围及明细</w:t>
      </w:r>
      <w:r>
        <w:rPr>
          <w:rFonts w:hint="eastAsia" w:ascii="宋体" w:hAnsi="宋体"/>
          <w:bCs/>
          <w:sz w:val="24"/>
          <w:szCs w:val="22"/>
          <w:highlight w:val="none"/>
        </w:rPr>
        <w:t>进行</w:t>
      </w:r>
      <w:r>
        <w:rPr>
          <w:rFonts w:hint="eastAsia" w:hAnsi="宋体"/>
          <w:bCs/>
          <w:sz w:val="24"/>
          <w:szCs w:val="22"/>
          <w:highlight w:val="none"/>
        </w:rPr>
        <w:t>分项</w:t>
      </w:r>
      <w:r>
        <w:rPr>
          <w:rFonts w:hint="eastAsia" w:ascii="宋体" w:hAnsi="宋体"/>
          <w:bCs/>
          <w:sz w:val="24"/>
          <w:szCs w:val="22"/>
          <w:highlight w:val="none"/>
        </w:rPr>
        <w:t>报价，如发现</w:t>
      </w:r>
      <w:r>
        <w:rPr>
          <w:rFonts w:hint="eastAsia" w:hAnsi="宋体"/>
          <w:bCs/>
          <w:sz w:val="24"/>
          <w:szCs w:val="22"/>
          <w:highlight w:val="none"/>
        </w:rPr>
        <w:t>总报价与分项报价</w:t>
      </w:r>
      <w:r>
        <w:rPr>
          <w:rFonts w:hint="eastAsia" w:ascii="宋体" w:hAnsi="宋体"/>
          <w:bCs/>
          <w:sz w:val="24"/>
          <w:szCs w:val="22"/>
          <w:highlight w:val="none"/>
        </w:rPr>
        <w:t>有矛盾之处，将按有利于招标方的条款执行</w:t>
      </w:r>
      <w:r>
        <w:rPr>
          <w:rFonts w:hint="eastAsia" w:hAnsi="宋体"/>
          <w:bCs/>
          <w:sz w:val="24"/>
          <w:szCs w:val="22"/>
          <w:highlight w:val="none"/>
        </w:rPr>
        <w:t>。</w:t>
      </w:r>
      <w:r>
        <w:rPr>
          <w:rFonts w:hint="eastAsia" w:ascii="宋体" w:hAnsi="宋体"/>
          <w:bCs/>
          <w:sz w:val="24"/>
          <w:szCs w:val="22"/>
          <w:highlight w:val="none"/>
        </w:rPr>
        <w:t xml:space="preserve"> </w:t>
      </w:r>
    </w:p>
    <w:p w14:paraId="018C4FBD">
      <w:pPr>
        <w:numPr>
          <w:ilvl w:val="0"/>
          <w:numId w:val="2"/>
        </w:numPr>
        <w:spacing w:line="360" w:lineRule="auto"/>
        <w:rPr>
          <w:rFonts w:ascii="宋体" w:hAnsi="宋体"/>
          <w:bCs/>
          <w:sz w:val="24"/>
          <w:highlight w:val="none"/>
        </w:rPr>
      </w:pPr>
      <w:r>
        <w:rPr>
          <w:rFonts w:hint="eastAsia" w:ascii="宋体" w:hAnsi="宋体"/>
          <w:bCs/>
          <w:sz w:val="24"/>
          <w:highlight w:val="none"/>
        </w:rPr>
        <w:t>投标方必须仔细阅读采购文件的全部条款，并作出明确响应。采购文件带“★”号的条款及要求，</w:t>
      </w:r>
      <w:r>
        <w:rPr>
          <w:rFonts w:hint="eastAsia" w:ascii="宋体" w:hAnsi="宋体"/>
          <w:bCs/>
          <w:sz w:val="24"/>
          <w:highlight w:val="none"/>
          <w:lang w:val="en-US" w:eastAsia="zh-CN"/>
        </w:rPr>
        <w:t>投标</w:t>
      </w:r>
      <w:r>
        <w:rPr>
          <w:rFonts w:hint="eastAsia" w:ascii="宋体" w:hAnsi="宋体"/>
          <w:bCs/>
          <w:sz w:val="24"/>
          <w:highlight w:val="none"/>
        </w:rPr>
        <w:t>方必须满足，若有一项不满足将否决投标。</w:t>
      </w:r>
    </w:p>
    <w:p w14:paraId="0F3D58B9">
      <w:pPr>
        <w:numPr>
          <w:ilvl w:val="0"/>
          <w:numId w:val="2"/>
        </w:numPr>
        <w:spacing w:line="360" w:lineRule="auto"/>
        <w:rPr>
          <w:rFonts w:ascii="宋体" w:hAnsi="宋体"/>
          <w:bCs/>
          <w:sz w:val="24"/>
          <w:szCs w:val="22"/>
          <w:highlight w:val="none"/>
        </w:rPr>
      </w:pPr>
      <w:r>
        <w:rPr>
          <w:rFonts w:hint="eastAsia" w:ascii="宋体" w:hAnsi="宋体"/>
          <w:bCs/>
          <w:sz w:val="24"/>
          <w:szCs w:val="22"/>
          <w:highlight w:val="none"/>
        </w:rPr>
        <w:t>本技术规范书未尽事宜，由双方协商确定。</w:t>
      </w:r>
    </w:p>
    <w:p w14:paraId="4F9350EB">
      <w:pPr>
        <w:numPr>
          <w:ilvl w:val="0"/>
          <w:numId w:val="2"/>
        </w:numPr>
        <w:spacing w:line="360" w:lineRule="auto"/>
        <w:rPr>
          <w:rFonts w:ascii="宋体" w:hAnsi="宋体"/>
          <w:bCs/>
          <w:sz w:val="24"/>
          <w:highlight w:val="none"/>
        </w:rPr>
      </w:pPr>
      <w:r>
        <w:rPr>
          <w:rFonts w:hint="eastAsia" w:ascii="宋体" w:hAnsi="宋体"/>
          <w:bCs/>
          <w:sz w:val="24"/>
          <w:highlight w:val="none"/>
        </w:rPr>
        <w:t>本标书的最终解释权归招标方。</w:t>
      </w:r>
    </w:p>
    <w:p w14:paraId="045EFC7A">
      <w:pPr>
        <w:pStyle w:val="21"/>
        <w:spacing w:before="312"/>
        <w:rPr>
          <w:szCs w:val="22"/>
          <w:highlight w:val="none"/>
        </w:rPr>
      </w:pPr>
      <w:r>
        <w:rPr>
          <w:rFonts w:hint="eastAsia"/>
          <w:szCs w:val="22"/>
          <w:highlight w:val="none"/>
        </w:rPr>
        <w:br w:type="page"/>
      </w:r>
    </w:p>
    <w:p w14:paraId="2BFEC14E">
      <w:pPr>
        <w:pStyle w:val="21"/>
        <w:spacing w:before="312"/>
        <w:outlineLvl w:val="0"/>
        <w:rPr>
          <w:rFonts w:ascii="黑体" w:hAnsi="黑体" w:eastAsia="黑体" w:cs="黑体"/>
          <w:sz w:val="28"/>
          <w:szCs w:val="28"/>
          <w:highlight w:val="none"/>
        </w:rPr>
      </w:pPr>
      <w:bookmarkStart w:id="7" w:name="_Toc16459"/>
      <w:r>
        <w:rPr>
          <w:rFonts w:hint="eastAsia" w:ascii="黑体" w:hAnsi="黑体" w:eastAsia="黑体" w:cs="黑体"/>
          <w:sz w:val="28"/>
          <w:szCs w:val="28"/>
          <w:highlight w:val="none"/>
        </w:rPr>
        <w:t xml:space="preserve">1  </w:t>
      </w:r>
      <w:r>
        <w:rPr>
          <w:rFonts w:hint="eastAsia" w:ascii="黑体" w:hAnsi="黑体" w:eastAsia="黑体" w:cs="黑体"/>
          <w:sz w:val="28"/>
          <w:szCs w:val="28"/>
          <w:highlight w:val="none"/>
          <w:lang w:val="en-US" w:eastAsia="zh-CN"/>
        </w:rPr>
        <w:t>项目</w:t>
      </w:r>
      <w:r>
        <w:rPr>
          <w:rFonts w:hint="eastAsia" w:ascii="黑体" w:hAnsi="黑体" w:eastAsia="黑体" w:cs="黑体"/>
          <w:sz w:val="28"/>
          <w:szCs w:val="28"/>
          <w:highlight w:val="none"/>
        </w:rPr>
        <w:t>概况</w:t>
      </w:r>
      <w:bookmarkEnd w:id="7"/>
      <w:bookmarkStart w:id="8" w:name="_Toc17049"/>
      <w:bookmarkStart w:id="9" w:name="_Toc7301"/>
    </w:p>
    <w:bookmarkEnd w:id="8"/>
    <w:bookmarkEnd w:id="9"/>
    <w:p w14:paraId="75C90F8C">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0"/>
        <w:rPr>
          <w:rFonts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项目</w:t>
      </w:r>
      <w:r>
        <w:rPr>
          <w:rFonts w:hint="eastAsia" w:asciiTheme="minorEastAsia" w:hAnsiTheme="minorEastAsia" w:eastAsiaTheme="minorEastAsia" w:cstheme="minorEastAsia"/>
          <w:color w:val="000000"/>
          <w:sz w:val="24"/>
          <w:highlight w:val="none"/>
        </w:rPr>
        <w:t>名称：广州供电局电力科学研究院开关柜放电光谱诊断成套装置技术鉴定服务</w:t>
      </w:r>
    </w:p>
    <w:p w14:paraId="4EBBEAF3">
      <w:pPr>
        <w:keepNext w:val="0"/>
        <w:keepLines w:val="0"/>
        <w:pageBreakBefore w:val="0"/>
        <w:widowControl w:val="0"/>
        <w:kinsoku/>
        <w:wordWrap/>
        <w:overflowPunct/>
        <w:topLinePunct w:val="0"/>
        <w:autoSpaceDE/>
        <w:autoSpaceDN/>
        <w:bidi w:val="0"/>
        <w:spacing w:line="360" w:lineRule="auto"/>
        <w:textAlignment w:val="auto"/>
        <w:outlineLvl w:val="9"/>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lang w:val="en-US" w:eastAsia="zh-CN"/>
        </w:rPr>
        <w:t>概况</w:t>
      </w:r>
      <w:r>
        <w:rPr>
          <w:rFonts w:hint="eastAsia" w:asciiTheme="minorEastAsia" w:hAnsiTheme="minorEastAsia" w:eastAsiaTheme="minorEastAsia" w:cstheme="minorEastAsia"/>
          <w:color w:val="000000"/>
          <w:sz w:val="24"/>
          <w:highlight w:val="none"/>
        </w:rPr>
        <w:t>：开展开关柜放电光谱诊断成套装置技术鉴定服务，形成开关柜放电光谱诊断成套装置技术鉴定报告1份，具体服务内容以实际委托为准。</w:t>
      </w:r>
    </w:p>
    <w:p w14:paraId="7681D82B">
      <w:pPr>
        <w:spacing w:line="360" w:lineRule="auto"/>
        <w:ind w:left="720" w:hanging="720" w:hangingChars="300"/>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rPr>
        <w:t>工期：</w:t>
      </w:r>
      <w:r>
        <w:rPr>
          <w:rFonts w:hint="eastAsia" w:asciiTheme="minorEastAsia" w:hAnsiTheme="minorEastAsia" w:eastAsiaTheme="minorEastAsia" w:cstheme="minorEastAsia"/>
          <w:color w:val="000000"/>
          <w:sz w:val="24"/>
          <w:highlight w:val="none"/>
          <w:lang w:val="en-US" w:eastAsia="zh-CN"/>
        </w:rPr>
        <w:t>合同签订之日起至2026年1月31日。</w:t>
      </w:r>
    </w:p>
    <w:p w14:paraId="6F48A895">
      <w:pPr>
        <w:pStyle w:val="21"/>
        <w:spacing w:before="312"/>
        <w:outlineLvl w:val="0"/>
        <w:rPr>
          <w:rFonts w:ascii="黑体" w:hAnsi="黑体" w:eastAsia="黑体" w:cs="黑体"/>
          <w:sz w:val="28"/>
          <w:szCs w:val="28"/>
          <w:highlight w:val="none"/>
        </w:rPr>
      </w:pPr>
      <w:bookmarkStart w:id="10" w:name="_Toc7671"/>
      <w:r>
        <w:rPr>
          <w:rFonts w:hint="eastAsia" w:ascii="黑体" w:hAnsi="黑体" w:eastAsia="黑体" w:cs="黑体"/>
          <w:sz w:val="28"/>
          <w:szCs w:val="28"/>
          <w:highlight w:val="none"/>
        </w:rPr>
        <w:t>2  项目要求</w:t>
      </w:r>
      <w:bookmarkEnd w:id="10"/>
    </w:p>
    <w:p w14:paraId="441A7A18">
      <w:pPr>
        <w:spacing w:line="360" w:lineRule="auto"/>
        <w:outlineLvl w:val="1"/>
        <w:rPr>
          <w:rFonts w:hint="eastAsia" w:ascii="黑体" w:hAnsi="黑体" w:eastAsia="黑体" w:cs="黑体"/>
          <w:bCs/>
          <w:sz w:val="24"/>
          <w:highlight w:val="none"/>
        </w:rPr>
      </w:pPr>
      <w:bookmarkStart w:id="11" w:name="_Toc9074"/>
      <w:r>
        <w:rPr>
          <w:rFonts w:hint="eastAsia" w:ascii="黑体" w:hAnsi="黑体" w:eastAsia="黑体" w:cs="黑体"/>
          <w:bCs/>
          <w:sz w:val="24"/>
          <w:highlight w:val="none"/>
        </w:rPr>
        <w:t xml:space="preserve">2.1 </w:t>
      </w:r>
      <w:r>
        <w:rPr>
          <w:rFonts w:hint="eastAsia" w:ascii="黑体" w:hAnsi="黑体" w:eastAsia="黑体" w:cs="黑体"/>
          <w:bCs/>
          <w:sz w:val="24"/>
          <w:highlight w:val="none"/>
          <w:lang w:val="en-US" w:eastAsia="zh-CN"/>
        </w:rPr>
        <w:t>服务要求</w:t>
      </w:r>
      <w:r>
        <w:rPr>
          <w:rFonts w:hint="eastAsia" w:ascii="黑体" w:hAnsi="黑体" w:eastAsia="黑体" w:cs="黑体"/>
          <w:bCs/>
          <w:sz w:val="24"/>
          <w:highlight w:val="none"/>
        </w:rPr>
        <w:t>及标准</w:t>
      </w:r>
      <w:bookmarkEnd w:id="11"/>
    </w:p>
    <w:p w14:paraId="4D9A2255">
      <w:pPr>
        <w:spacing w:line="360" w:lineRule="auto"/>
        <w:ind w:firstLine="480" w:firstLineChars="200"/>
        <w:rPr>
          <w:rFonts w:hint="default"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供应商在获取需要技术鉴定的有关资料信息后，组织开展技术鉴定服务。具体的要求如下：</w:t>
      </w:r>
    </w:p>
    <w:tbl>
      <w:tblPr>
        <w:tblStyle w:val="12"/>
        <w:tblW w:w="869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53"/>
        <w:gridCol w:w="3809"/>
        <w:gridCol w:w="4031"/>
      </w:tblGrid>
      <w:tr w14:paraId="3E8FAD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53" w:type="dxa"/>
            <w:tcBorders>
              <w:tl2br w:val="nil"/>
              <w:tr2bl w:val="nil"/>
            </w:tcBorders>
            <w:vAlign w:val="center"/>
          </w:tcPr>
          <w:p w14:paraId="79903738">
            <w:pPr>
              <w:jc w:val="center"/>
              <w:rPr>
                <w:rFonts w:ascii="宋体" w:hAnsi="宋体" w:cs="宋体"/>
                <w:bCs/>
                <w:szCs w:val="21"/>
                <w:highlight w:val="none"/>
              </w:rPr>
            </w:pPr>
            <w:r>
              <w:rPr>
                <w:rFonts w:hint="eastAsia" w:ascii="宋体" w:hAnsi="宋体" w:cs="宋体"/>
                <w:bCs/>
                <w:szCs w:val="21"/>
                <w:highlight w:val="none"/>
              </w:rPr>
              <w:t>序号</w:t>
            </w:r>
          </w:p>
        </w:tc>
        <w:tc>
          <w:tcPr>
            <w:tcW w:w="3809" w:type="dxa"/>
            <w:tcBorders>
              <w:tl2br w:val="nil"/>
              <w:tr2bl w:val="nil"/>
            </w:tcBorders>
            <w:vAlign w:val="center"/>
          </w:tcPr>
          <w:p w14:paraId="7988D5A9">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服务要求</w:t>
            </w:r>
          </w:p>
        </w:tc>
        <w:tc>
          <w:tcPr>
            <w:tcW w:w="4031" w:type="dxa"/>
            <w:tcBorders>
              <w:tl2br w:val="nil"/>
              <w:tr2bl w:val="nil"/>
            </w:tcBorders>
            <w:vAlign w:val="center"/>
          </w:tcPr>
          <w:p w14:paraId="534AC6BF">
            <w:pPr>
              <w:jc w:val="center"/>
              <w:rPr>
                <w:rFonts w:hint="default" w:ascii="宋体" w:hAnsi="宋体" w:cs="宋体"/>
                <w:bCs/>
                <w:szCs w:val="21"/>
                <w:highlight w:val="none"/>
                <w:lang w:val="en-US" w:eastAsia="zh-CN"/>
              </w:rPr>
            </w:pPr>
            <w:r>
              <w:rPr>
                <w:rFonts w:hint="eastAsia" w:ascii="宋体" w:hAnsi="宋体" w:cs="宋体"/>
                <w:bCs/>
                <w:szCs w:val="21"/>
                <w:highlight w:val="none"/>
                <w:lang w:val="en-US" w:eastAsia="zh-CN"/>
              </w:rPr>
              <w:t>交付物</w:t>
            </w:r>
          </w:p>
        </w:tc>
      </w:tr>
      <w:tr w14:paraId="3DFDC4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52" w:hRule="atLeast"/>
          <w:jc w:val="center"/>
        </w:trPr>
        <w:tc>
          <w:tcPr>
            <w:tcW w:w="853" w:type="dxa"/>
            <w:tcBorders>
              <w:tl2br w:val="nil"/>
              <w:tr2bl w:val="nil"/>
            </w:tcBorders>
            <w:vAlign w:val="center"/>
          </w:tcPr>
          <w:p w14:paraId="3C5BC01E">
            <w:pPr>
              <w:jc w:val="center"/>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1</w:t>
            </w:r>
          </w:p>
        </w:tc>
        <w:tc>
          <w:tcPr>
            <w:tcW w:w="3809" w:type="dxa"/>
            <w:tcBorders>
              <w:tl2br w:val="nil"/>
              <w:tr2bl w:val="nil"/>
            </w:tcBorders>
            <w:vAlign w:val="center"/>
          </w:tcPr>
          <w:p w14:paraId="6406EFA0">
            <w:pPr>
              <w:spacing w:line="360" w:lineRule="auto"/>
              <w:jc w:val="both"/>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乙方根据甲方成果鉴定工作实际需要组织开展成果技术鉴定服务，乙方负责参会专家的邀请以及负责支付鉴定会议费及专家费，鉴定专家不少于7人，每名专家费不少于2000元。</w:t>
            </w:r>
          </w:p>
        </w:tc>
        <w:tc>
          <w:tcPr>
            <w:tcW w:w="4031" w:type="dxa"/>
            <w:tcBorders>
              <w:tl2br w:val="nil"/>
              <w:tr2bl w:val="nil"/>
            </w:tcBorders>
            <w:vAlign w:val="center"/>
          </w:tcPr>
          <w:p w14:paraId="2B19A86F">
            <w:pPr>
              <w:jc w:val="left"/>
              <w:rPr>
                <w:rFonts w:hint="default" w:ascii="宋体" w:hAnsi="宋体" w:eastAsia="宋体" w:cs="宋体"/>
                <w:bCs/>
                <w:szCs w:val="21"/>
                <w:highlight w:val="none"/>
                <w:lang w:val="en-US" w:eastAsia="zh-CN"/>
              </w:rPr>
            </w:pPr>
            <w:r>
              <w:rPr>
                <w:rFonts w:hint="eastAsia" w:asciiTheme="minorEastAsia" w:hAnsiTheme="minorEastAsia" w:eastAsiaTheme="minorEastAsia" w:cstheme="minorEastAsia"/>
                <w:color w:val="000000"/>
                <w:sz w:val="21"/>
                <w:szCs w:val="21"/>
                <w:highlight w:val="none"/>
              </w:rPr>
              <w:t>开关柜放电光谱诊断成套装置技术鉴定报告1份</w:t>
            </w:r>
          </w:p>
        </w:tc>
      </w:tr>
    </w:tbl>
    <w:p w14:paraId="085A5C26">
      <w:pPr>
        <w:spacing w:line="360" w:lineRule="auto"/>
        <w:outlineLvl w:val="1"/>
        <w:rPr>
          <w:rFonts w:hint="eastAsia" w:ascii="黑体" w:hAnsi="黑体" w:eastAsia="黑体" w:cs="黑体"/>
          <w:bCs/>
          <w:sz w:val="24"/>
          <w:highlight w:val="none"/>
        </w:rPr>
      </w:pPr>
      <w:bookmarkStart w:id="12" w:name="_Toc30644"/>
      <w:r>
        <w:rPr>
          <w:rFonts w:hint="eastAsia" w:ascii="黑体" w:hAnsi="黑体" w:eastAsia="黑体" w:cs="黑体"/>
          <w:bCs/>
          <w:sz w:val="24"/>
          <w:highlight w:val="none"/>
        </w:rPr>
        <w:t>2.2 运输方式</w:t>
      </w:r>
      <w:bookmarkEnd w:id="12"/>
    </w:p>
    <w:p w14:paraId="59F4CEAD">
      <w:pPr>
        <w:spacing w:line="360" w:lineRule="auto"/>
        <w:ind w:firstLine="480" w:firstLineChars="200"/>
        <w:outlineLvl w:val="1"/>
        <w:rPr>
          <w:rFonts w:hint="default"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邮寄交付物或人工送达至指定地点，因交付物产生的运费由供应商承担。</w:t>
      </w:r>
    </w:p>
    <w:p w14:paraId="373446B1">
      <w:pPr>
        <w:pStyle w:val="21"/>
        <w:spacing w:before="312"/>
        <w:outlineLvl w:val="0"/>
        <w:rPr>
          <w:rFonts w:ascii="黑体" w:hAnsi="黑体" w:eastAsia="黑体" w:cs="黑体"/>
          <w:sz w:val="28"/>
          <w:szCs w:val="28"/>
          <w:highlight w:val="none"/>
        </w:rPr>
      </w:pPr>
      <w:bookmarkStart w:id="13" w:name="_Toc16082"/>
      <w:r>
        <w:rPr>
          <w:rFonts w:hint="eastAsia" w:ascii="黑体" w:hAnsi="黑体" w:eastAsia="黑体" w:cs="黑体"/>
          <w:sz w:val="28"/>
          <w:szCs w:val="28"/>
          <w:highlight w:val="none"/>
        </w:rPr>
        <w:t>3  技术服务的要求</w:t>
      </w:r>
      <w:bookmarkEnd w:id="13"/>
    </w:p>
    <w:p w14:paraId="1E1EBFD4">
      <w:pPr>
        <w:spacing w:line="360" w:lineRule="auto"/>
        <w:outlineLvl w:val="1"/>
        <w:rPr>
          <w:rFonts w:asciiTheme="minorEastAsia" w:hAnsiTheme="minorEastAsia" w:eastAsiaTheme="minorEastAsia" w:cstheme="minorEastAsia"/>
          <w:color w:val="000000"/>
          <w:sz w:val="24"/>
          <w:highlight w:val="none"/>
        </w:rPr>
      </w:pPr>
      <w:bookmarkStart w:id="14" w:name="_Toc1749"/>
      <w:r>
        <w:rPr>
          <w:rFonts w:hint="eastAsia" w:ascii="黑体" w:hAnsi="黑体" w:eastAsia="黑体" w:cs="黑体"/>
          <w:bCs/>
          <w:sz w:val="24"/>
          <w:highlight w:val="none"/>
        </w:rPr>
        <w:t>3.1 资质要求</w:t>
      </w:r>
      <w:bookmarkEnd w:id="14"/>
    </w:p>
    <w:p w14:paraId="242671BE">
      <w:pPr>
        <w:spacing w:line="360" w:lineRule="auto"/>
        <w:outlineLvl w:val="1"/>
        <w:rPr>
          <w:rFonts w:asciiTheme="minorEastAsia" w:hAnsiTheme="minorEastAsia" w:eastAsiaTheme="minorEastAsia" w:cstheme="minorEastAsia"/>
          <w:color w:val="000000"/>
          <w:sz w:val="24"/>
          <w:highlight w:val="none"/>
        </w:rPr>
      </w:pPr>
      <w:bookmarkStart w:id="15" w:name="_Toc16023"/>
      <w:r>
        <w:rPr>
          <w:rFonts w:hint="eastAsia" w:ascii="黑体" w:hAnsi="黑体" w:eastAsia="黑体" w:cs="黑体"/>
          <w:bCs/>
          <w:sz w:val="24"/>
          <w:highlight w:val="none"/>
        </w:rPr>
        <w:t>3.2 人员、设备及场地要求</w:t>
      </w:r>
      <w:bookmarkEnd w:id="15"/>
    </w:p>
    <w:p w14:paraId="72CA7A2B">
      <w:pPr>
        <w:spacing w:line="360" w:lineRule="auto"/>
        <w:ind w:firstLine="480" w:firstLineChars="200"/>
        <w:outlineLvl w:val="1"/>
        <w:rPr>
          <w:rFonts w:hint="default"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无</w:t>
      </w:r>
    </w:p>
    <w:p w14:paraId="59977CE7">
      <w:pPr>
        <w:rPr>
          <w:rFonts w:hint="eastAsia" w:ascii="黑体" w:hAnsi="黑体" w:eastAsia="黑体" w:cs="黑体"/>
          <w:bCs/>
          <w:sz w:val="24"/>
          <w:highlight w:val="none"/>
        </w:rPr>
      </w:pPr>
      <w:bookmarkStart w:id="16" w:name="_Toc9853"/>
      <w:r>
        <w:rPr>
          <w:rFonts w:hint="eastAsia" w:ascii="黑体" w:hAnsi="黑体" w:eastAsia="黑体" w:cs="黑体"/>
          <w:bCs/>
          <w:sz w:val="24"/>
          <w:highlight w:val="none"/>
        </w:rPr>
        <w:t xml:space="preserve">3.3 </w:t>
      </w:r>
      <w:bookmarkEnd w:id="16"/>
      <w:bookmarkStart w:id="17" w:name="_Toc22454"/>
      <w:r>
        <w:rPr>
          <w:rFonts w:hint="eastAsia" w:ascii="黑体" w:hAnsi="黑体" w:eastAsia="黑体" w:cs="黑体"/>
          <w:bCs/>
          <w:sz w:val="24"/>
          <w:highlight w:val="none"/>
        </w:rPr>
        <w:t>信息保密要求</w:t>
      </w:r>
      <w:bookmarkEnd w:id="17"/>
      <w:bookmarkStart w:id="18" w:name="_Toc23607"/>
    </w:p>
    <w:p w14:paraId="090236B5">
      <w:pPr>
        <w:spacing w:line="360" w:lineRule="auto"/>
        <w:ind w:firstLine="480" w:firstLineChars="200"/>
        <w:outlineLvl w:val="1"/>
        <w:rPr>
          <w:rFonts w:hint="default"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无</w:t>
      </w:r>
    </w:p>
    <w:p w14:paraId="120C3A65">
      <w:pPr>
        <w:spacing w:line="360" w:lineRule="auto"/>
        <w:outlineLvl w:val="1"/>
        <w:rPr>
          <w:rFonts w:asciiTheme="minorEastAsia" w:hAnsiTheme="minorEastAsia" w:eastAsiaTheme="minorEastAsia" w:cstheme="minorEastAsia"/>
          <w:color w:val="000000"/>
          <w:sz w:val="24"/>
          <w:highlight w:val="none"/>
        </w:rPr>
      </w:pPr>
      <w:r>
        <w:rPr>
          <w:rFonts w:hint="eastAsia" w:ascii="黑体" w:hAnsi="黑体" w:eastAsia="黑体" w:cs="黑体"/>
          <w:bCs/>
          <w:sz w:val="24"/>
          <w:highlight w:val="none"/>
        </w:rPr>
        <w:t>3.</w:t>
      </w:r>
      <w:r>
        <w:rPr>
          <w:rFonts w:hint="eastAsia" w:ascii="黑体" w:hAnsi="黑体" w:eastAsia="黑体" w:cs="黑体"/>
          <w:bCs/>
          <w:sz w:val="24"/>
          <w:highlight w:val="none"/>
          <w:lang w:val="en-US" w:eastAsia="zh-CN"/>
        </w:rPr>
        <w:t>4</w:t>
      </w:r>
      <w:r>
        <w:rPr>
          <w:rFonts w:hint="eastAsia" w:ascii="黑体" w:hAnsi="黑体" w:eastAsia="黑体" w:cs="黑体"/>
          <w:bCs/>
          <w:sz w:val="24"/>
          <w:highlight w:val="none"/>
        </w:rPr>
        <w:t xml:space="preserve"> 其他要求</w:t>
      </w:r>
      <w:bookmarkEnd w:id="18"/>
      <w:bookmarkStart w:id="19" w:name="_Toc30921"/>
      <w:bookmarkStart w:id="20" w:name="_Toc17063"/>
    </w:p>
    <w:bookmarkEnd w:id="19"/>
    <w:bookmarkEnd w:id="20"/>
    <w:p w14:paraId="2F00053A">
      <w:pPr>
        <w:spacing w:line="360" w:lineRule="auto"/>
        <w:ind w:firstLine="480" w:firstLineChars="200"/>
        <w:outlineLvl w:val="1"/>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无</w:t>
      </w:r>
    </w:p>
    <w:p w14:paraId="0359E408">
      <w:pPr>
        <w:pStyle w:val="21"/>
        <w:spacing w:before="312"/>
        <w:outlineLvl w:val="0"/>
        <w:rPr>
          <w:rFonts w:asciiTheme="minorEastAsia" w:hAnsiTheme="minorEastAsia" w:eastAsiaTheme="minorEastAsia" w:cstheme="minorEastAsia"/>
          <w:color w:val="000000"/>
          <w:highlight w:val="none"/>
        </w:rPr>
      </w:pPr>
      <w:bookmarkStart w:id="21" w:name="_Toc266713650"/>
      <w:bookmarkStart w:id="22" w:name="_Toc21612"/>
      <w:r>
        <w:rPr>
          <w:rFonts w:hint="eastAsia" w:ascii="黑体" w:hAnsi="黑体" w:eastAsia="黑体" w:cs="黑体"/>
          <w:sz w:val="28"/>
          <w:szCs w:val="28"/>
          <w:highlight w:val="none"/>
        </w:rPr>
        <w:t>4  时间进度要求</w:t>
      </w:r>
      <w:bookmarkEnd w:id="21"/>
      <w:bookmarkEnd w:id="22"/>
      <w:bookmarkStart w:id="23" w:name="_Toc11533"/>
      <w:bookmarkStart w:id="24" w:name="_Toc27224"/>
    </w:p>
    <w:bookmarkEnd w:id="23"/>
    <w:bookmarkEnd w:id="24"/>
    <w:p w14:paraId="790EF0C4">
      <w:pPr>
        <w:spacing w:line="360" w:lineRule="auto"/>
        <w:ind w:firstLine="480" w:firstLineChars="200"/>
        <w:outlineLvl w:val="1"/>
        <w:rPr>
          <w:rFonts w:hint="default" w:asciiTheme="minorEastAsia" w:hAnsiTheme="minorEastAsia" w:eastAsiaTheme="minorEastAsia" w:cstheme="minorEastAsia"/>
          <w:color w:val="000000"/>
          <w:sz w:val="24"/>
          <w:highlight w:val="none"/>
          <w:lang w:val="en-US" w:eastAsia="zh-CN"/>
        </w:rPr>
      </w:pPr>
      <w:bookmarkStart w:id="25" w:name="_Toc8651"/>
      <w:r>
        <w:rPr>
          <w:rFonts w:hint="eastAsia" w:asciiTheme="minorEastAsia" w:hAnsiTheme="minorEastAsia" w:eastAsiaTheme="minorEastAsia" w:cstheme="minorEastAsia"/>
          <w:color w:val="000000"/>
          <w:sz w:val="24"/>
          <w:highlight w:val="none"/>
          <w:lang w:val="en-US" w:eastAsia="zh-CN"/>
        </w:rPr>
        <w:t>2025年11月30日前组织完成鉴定工作，鉴定会议结束后5日内，供应商应出具相关技术鉴定报告。并尽快安排邮寄至指定地点。</w:t>
      </w:r>
    </w:p>
    <w:p w14:paraId="3AE3D68E">
      <w:pPr>
        <w:pStyle w:val="21"/>
        <w:spacing w:before="312"/>
        <w:outlineLvl w:val="0"/>
        <w:rPr>
          <w:rFonts w:ascii="黑体" w:hAnsi="黑体" w:eastAsia="黑体" w:cs="黑体"/>
          <w:sz w:val="28"/>
          <w:szCs w:val="28"/>
          <w:highlight w:val="none"/>
        </w:rPr>
      </w:pPr>
      <w:r>
        <w:rPr>
          <w:rFonts w:hint="eastAsia" w:ascii="黑体" w:hAnsi="黑体" w:eastAsia="黑体" w:cs="黑体"/>
          <w:sz w:val="28"/>
          <w:szCs w:val="28"/>
          <w:highlight w:val="none"/>
        </w:rPr>
        <w:t>5  交付与验收</w:t>
      </w:r>
      <w:bookmarkEnd w:id="25"/>
    </w:p>
    <w:p w14:paraId="485D4A02">
      <w:pPr>
        <w:spacing w:line="360" w:lineRule="auto"/>
        <w:outlineLvl w:val="1"/>
        <w:rPr>
          <w:rFonts w:hint="eastAsia" w:ascii="黑体" w:hAnsi="黑体" w:eastAsia="黑体" w:cs="黑体"/>
          <w:bCs/>
          <w:sz w:val="24"/>
          <w:highlight w:val="none"/>
        </w:rPr>
      </w:pPr>
      <w:bookmarkStart w:id="26" w:name="_Toc3677"/>
      <w:r>
        <w:rPr>
          <w:rFonts w:hint="eastAsia" w:ascii="黑体" w:hAnsi="黑体" w:eastAsia="黑体" w:cs="黑体"/>
          <w:bCs/>
          <w:sz w:val="24"/>
          <w:highlight w:val="none"/>
        </w:rPr>
        <w:t>5.1 交付形式及数量要求</w:t>
      </w:r>
      <w:bookmarkEnd w:id="26"/>
    </w:p>
    <w:p w14:paraId="6C8D8979">
      <w:pPr>
        <w:spacing w:line="360" w:lineRule="auto"/>
        <w:ind w:firstLine="480" w:firstLineChars="200"/>
        <w:outlineLvl w:val="1"/>
        <w:rPr>
          <w:rFonts w:hint="eastAsia"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交付形式：</w:t>
      </w:r>
      <w:r>
        <w:rPr>
          <w:rFonts w:hint="eastAsia" w:asciiTheme="minorEastAsia" w:hAnsiTheme="minorEastAsia" w:eastAsiaTheme="minorEastAsia" w:cstheme="minorEastAsia"/>
          <w:color w:val="000000"/>
          <w:sz w:val="21"/>
          <w:szCs w:val="21"/>
          <w:highlight w:val="none"/>
        </w:rPr>
        <w:t>开关柜放电光谱诊断成套装置技术鉴定报告</w:t>
      </w:r>
    </w:p>
    <w:p w14:paraId="73003A8D">
      <w:pPr>
        <w:pStyle w:val="2"/>
        <w:spacing w:line="360" w:lineRule="auto"/>
        <w:ind w:firstLine="480"/>
        <w:rPr>
          <w:rFonts w:hint="default"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交付数量：一份</w:t>
      </w:r>
    </w:p>
    <w:p w14:paraId="4BAC2F34">
      <w:pPr>
        <w:pStyle w:val="2"/>
        <w:ind w:firstLine="480"/>
        <w:rPr>
          <w:rFonts w:hint="default" w:asciiTheme="minorEastAsia" w:hAnsiTheme="minorEastAsia" w:eastAsiaTheme="minorEastAsia" w:cstheme="minorEastAsia"/>
          <w:color w:val="000000"/>
          <w:sz w:val="24"/>
          <w:highlight w:val="none"/>
          <w:lang w:val="en-US" w:eastAsia="zh-CN"/>
        </w:rPr>
      </w:pPr>
    </w:p>
    <w:p w14:paraId="376627C1">
      <w:pPr>
        <w:spacing w:line="360" w:lineRule="auto"/>
        <w:outlineLvl w:val="1"/>
        <w:rPr>
          <w:rFonts w:asciiTheme="minorEastAsia" w:hAnsiTheme="minorEastAsia" w:eastAsiaTheme="minorEastAsia" w:cstheme="minorEastAsia"/>
          <w:color w:val="000000"/>
          <w:sz w:val="24"/>
          <w:highlight w:val="none"/>
        </w:rPr>
      </w:pPr>
      <w:bookmarkStart w:id="27" w:name="_Toc21560"/>
      <w:r>
        <w:rPr>
          <w:rFonts w:hint="eastAsia" w:ascii="黑体" w:hAnsi="黑体" w:eastAsia="黑体" w:cs="黑体"/>
          <w:bCs/>
          <w:sz w:val="24"/>
          <w:highlight w:val="none"/>
        </w:rPr>
        <w:t>5.2 验收</w:t>
      </w:r>
      <w:bookmarkEnd w:id="27"/>
      <w:bookmarkStart w:id="28" w:name="_Toc23588"/>
      <w:bookmarkStart w:id="29" w:name="_Toc536"/>
    </w:p>
    <w:bookmarkEnd w:id="28"/>
    <w:bookmarkEnd w:id="29"/>
    <w:p w14:paraId="67B164F6">
      <w:pPr>
        <w:spacing w:line="360" w:lineRule="auto"/>
        <w:ind w:firstLine="480" w:firstLineChars="200"/>
        <w:outlineLvl w:val="1"/>
        <w:rPr>
          <w:rFonts w:hint="default" w:asciiTheme="minorEastAsia" w:hAnsiTheme="minorEastAsia" w:eastAsiaTheme="minorEastAsia" w:cstheme="minorEastAsia"/>
          <w:color w:val="000000"/>
          <w:sz w:val="24"/>
          <w:highlight w:val="none"/>
          <w:lang w:val="en-US" w:eastAsia="zh-CN"/>
        </w:rPr>
      </w:pPr>
      <w:r>
        <w:rPr>
          <w:rFonts w:hint="eastAsia" w:asciiTheme="minorEastAsia" w:hAnsiTheme="minorEastAsia" w:eastAsiaTheme="minorEastAsia" w:cstheme="minorEastAsia"/>
          <w:color w:val="000000"/>
          <w:sz w:val="24"/>
          <w:highlight w:val="none"/>
          <w:lang w:val="en-US" w:eastAsia="zh-CN"/>
        </w:rPr>
        <w:t>供应商根据实际委托开展技术鉴定服务工作，在完成鉴定服务工作的交付后进行结算。</w:t>
      </w:r>
    </w:p>
    <w:p w14:paraId="0FC31B25">
      <w:pPr>
        <w:pStyle w:val="21"/>
        <w:spacing w:before="312"/>
        <w:outlineLvl w:val="0"/>
        <w:rPr>
          <w:rFonts w:asciiTheme="minorEastAsia" w:hAnsiTheme="minorEastAsia" w:eastAsiaTheme="minorEastAsia" w:cstheme="minorEastAsia"/>
          <w:color w:val="000000"/>
          <w:highlight w:val="none"/>
        </w:rPr>
      </w:pPr>
      <w:bookmarkStart w:id="30" w:name="_Toc859"/>
      <w:r>
        <w:rPr>
          <w:rFonts w:hint="eastAsia" w:ascii="黑体" w:hAnsi="黑体" w:eastAsia="黑体" w:cs="黑体"/>
          <w:sz w:val="28"/>
          <w:szCs w:val="28"/>
          <w:highlight w:val="none"/>
        </w:rPr>
        <w:t>6  投标技术文件要求</w:t>
      </w:r>
      <w:bookmarkEnd w:id="30"/>
      <w:bookmarkStart w:id="31" w:name="_Toc8189"/>
      <w:bookmarkStart w:id="32" w:name="_Toc11892"/>
    </w:p>
    <w:bookmarkEnd w:id="31"/>
    <w:bookmarkEnd w:id="32"/>
    <w:p w14:paraId="355A0FDF">
      <w:pPr>
        <w:spacing w:line="360" w:lineRule="auto"/>
        <w:outlineLvl w:val="1"/>
        <w:rPr>
          <w:rFonts w:ascii="黑体" w:hAnsi="黑体" w:eastAsia="黑体" w:cs="黑体"/>
          <w:bCs/>
          <w:sz w:val="24"/>
          <w:highlight w:val="none"/>
        </w:rPr>
      </w:pPr>
      <w:bookmarkStart w:id="33" w:name="_Toc29154"/>
      <w:r>
        <w:rPr>
          <w:rFonts w:hint="eastAsia" w:ascii="宋体" w:hAnsi="宋体"/>
          <w:bCs/>
          <w:sz w:val="24"/>
          <w:highlight w:val="none"/>
        </w:rPr>
        <w:t>★</w:t>
      </w:r>
      <w:r>
        <w:rPr>
          <w:rFonts w:hint="eastAsia" w:ascii="黑体" w:hAnsi="黑体" w:eastAsia="黑体" w:cs="黑体"/>
          <w:bCs/>
          <w:sz w:val="24"/>
          <w:highlight w:val="none"/>
        </w:rPr>
        <w:t xml:space="preserve">6.1 </w:t>
      </w:r>
      <w:r>
        <w:rPr>
          <w:rFonts w:hint="eastAsia" w:ascii="黑体" w:hAnsi="黑体" w:eastAsia="黑体" w:cs="黑体"/>
          <w:bCs/>
          <w:sz w:val="24"/>
          <w:highlight w:val="none"/>
          <w:lang w:val="en-US" w:eastAsia="zh-CN"/>
        </w:rPr>
        <w:t>报价单</w:t>
      </w:r>
      <w:bookmarkEnd w:id="33"/>
    </w:p>
    <w:p w14:paraId="4D569DED">
      <w:pPr>
        <w:spacing w:line="360" w:lineRule="auto"/>
        <w:ind w:firstLine="480" w:firstLineChars="200"/>
        <w:rPr>
          <w:rFonts w:hint="eastAsia" w:asciiTheme="minorEastAsia" w:hAnsiTheme="minorEastAsia" w:eastAsiaTheme="minorEastAsia" w:cstheme="minorEastAsia"/>
          <w:color w:val="000000"/>
          <w:sz w:val="24"/>
          <w:highlight w:val="none"/>
          <w:lang w:eastAsia="zh-CN"/>
        </w:rPr>
      </w:pPr>
      <w:r>
        <w:rPr>
          <w:rFonts w:hint="eastAsia" w:asciiTheme="minorEastAsia" w:hAnsiTheme="minorEastAsia" w:eastAsiaTheme="minorEastAsia" w:cstheme="minorEastAsia"/>
          <w:color w:val="000000"/>
          <w:sz w:val="24"/>
          <w:highlight w:val="none"/>
        </w:rPr>
        <w:t>投标方应提供</w:t>
      </w:r>
      <w:r>
        <w:rPr>
          <w:rFonts w:hint="eastAsia" w:asciiTheme="minorEastAsia" w:hAnsiTheme="minorEastAsia" w:eastAsiaTheme="minorEastAsia" w:cstheme="minorEastAsia"/>
          <w:color w:val="000000"/>
          <w:sz w:val="24"/>
          <w:highlight w:val="none"/>
          <w:lang w:val="en-US" w:eastAsia="zh-CN"/>
        </w:rPr>
        <w:t>的技术鉴定</w:t>
      </w:r>
      <w:r>
        <w:rPr>
          <w:rFonts w:hint="eastAsia" w:asciiTheme="minorEastAsia" w:hAnsiTheme="minorEastAsia" w:eastAsiaTheme="minorEastAsia" w:cstheme="minorEastAsia"/>
          <w:color w:val="000000"/>
          <w:sz w:val="24"/>
          <w:highlight w:val="none"/>
        </w:rPr>
        <w:t>服务</w:t>
      </w:r>
      <w:r>
        <w:rPr>
          <w:rFonts w:hint="eastAsia" w:asciiTheme="minorEastAsia" w:hAnsiTheme="minorEastAsia" w:eastAsiaTheme="minorEastAsia" w:cstheme="minorEastAsia"/>
          <w:color w:val="000000"/>
          <w:sz w:val="24"/>
          <w:highlight w:val="none"/>
          <w:lang w:val="en-US" w:eastAsia="zh-CN"/>
        </w:rPr>
        <w:t>的报价单</w:t>
      </w:r>
      <w:r>
        <w:rPr>
          <w:rFonts w:hint="eastAsia" w:asciiTheme="minorEastAsia" w:hAnsiTheme="minorEastAsia" w:eastAsiaTheme="minorEastAsia" w:cstheme="minorEastAsia"/>
          <w:color w:val="000000"/>
          <w:sz w:val="24"/>
          <w:highlight w:val="none"/>
          <w:lang w:eastAsia="zh-CN"/>
        </w:rPr>
        <w:t>。</w:t>
      </w:r>
    </w:p>
    <w:p w14:paraId="5FA532DE">
      <w:pPr>
        <w:spacing w:line="360" w:lineRule="auto"/>
        <w:outlineLvl w:val="1"/>
        <w:rPr>
          <w:rFonts w:hint="default" w:ascii="黑体" w:hAnsi="黑体" w:eastAsia="黑体" w:cs="黑体"/>
          <w:bCs/>
          <w:sz w:val="24"/>
          <w:highlight w:val="none"/>
          <w:lang w:val="en-US" w:eastAsia="zh-CN"/>
        </w:rPr>
      </w:pPr>
      <w:r>
        <w:rPr>
          <w:rFonts w:hint="eastAsia" w:ascii="宋体" w:hAnsi="宋体"/>
          <w:bCs/>
          <w:sz w:val="24"/>
          <w:highlight w:val="none"/>
        </w:rPr>
        <w:t>★</w:t>
      </w:r>
      <w:r>
        <w:rPr>
          <w:rFonts w:hint="eastAsia" w:ascii="黑体" w:hAnsi="黑体" w:eastAsia="黑体" w:cs="黑体"/>
          <w:bCs/>
          <w:sz w:val="24"/>
          <w:highlight w:val="none"/>
        </w:rPr>
        <w:t>6.</w:t>
      </w:r>
      <w:r>
        <w:rPr>
          <w:rFonts w:hint="eastAsia" w:ascii="黑体" w:hAnsi="黑体" w:eastAsia="黑体" w:cs="黑体"/>
          <w:bCs/>
          <w:sz w:val="24"/>
          <w:highlight w:val="none"/>
          <w:lang w:val="en-US" w:eastAsia="zh-CN"/>
        </w:rPr>
        <w:t>2</w:t>
      </w:r>
      <w:r>
        <w:rPr>
          <w:rFonts w:hint="eastAsia" w:ascii="黑体" w:hAnsi="黑体" w:eastAsia="黑体" w:cs="黑体"/>
          <w:bCs/>
          <w:sz w:val="24"/>
          <w:highlight w:val="none"/>
        </w:rPr>
        <w:t xml:space="preserve"> </w:t>
      </w:r>
      <w:r>
        <w:rPr>
          <w:rFonts w:hint="eastAsia" w:ascii="黑体" w:hAnsi="黑体" w:eastAsia="黑体" w:cs="黑体"/>
          <w:bCs/>
          <w:sz w:val="24"/>
          <w:highlight w:val="none"/>
          <w:lang w:val="en-US" w:eastAsia="zh-CN"/>
        </w:rPr>
        <w:t>供应商资质文件</w:t>
      </w:r>
    </w:p>
    <w:p w14:paraId="783A4822">
      <w:pPr>
        <w:pStyle w:val="2"/>
        <w:spacing w:line="360" w:lineRule="auto"/>
        <w:ind w:firstLine="480"/>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投标方应提供公司资质文件，包括但不限于：营业执照、最近一年具备同类产品的鉴定业绩，需提供项目合同、成交通知书或发票任意一样的资料复印件/扫描件。</w:t>
      </w:r>
      <w:bookmarkStart w:id="34" w:name="_GoBack"/>
      <w:bookmarkEnd w:id="34"/>
    </w:p>
    <w:p w14:paraId="61CDAC79">
      <w:pPr>
        <w:spacing w:line="360" w:lineRule="auto"/>
        <w:outlineLvl w:val="1"/>
        <w:rPr>
          <w:rFonts w:hint="default" w:ascii="黑体" w:hAnsi="黑体" w:eastAsia="黑体" w:cs="黑体"/>
          <w:bCs/>
          <w:sz w:val="24"/>
          <w:highlight w:val="none"/>
          <w:lang w:val="en-US" w:eastAsia="zh-CN"/>
        </w:rPr>
      </w:pPr>
      <w:r>
        <w:rPr>
          <w:rFonts w:hint="eastAsia" w:ascii="宋体" w:hAnsi="宋体"/>
          <w:bCs/>
          <w:sz w:val="24"/>
          <w:highlight w:val="none"/>
        </w:rPr>
        <w:t>★</w:t>
      </w:r>
      <w:r>
        <w:rPr>
          <w:rFonts w:hint="eastAsia" w:ascii="黑体" w:hAnsi="黑体" w:eastAsia="黑体" w:cs="黑体"/>
          <w:bCs/>
          <w:sz w:val="24"/>
          <w:highlight w:val="none"/>
        </w:rPr>
        <w:t>6.</w:t>
      </w:r>
      <w:r>
        <w:rPr>
          <w:rFonts w:hint="eastAsia" w:ascii="黑体" w:hAnsi="黑体" w:eastAsia="黑体" w:cs="黑体"/>
          <w:bCs/>
          <w:sz w:val="24"/>
          <w:highlight w:val="none"/>
          <w:lang w:val="en-US" w:eastAsia="zh-CN"/>
        </w:rPr>
        <w:t>3</w:t>
      </w:r>
      <w:r>
        <w:rPr>
          <w:rFonts w:hint="eastAsia" w:ascii="黑体" w:hAnsi="黑体" w:eastAsia="黑体" w:cs="黑体"/>
          <w:bCs/>
          <w:sz w:val="24"/>
          <w:highlight w:val="none"/>
        </w:rPr>
        <w:t xml:space="preserve"> </w:t>
      </w:r>
      <w:r>
        <w:rPr>
          <w:rFonts w:hint="eastAsia" w:ascii="黑体" w:hAnsi="黑体" w:eastAsia="黑体" w:cs="黑体"/>
          <w:bCs/>
          <w:sz w:val="24"/>
          <w:highlight w:val="none"/>
          <w:lang w:val="en-US" w:eastAsia="zh-CN"/>
        </w:rPr>
        <w:t>供应商项目负责人资质文件</w:t>
      </w:r>
    </w:p>
    <w:p w14:paraId="5265EB12">
      <w:pPr>
        <w:pStyle w:val="2"/>
        <w:spacing w:line="360" w:lineRule="auto"/>
        <w:ind w:firstLine="480"/>
        <w:rPr>
          <w:rFonts w:hint="default" w:asciiTheme="minorEastAsia" w:hAnsiTheme="minorEastAsia" w:eastAsiaTheme="minorEastAsia" w:cstheme="minorEastAsia"/>
          <w:color w:val="000000"/>
          <w:kern w:val="2"/>
          <w:sz w:val="24"/>
          <w:szCs w:val="24"/>
          <w:highlight w:val="none"/>
          <w:lang w:val="en-US" w:eastAsia="zh-CN" w:bidi="ar-SA"/>
        </w:rPr>
      </w:pPr>
      <w:r>
        <w:rPr>
          <w:rFonts w:hint="eastAsia" w:asciiTheme="minorEastAsia" w:hAnsiTheme="minorEastAsia" w:eastAsiaTheme="minorEastAsia" w:cstheme="minorEastAsia"/>
          <w:color w:val="000000"/>
          <w:kern w:val="2"/>
          <w:sz w:val="24"/>
          <w:szCs w:val="24"/>
          <w:highlight w:val="none"/>
          <w:lang w:val="en-US" w:eastAsia="zh-CN" w:bidi="ar-SA"/>
        </w:rPr>
        <w:t>无</w:t>
      </w:r>
    </w:p>
    <w:p w14:paraId="0C94B9F5">
      <w:pPr>
        <w:spacing w:line="360" w:lineRule="auto"/>
        <w:rPr>
          <w:color w:val="000000"/>
          <w:sz w:val="24"/>
          <w:highlight w:val="none"/>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隶书">
    <w:altName w:val="微软雅黑"/>
    <w:panose1 w:val="0201050906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C6EA">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BF461D">
                          <w:pPr>
                            <w:pStyle w:val="8"/>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9BF461D">
                    <w:pPr>
                      <w:pStyle w:val="8"/>
                    </w:pPr>
                    <w:r>
                      <w:rPr>
                        <w:rFonts w:hint="eastAsia"/>
                      </w:rPr>
                      <w:fldChar w:fldCharType="begin"/>
                    </w:r>
                    <w:r>
                      <w:rPr>
                        <w:rFonts w:hint="eastAsia"/>
                      </w:rPr>
                      <w:instrText xml:space="preserve"> PAGE  \* MERGEFORMAT </w:instrText>
                    </w:r>
                    <w:r>
                      <w:rPr>
                        <w:rFonts w:hint="eastAsia"/>
                      </w:rPr>
                      <w:fldChar w:fldCharType="separate"/>
                    </w:r>
                    <w:r>
                      <w:t>5</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6"/>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112EA9"/>
    <w:rsid w:val="000C764F"/>
    <w:rsid w:val="00DE6232"/>
    <w:rsid w:val="010C1B91"/>
    <w:rsid w:val="01D35542"/>
    <w:rsid w:val="027C11FC"/>
    <w:rsid w:val="0295401A"/>
    <w:rsid w:val="0303051E"/>
    <w:rsid w:val="03621A92"/>
    <w:rsid w:val="047B7BC4"/>
    <w:rsid w:val="04BF0B83"/>
    <w:rsid w:val="04FE4EAD"/>
    <w:rsid w:val="05312146"/>
    <w:rsid w:val="056D4E14"/>
    <w:rsid w:val="066E2C1A"/>
    <w:rsid w:val="06F52B3B"/>
    <w:rsid w:val="07362663"/>
    <w:rsid w:val="086C26E0"/>
    <w:rsid w:val="08A32594"/>
    <w:rsid w:val="09BE45E6"/>
    <w:rsid w:val="09F078C2"/>
    <w:rsid w:val="0A9773AF"/>
    <w:rsid w:val="0B715FA9"/>
    <w:rsid w:val="0BD1033B"/>
    <w:rsid w:val="0BFD7548"/>
    <w:rsid w:val="0C8C1EEF"/>
    <w:rsid w:val="0D0C14ED"/>
    <w:rsid w:val="0D4D51DE"/>
    <w:rsid w:val="0D6039E5"/>
    <w:rsid w:val="0DB6446C"/>
    <w:rsid w:val="0DDE0C6E"/>
    <w:rsid w:val="0E92274B"/>
    <w:rsid w:val="0ECF0DC1"/>
    <w:rsid w:val="0FBF064C"/>
    <w:rsid w:val="10011F66"/>
    <w:rsid w:val="10972384"/>
    <w:rsid w:val="11402C86"/>
    <w:rsid w:val="12976F0D"/>
    <w:rsid w:val="13566E57"/>
    <w:rsid w:val="13A42991"/>
    <w:rsid w:val="13B66003"/>
    <w:rsid w:val="14421D4B"/>
    <w:rsid w:val="147F0C66"/>
    <w:rsid w:val="14D37A1A"/>
    <w:rsid w:val="1558413F"/>
    <w:rsid w:val="155E4129"/>
    <w:rsid w:val="16232935"/>
    <w:rsid w:val="16CE51A3"/>
    <w:rsid w:val="16F77748"/>
    <w:rsid w:val="1761752A"/>
    <w:rsid w:val="187D19AC"/>
    <w:rsid w:val="18B4592A"/>
    <w:rsid w:val="19BC6CC5"/>
    <w:rsid w:val="1A1F085A"/>
    <w:rsid w:val="1A316175"/>
    <w:rsid w:val="1A830B36"/>
    <w:rsid w:val="1ADD4B0E"/>
    <w:rsid w:val="1B1C576F"/>
    <w:rsid w:val="1B1F0398"/>
    <w:rsid w:val="1B843116"/>
    <w:rsid w:val="1BF021DF"/>
    <w:rsid w:val="1BFA3C82"/>
    <w:rsid w:val="1C4F52EF"/>
    <w:rsid w:val="1C672B50"/>
    <w:rsid w:val="1CC57F42"/>
    <w:rsid w:val="1D8D437A"/>
    <w:rsid w:val="1DA01B05"/>
    <w:rsid w:val="1E6B60E6"/>
    <w:rsid w:val="1E800217"/>
    <w:rsid w:val="1FBD1E67"/>
    <w:rsid w:val="1FD9003C"/>
    <w:rsid w:val="21CA3C88"/>
    <w:rsid w:val="234277A0"/>
    <w:rsid w:val="234B187D"/>
    <w:rsid w:val="23A116F1"/>
    <w:rsid w:val="24C9435F"/>
    <w:rsid w:val="24EA7C79"/>
    <w:rsid w:val="24F2272A"/>
    <w:rsid w:val="24F72435"/>
    <w:rsid w:val="250F564D"/>
    <w:rsid w:val="252B1EB7"/>
    <w:rsid w:val="256870E0"/>
    <w:rsid w:val="25E42BF8"/>
    <w:rsid w:val="265249D6"/>
    <w:rsid w:val="275D5D26"/>
    <w:rsid w:val="275F7D29"/>
    <w:rsid w:val="27F81146"/>
    <w:rsid w:val="28943549"/>
    <w:rsid w:val="28BE48E2"/>
    <w:rsid w:val="29B03153"/>
    <w:rsid w:val="29F81415"/>
    <w:rsid w:val="2A441357"/>
    <w:rsid w:val="2AC049B0"/>
    <w:rsid w:val="2B552424"/>
    <w:rsid w:val="2B6721B0"/>
    <w:rsid w:val="2C191EA0"/>
    <w:rsid w:val="2CA3124A"/>
    <w:rsid w:val="2CC203FD"/>
    <w:rsid w:val="2D8F39A1"/>
    <w:rsid w:val="2DAC4578"/>
    <w:rsid w:val="2DB36870"/>
    <w:rsid w:val="2DEA6350"/>
    <w:rsid w:val="2E260032"/>
    <w:rsid w:val="2E2E5B4F"/>
    <w:rsid w:val="2E380045"/>
    <w:rsid w:val="2EFA1D2E"/>
    <w:rsid w:val="2F2E6BFF"/>
    <w:rsid w:val="2FC241F2"/>
    <w:rsid w:val="30045C2F"/>
    <w:rsid w:val="30DF2B6C"/>
    <w:rsid w:val="30F444D2"/>
    <w:rsid w:val="313E1E7A"/>
    <w:rsid w:val="32653DEB"/>
    <w:rsid w:val="32887BF4"/>
    <w:rsid w:val="330E4E8B"/>
    <w:rsid w:val="33161353"/>
    <w:rsid w:val="334E3954"/>
    <w:rsid w:val="33BC7371"/>
    <w:rsid w:val="34255CC8"/>
    <w:rsid w:val="347E10AE"/>
    <w:rsid w:val="34B829C9"/>
    <w:rsid w:val="34E21B0E"/>
    <w:rsid w:val="357C3ACE"/>
    <w:rsid w:val="358A1AD4"/>
    <w:rsid w:val="358B06A1"/>
    <w:rsid w:val="35DF4389"/>
    <w:rsid w:val="35E41FA9"/>
    <w:rsid w:val="360B40D3"/>
    <w:rsid w:val="3661221B"/>
    <w:rsid w:val="372E794B"/>
    <w:rsid w:val="37495343"/>
    <w:rsid w:val="37A433E0"/>
    <w:rsid w:val="37A46956"/>
    <w:rsid w:val="37AE0477"/>
    <w:rsid w:val="38004B22"/>
    <w:rsid w:val="38242125"/>
    <w:rsid w:val="38292433"/>
    <w:rsid w:val="382A7EB4"/>
    <w:rsid w:val="38D05FCB"/>
    <w:rsid w:val="390A3500"/>
    <w:rsid w:val="39140E3A"/>
    <w:rsid w:val="394B4B39"/>
    <w:rsid w:val="39855B4F"/>
    <w:rsid w:val="398C2739"/>
    <w:rsid w:val="39E974DB"/>
    <w:rsid w:val="3A9C5BA6"/>
    <w:rsid w:val="3BEE7DFA"/>
    <w:rsid w:val="3C1315AB"/>
    <w:rsid w:val="3C4C5078"/>
    <w:rsid w:val="3D263ADF"/>
    <w:rsid w:val="3DDE3626"/>
    <w:rsid w:val="3DFE37C3"/>
    <w:rsid w:val="401C5798"/>
    <w:rsid w:val="404B47FE"/>
    <w:rsid w:val="405D45A6"/>
    <w:rsid w:val="40794199"/>
    <w:rsid w:val="408A19B3"/>
    <w:rsid w:val="40F0643B"/>
    <w:rsid w:val="410217F6"/>
    <w:rsid w:val="419C13AE"/>
    <w:rsid w:val="41A73FEA"/>
    <w:rsid w:val="41B40E40"/>
    <w:rsid w:val="42A30678"/>
    <w:rsid w:val="42A37264"/>
    <w:rsid w:val="42DF02D2"/>
    <w:rsid w:val="44C917FC"/>
    <w:rsid w:val="45AD67D6"/>
    <w:rsid w:val="45CF1EF0"/>
    <w:rsid w:val="465E7D59"/>
    <w:rsid w:val="46CD35B6"/>
    <w:rsid w:val="47097B32"/>
    <w:rsid w:val="47194E6E"/>
    <w:rsid w:val="472C45A4"/>
    <w:rsid w:val="47382C50"/>
    <w:rsid w:val="48205CF0"/>
    <w:rsid w:val="48AE5D4E"/>
    <w:rsid w:val="499C7ED1"/>
    <w:rsid w:val="49B12980"/>
    <w:rsid w:val="49E6704C"/>
    <w:rsid w:val="49F22A9F"/>
    <w:rsid w:val="4A4B4604"/>
    <w:rsid w:val="4A566A25"/>
    <w:rsid w:val="4A7A1254"/>
    <w:rsid w:val="4A9A3B4D"/>
    <w:rsid w:val="4B18258B"/>
    <w:rsid w:val="4C3F54C3"/>
    <w:rsid w:val="4CE147A6"/>
    <w:rsid w:val="4CF766DE"/>
    <w:rsid w:val="4D1E1AE4"/>
    <w:rsid w:val="4DBF3FC8"/>
    <w:rsid w:val="4DDB7BC5"/>
    <w:rsid w:val="4E287A4C"/>
    <w:rsid w:val="4E53210E"/>
    <w:rsid w:val="4EDE6AF3"/>
    <w:rsid w:val="4F327D5F"/>
    <w:rsid w:val="505B24E3"/>
    <w:rsid w:val="50692104"/>
    <w:rsid w:val="50C4507C"/>
    <w:rsid w:val="50CF02A4"/>
    <w:rsid w:val="50E83C80"/>
    <w:rsid w:val="50E84976"/>
    <w:rsid w:val="523A289F"/>
    <w:rsid w:val="52D27864"/>
    <w:rsid w:val="52EF5062"/>
    <w:rsid w:val="539233BA"/>
    <w:rsid w:val="53CD308F"/>
    <w:rsid w:val="54C17E31"/>
    <w:rsid w:val="54E75E4E"/>
    <w:rsid w:val="54EC5F00"/>
    <w:rsid w:val="5575509E"/>
    <w:rsid w:val="55933D75"/>
    <w:rsid w:val="55BB08CE"/>
    <w:rsid w:val="55F5265A"/>
    <w:rsid w:val="56112EA9"/>
    <w:rsid w:val="56634F6B"/>
    <w:rsid w:val="56FE5647"/>
    <w:rsid w:val="572004CE"/>
    <w:rsid w:val="576E3E36"/>
    <w:rsid w:val="57D62605"/>
    <w:rsid w:val="586A7C9A"/>
    <w:rsid w:val="59BD7DED"/>
    <w:rsid w:val="59E4535B"/>
    <w:rsid w:val="5AE252E1"/>
    <w:rsid w:val="5BAC42C7"/>
    <w:rsid w:val="5BFB3FFB"/>
    <w:rsid w:val="5CBC1717"/>
    <w:rsid w:val="5D944335"/>
    <w:rsid w:val="5E0B23A4"/>
    <w:rsid w:val="5E712C01"/>
    <w:rsid w:val="5E79378D"/>
    <w:rsid w:val="5E7F2B1D"/>
    <w:rsid w:val="5E9479C8"/>
    <w:rsid w:val="5EFF55AD"/>
    <w:rsid w:val="600C74D8"/>
    <w:rsid w:val="60446F8A"/>
    <w:rsid w:val="609B3FFE"/>
    <w:rsid w:val="60A8111F"/>
    <w:rsid w:val="60B802FB"/>
    <w:rsid w:val="60F4061E"/>
    <w:rsid w:val="61633BDA"/>
    <w:rsid w:val="61B23647"/>
    <w:rsid w:val="61E33B45"/>
    <w:rsid w:val="623B447A"/>
    <w:rsid w:val="62464748"/>
    <w:rsid w:val="62542CC4"/>
    <w:rsid w:val="630015B9"/>
    <w:rsid w:val="63FE5340"/>
    <w:rsid w:val="640B1F26"/>
    <w:rsid w:val="64132F2C"/>
    <w:rsid w:val="650664D0"/>
    <w:rsid w:val="65355760"/>
    <w:rsid w:val="666908C2"/>
    <w:rsid w:val="668274B1"/>
    <w:rsid w:val="673113AB"/>
    <w:rsid w:val="67593ED7"/>
    <w:rsid w:val="689C2C37"/>
    <w:rsid w:val="68AC152E"/>
    <w:rsid w:val="68CD4B9F"/>
    <w:rsid w:val="695323C7"/>
    <w:rsid w:val="69C30412"/>
    <w:rsid w:val="69EA7D86"/>
    <w:rsid w:val="6A2D0FBD"/>
    <w:rsid w:val="6A3E7D5B"/>
    <w:rsid w:val="6B023115"/>
    <w:rsid w:val="6BBF7607"/>
    <w:rsid w:val="6C987B75"/>
    <w:rsid w:val="6D2B4CBE"/>
    <w:rsid w:val="6D401C96"/>
    <w:rsid w:val="6D4A0BE9"/>
    <w:rsid w:val="6D7875A9"/>
    <w:rsid w:val="6E06100F"/>
    <w:rsid w:val="6E5B1FD7"/>
    <w:rsid w:val="6E8842AC"/>
    <w:rsid w:val="6EC64CFC"/>
    <w:rsid w:val="6F1D1E58"/>
    <w:rsid w:val="708F1B04"/>
    <w:rsid w:val="70E237AF"/>
    <w:rsid w:val="710C1A65"/>
    <w:rsid w:val="71497715"/>
    <w:rsid w:val="715E368C"/>
    <w:rsid w:val="71C94BB9"/>
    <w:rsid w:val="72A801AB"/>
    <w:rsid w:val="7377313A"/>
    <w:rsid w:val="73C23115"/>
    <w:rsid w:val="73FA6E86"/>
    <w:rsid w:val="744F7DDF"/>
    <w:rsid w:val="74572EAA"/>
    <w:rsid w:val="74E106B7"/>
    <w:rsid w:val="75700D85"/>
    <w:rsid w:val="75715F41"/>
    <w:rsid w:val="76497732"/>
    <w:rsid w:val="76890F73"/>
    <w:rsid w:val="76F173CA"/>
    <w:rsid w:val="770F4753"/>
    <w:rsid w:val="78376D79"/>
    <w:rsid w:val="790428F9"/>
    <w:rsid w:val="7A126AE1"/>
    <w:rsid w:val="7ABE2378"/>
    <w:rsid w:val="7AFB3926"/>
    <w:rsid w:val="7B6130E0"/>
    <w:rsid w:val="7BFC3589"/>
    <w:rsid w:val="7C185614"/>
    <w:rsid w:val="7C257594"/>
    <w:rsid w:val="7C9503D6"/>
    <w:rsid w:val="7CD02D3B"/>
    <w:rsid w:val="7E352FE9"/>
    <w:rsid w:val="7E6214B0"/>
    <w:rsid w:val="7E6E2528"/>
    <w:rsid w:val="7EB61EE5"/>
    <w:rsid w:val="7F1C3BD4"/>
    <w:rsid w:val="7FCE0606"/>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4">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5">
    <w:name w:val="heading 3"/>
    <w:basedOn w:val="1"/>
    <w:next w:val="1"/>
    <w:unhideWhenUsed/>
    <w:qFormat/>
    <w:uiPriority w:val="0"/>
    <w:pPr>
      <w:keepNext/>
      <w:keepLines/>
      <w:spacing w:before="260" w:after="260" w:line="413" w:lineRule="auto"/>
      <w:outlineLvl w:val="2"/>
    </w:pPr>
    <w:rPr>
      <w:b/>
      <w:sz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6">
    <w:name w:val="annotation text"/>
    <w:basedOn w:val="1"/>
    <w:qFormat/>
    <w:uiPriority w:val="0"/>
    <w:pPr>
      <w:jc w:val="left"/>
    </w:pPr>
  </w:style>
  <w:style w:type="paragraph" w:styleId="7">
    <w:name w:val="Plain Text"/>
    <w:basedOn w:val="1"/>
    <w:qFormat/>
    <w:uiPriority w:val="0"/>
    <w:rPr>
      <w:rFonts w:ascii="宋体" w:hAnsi="Courier New" w:cs="Courier New"/>
      <w:szCs w:val="21"/>
    </w:rPr>
  </w:style>
  <w:style w:type="paragraph" w:styleId="8">
    <w:name w:val="footer"/>
    <w:basedOn w:val="1"/>
    <w:qFormat/>
    <w:uiPriority w:val="0"/>
    <w:pPr>
      <w:tabs>
        <w:tab w:val="center" w:pos="4153"/>
        <w:tab w:val="right" w:pos="8306"/>
      </w:tabs>
      <w:snapToGrid w:val="0"/>
      <w:jc w:val="left"/>
    </w:pPr>
    <w:rPr>
      <w:sz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1"/>
    <w:basedOn w:val="1"/>
    <w:next w:val="1"/>
    <w:qFormat/>
    <w:uiPriority w:val="0"/>
  </w:style>
  <w:style w:type="paragraph" w:styleId="11">
    <w:name w:val="toc 2"/>
    <w:basedOn w:val="1"/>
    <w:next w:val="1"/>
    <w:qFormat/>
    <w:uiPriority w:val="0"/>
    <w:pPr>
      <w:tabs>
        <w:tab w:val="right" w:leader="dot" w:pos="8302"/>
      </w:tabs>
      <w:snapToGrid w:val="0"/>
      <w:spacing w:line="360" w:lineRule="auto"/>
      <w:ind w:left="525" w:hanging="4"/>
    </w:pPr>
    <w:rPr>
      <w:sz w:val="24"/>
      <w:szCs w:val="20"/>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Hyperlink"/>
    <w:basedOn w:val="14"/>
    <w:qFormat/>
    <w:uiPriority w:val="0"/>
  </w:style>
  <w:style w:type="paragraph" w:customStyle="1" w:styleId="16">
    <w:name w:val="标题1"/>
    <w:basedOn w:val="4"/>
    <w:next w:val="1"/>
    <w:qFormat/>
    <w:uiPriority w:val="0"/>
    <w:pPr>
      <w:numPr>
        <w:ilvl w:val="0"/>
        <w:numId w:val="1"/>
      </w:numPr>
    </w:pPr>
    <w:rPr>
      <w:rFonts w:hAnsi="黑体"/>
    </w:rPr>
  </w:style>
  <w:style w:type="paragraph" w:customStyle="1" w:styleId="17">
    <w:name w:val="首页项目名称"/>
    <w:link w:val="19"/>
    <w:qFormat/>
    <w:uiPriority w:val="0"/>
    <w:pPr>
      <w:jc w:val="center"/>
    </w:pPr>
    <w:rPr>
      <w:rFonts w:ascii="Times New Roman" w:hAnsi="Times New Roman" w:eastAsia="隶书" w:cs="Times New Roman"/>
      <w:sz w:val="52"/>
      <w:lang w:val="en-US" w:eastAsia="zh-CN" w:bidi="ar-SA"/>
    </w:rPr>
  </w:style>
  <w:style w:type="paragraph" w:customStyle="1" w:styleId="18">
    <w:name w:val="首页日期"/>
    <w:basedOn w:val="1"/>
    <w:link w:val="20"/>
    <w:qFormat/>
    <w:uiPriority w:val="0"/>
    <w:pPr>
      <w:jc w:val="center"/>
    </w:pPr>
    <w:rPr>
      <w:rFonts w:eastAsia="楷体"/>
      <w:sz w:val="32"/>
    </w:rPr>
  </w:style>
  <w:style w:type="character" w:customStyle="1" w:styleId="19">
    <w:name w:val="首页项目名称 Char"/>
    <w:link w:val="17"/>
    <w:qFormat/>
    <w:uiPriority w:val="0"/>
    <w:rPr>
      <w:rFonts w:ascii="Times New Roman" w:hAnsi="Times New Roman" w:eastAsia="隶书"/>
      <w:sz w:val="52"/>
    </w:rPr>
  </w:style>
  <w:style w:type="character" w:customStyle="1" w:styleId="20">
    <w:name w:val="首页日期 Char"/>
    <w:link w:val="18"/>
    <w:qFormat/>
    <w:uiPriority w:val="0"/>
    <w:rPr>
      <w:rFonts w:ascii="Times New Roman" w:hAnsi="Times New Roman" w:eastAsia="楷体"/>
      <w:sz w:val="32"/>
    </w:rPr>
  </w:style>
  <w:style w:type="paragraph" w:customStyle="1" w:styleId="21">
    <w:name w:val="一标题"/>
    <w:link w:val="22"/>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2">
    <w:name w:val="一标题 Char"/>
    <w:link w:val="21"/>
    <w:qFormat/>
    <w:uiPriority w:val="0"/>
    <w:rPr>
      <w:rFonts w:ascii="宋体" w:hAnsi="宋体" w:eastAsia="宋体" w:cs="Times New Roman"/>
      <w:b/>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2036</Words>
  <Characters>1503</Characters>
  <Lines>12</Lines>
  <Paragraphs>7</Paragraphs>
  <TotalTime>32</TotalTime>
  <ScaleCrop>false</ScaleCrop>
  <LinksUpToDate>false</LinksUpToDate>
  <CharactersWithSpaces>3532</CharactersWithSpaces>
  <Application>WPS Office_12.8.2.21549_F1E327BC-269C-435d-A152-05C5408002CA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2020-01-03T01:39:00Z</dcterms:created>
  <dc:creator>shenpeiyi</dc:creator>
  <cp:lastModifiedBy>chenlu0926</cp:lastModifiedBy>
  <cp:lastPrinted>2024-08-02T09:30:00Z</cp:lastPrinted>
  <dcterms:modified xsi:type="dcterms:W3CDTF">2025-11-12T07:10:28Z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2052-12.8.2.21549</vt:lpwstr>
  </property>
  <property fmtid="{D5CDD505-2E9C-101B-9397-08002B2CF9AE}" pid="3" name="ICV">
    <vt:lpwstr>894CAE44C09E4D89A25188304C1DF267</vt:lpwstr>
  </property>
</Properties>
</file>