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0" w:beforeLines="500" w:line="240" w:lineRule="auto"/>
        <w:ind w:firstLine="0" w:firstLineChars="0"/>
        <w:jc w:val="left"/>
        <w:rPr>
          <w:rFonts w:ascii="Times New Roman" w:hAnsi="Times New Roman" w:eastAsia="仿宋_GB2312" w:cs="Times New Roman"/>
          <w:b/>
          <w:color w:val="000000"/>
          <w:sz w:val="36"/>
          <w:szCs w:val="20"/>
          <w:highlight w:val="yellow"/>
        </w:rPr>
      </w:pPr>
      <w:r>
        <mc:AlternateContent>
          <mc:Choice Requires="wps">
            <w:drawing>
              <wp:anchor distT="0" distB="0" distL="114300" distR="114300" simplePos="0" relativeHeight="251660288" behindDoc="0" locked="0" layoutInCell="1" allowOverlap="1">
                <wp:simplePos x="0" y="0"/>
                <wp:positionH relativeFrom="column">
                  <wp:posOffset>-52070</wp:posOffset>
                </wp:positionH>
                <wp:positionV relativeFrom="paragraph">
                  <wp:posOffset>828040</wp:posOffset>
                </wp:positionV>
                <wp:extent cx="5902960" cy="2571115"/>
                <wp:effectExtent l="0" t="0" r="0" b="0"/>
                <wp:wrapNone/>
                <wp:docPr id="4" name="文本框 4"/>
                <wp:cNvGraphicFramePr/>
                <a:graphic xmlns:a="http://schemas.openxmlformats.org/drawingml/2006/main">
                  <a:graphicData uri="http://schemas.microsoft.com/office/word/2010/wordprocessingShape">
                    <wps:wsp>
                      <wps:cNvSpPr txBox="1"/>
                      <wps:spPr>
                        <a:xfrm>
                          <a:off x="0" y="0"/>
                          <a:ext cx="5902960" cy="2571115"/>
                        </a:xfrm>
                        <a:prstGeom prst="rect">
                          <a:avLst/>
                        </a:prstGeom>
                        <a:noFill/>
                        <a:ln>
                          <a:noFill/>
                        </a:ln>
                      </wps:spPr>
                      <wps:txbx>
                        <w:txbxContent>
                          <w:p>
                            <w:pPr>
                              <w:ind w:left="0" w:leftChars="0" w:firstLine="0" w:firstLineChars="0"/>
                              <w:jc w:val="center"/>
                              <w:rPr>
                                <w:rFonts w:hint="eastAsia" w:ascii="微软雅黑" w:hAnsi="微软雅黑" w:eastAsia="微软雅黑"/>
                                <w:sz w:val="52"/>
                                <w:szCs w:val="52"/>
                              </w:rPr>
                            </w:pPr>
                            <w:r>
                              <w:rPr>
                                <w:rFonts w:hint="eastAsia" w:ascii="微软雅黑" w:hAnsi="微软雅黑" w:eastAsia="微软雅黑"/>
                                <w:sz w:val="52"/>
                                <w:szCs w:val="52"/>
                              </w:rPr>
                              <w:t>广西电网公司防城港供电局202</w:t>
                            </w:r>
                            <w:r>
                              <w:rPr>
                                <w:rFonts w:hint="eastAsia" w:ascii="微软雅黑" w:hAnsi="微软雅黑" w:eastAsia="微软雅黑"/>
                                <w:sz w:val="52"/>
                                <w:szCs w:val="52"/>
                                <w:lang w:val="en-US" w:eastAsia="zh-CN"/>
                              </w:rPr>
                              <w:t>5</w:t>
                            </w:r>
                            <w:r>
                              <w:rPr>
                                <w:rFonts w:hint="eastAsia" w:ascii="微软雅黑" w:hAnsi="微软雅黑" w:eastAsia="微软雅黑"/>
                                <w:sz w:val="52"/>
                                <w:szCs w:val="52"/>
                              </w:rPr>
                              <w:t>年职工创新项目加工服务（一种</w:t>
                            </w:r>
                            <w:r>
                              <w:rPr>
                                <w:rFonts w:hint="eastAsia" w:ascii="微软雅黑" w:hAnsi="微软雅黑" w:eastAsia="微软雅黑"/>
                                <w:sz w:val="52"/>
                                <w:szCs w:val="52"/>
                                <w:lang w:val="en-US" w:eastAsia="zh-CN"/>
                              </w:rPr>
                              <w:t>针对500kV绝缘架空地线放电间隙的通用型工具</w:t>
                            </w:r>
                            <w:r>
                              <w:rPr>
                                <w:rFonts w:hint="eastAsia" w:ascii="微软雅黑" w:hAnsi="微软雅黑" w:eastAsia="微软雅黑"/>
                                <w:sz w:val="52"/>
                                <w:szCs w:val="52"/>
                              </w:rPr>
                              <w:t>）零星采购项目</w:t>
                            </w:r>
                          </w:p>
                        </w:txbxContent>
                      </wps:txbx>
                      <wps:bodyPr upright="1">
                        <a:noAutofit/>
                      </wps:bodyPr>
                    </wps:wsp>
                  </a:graphicData>
                </a:graphic>
              </wp:anchor>
            </w:drawing>
          </mc:Choice>
          <mc:Fallback>
            <w:pict>
              <v:shape id="_x0000_s1026" o:spid="_x0000_s1026" o:spt="202" type="#_x0000_t202" style="position:absolute;left:0pt;margin-left:-4.1pt;margin-top:65.2pt;height:202.45pt;width:464.8pt;z-index:251660288;mso-width-relative:page;mso-height-relative:page;" filled="f" stroked="f" coordsize="21600,21600" o:gfxdata="UEsDBAoAAAAAAIdO4kAAAAAAAAAAAAAAAAAEAAAAZHJzL1BLAwQUAAAACACHTuJA7p3qVNcAAAAK&#10;AQAADwAAAGRycy9kb3ducmV2LnhtbE2PTU/DMAyG70j8h8hI3Lak7Yq2rukOIK4gNkDaLWu8tqJx&#10;qiZby7/HnODmj0evH5e72fXiimPoPGlIlgoEUu1tR42G98PzYg0iREPW9J5QwzcG2FW3N6UprJ/o&#10;Da/72AgOoVAYDW2MQyFlqFt0Jiz9gMS7sx+didyOjbSjmTjc9TJV6kE60xFfaM2Ajy3WX/uL0/Dx&#10;cj5+rtRr8+TyYfKzkuQ2Uuv7u0RtQUSc4x8Mv/qsDhU7nfyFbBC9hsU6ZZLnmVqBYGCTJlycNORZ&#10;noGsSvn/heoHUEsDBBQAAAAIAIdO4kBIJq9bugEAAGkDAAAOAAAAZHJzL2Uyb0RvYy54bWytU0tu&#10;2zAQ3RfIHQjua0pGnDaC5aCFkWyKtkCSA9AUaREQOQRJW/IF2ht01U33PZfP0SGlOL9NFt1Q5Mzj&#10;m3lvqOXVYDqylz5osDUtZwUl0gpotN3W9P7u+v1HSkLktuEdWFnTgwz0anX2btm7Ss6hha6RniCJ&#10;DVXvatrG6CrGgmil4WEGTlpMKvCGRzz6LWs875HddGxeFBesB984D0KGgNH1mKQTo38LISilhVyD&#10;2Blp48jqZccjSgqtdoGucrdKSRG/KRVkJF1NUWnMKxbB/SatbLXk1dZz12oxtcDf0sILTYZri0VP&#10;VGseOdl5/YrKaOEhgIozAYaNQrIjqKIsXnhz23Insxa0OriT6eH/0Yqv+++e6Kam55RYbnDgx18/&#10;j7//Hv/8IOfJnt6FClG3DnFx+AwDPpqHeMBgUj0ob9IX9RDMo7mHk7lyiERgcHFZzC8vMCUwN198&#10;KMtykXjY43XnQ7yRYEja1NTj9LKpfP8lxBH6AEnVLFzrrssT7OyzAHKmCEu9jz2mXRw2wyRoA80B&#10;9eyc19sWS5W5joVPuwhK51rpxgibiHACudvptaQRPz1n1OMfsvoH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7p3qVNcAAAAKAQAADwAAAAAAAAABACAAAAAiAAAAZHJzL2Rvd25yZXYueG1sUEsBAhQA&#10;FAAAAAgAh07iQEgmr1u6AQAAaQMAAA4AAAAAAAAAAQAgAAAAJgEAAGRycy9lMm9Eb2MueG1sUEsF&#10;BgAAAAAGAAYAWQEAAFIFAAAAAA==&#10;">
                <v:fill on="f" focussize="0,0"/>
                <v:stroke on="f"/>
                <v:imagedata o:title=""/>
                <o:lock v:ext="edit" aspectratio="f"/>
                <v:textbox>
                  <w:txbxContent>
                    <w:p>
                      <w:pPr>
                        <w:ind w:left="0" w:leftChars="0" w:firstLine="0" w:firstLineChars="0"/>
                        <w:jc w:val="center"/>
                        <w:rPr>
                          <w:rFonts w:hint="eastAsia" w:ascii="微软雅黑" w:hAnsi="微软雅黑" w:eastAsia="微软雅黑"/>
                          <w:sz w:val="52"/>
                          <w:szCs w:val="52"/>
                        </w:rPr>
                      </w:pPr>
                      <w:r>
                        <w:rPr>
                          <w:rFonts w:hint="eastAsia" w:ascii="微软雅黑" w:hAnsi="微软雅黑" w:eastAsia="微软雅黑"/>
                          <w:sz w:val="52"/>
                          <w:szCs w:val="52"/>
                        </w:rPr>
                        <w:t>广西电网公司防城港供电局202</w:t>
                      </w:r>
                      <w:r>
                        <w:rPr>
                          <w:rFonts w:hint="eastAsia" w:ascii="微软雅黑" w:hAnsi="微软雅黑" w:eastAsia="微软雅黑"/>
                          <w:sz w:val="52"/>
                          <w:szCs w:val="52"/>
                          <w:lang w:val="en-US" w:eastAsia="zh-CN"/>
                        </w:rPr>
                        <w:t>5</w:t>
                      </w:r>
                      <w:r>
                        <w:rPr>
                          <w:rFonts w:hint="eastAsia" w:ascii="微软雅黑" w:hAnsi="微软雅黑" w:eastAsia="微软雅黑"/>
                          <w:sz w:val="52"/>
                          <w:szCs w:val="52"/>
                        </w:rPr>
                        <w:t>年职工创新项目加工服务（一种</w:t>
                      </w:r>
                      <w:r>
                        <w:rPr>
                          <w:rFonts w:hint="eastAsia" w:ascii="微软雅黑" w:hAnsi="微软雅黑" w:eastAsia="微软雅黑"/>
                          <w:sz w:val="52"/>
                          <w:szCs w:val="52"/>
                          <w:lang w:val="en-US" w:eastAsia="zh-CN"/>
                        </w:rPr>
                        <w:t>针对500kV绝缘架空地线放电间隙的通用型工具</w:t>
                      </w:r>
                      <w:r>
                        <w:rPr>
                          <w:rFonts w:hint="eastAsia" w:ascii="微软雅黑" w:hAnsi="微软雅黑" w:eastAsia="微软雅黑"/>
                          <w:sz w:val="52"/>
                          <w:szCs w:val="52"/>
                        </w:rPr>
                        <w:t>）零星采购项目</w:t>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column">
                  <wp:posOffset>1513840</wp:posOffset>
                </wp:positionH>
                <wp:positionV relativeFrom="paragraph">
                  <wp:posOffset>8010525</wp:posOffset>
                </wp:positionV>
                <wp:extent cx="2294890" cy="479425"/>
                <wp:effectExtent l="0" t="0" r="0" b="0"/>
                <wp:wrapNone/>
                <wp:docPr id="1" name="文本框 1"/>
                <wp:cNvGraphicFramePr/>
                <a:graphic xmlns:a="http://schemas.openxmlformats.org/drawingml/2006/main">
                  <a:graphicData uri="http://schemas.microsoft.com/office/word/2010/wordprocessingShape">
                    <wps:wsp>
                      <wps:cNvSpPr txBox="1"/>
                      <wps:spPr>
                        <a:xfrm>
                          <a:off x="0" y="0"/>
                          <a:ext cx="2294890" cy="479425"/>
                        </a:xfrm>
                        <a:prstGeom prst="rect">
                          <a:avLst/>
                        </a:prstGeom>
                        <a:noFill/>
                        <a:ln>
                          <a:noFill/>
                        </a:ln>
                      </wps:spPr>
                      <wps:txbx>
                        <w:txbxContent>
                          <w:p>
                            <w:pPr>
                              <w:ind w:firstLine="0" w:firstLineChars="0"/>
                              <w:jc w:val="center"/>
                              <w:rPr>
                                <w:sz w:val="28"/>
                                <w:szCs w:val="28"/>
                              </w:rPr>
                            </w:pPr>
                            <w:r>
                              <w:rPr>
                                <w:rFonts w:hint="eastAsia"/>
                                <w:sz w:val="28"/>
                                <w:szCs w:val="28"/>
                              </w:rPr>
                              <w:t>202</w:t>
                            </w:r>
                            <w:r>
                              <w:rPr>
                                <w:rFonts w:hint="eastAsia"/>
                                <w:sz w:val="28"/>
                                <w:szCs w:val="28"/>
                                <w:lang w:val="en-US" w:eastAsia="zh-CN"/>
                              </w:rPr>
                              <w:t>5</w:t>
                            </w:r>
                            <w:r>
                              <w:rPr>
                                <w:rFonts w:hint="eastAsia"/>
                                <w:sz w:val="28"/>
                                <w:szCs w:val="28"/>
                              </w:rPr>
                              <w:t>年</w:t>
                            </w:r>
                            <w:r>
                              <w:rPr>
                                <w:rFonts w:hint="eastAsia"/>
                                <w:sz w:val="28"/>
                                <w:szCs w:val="28"/>
                                <w:lang w:val="en-US" w:eastAsia="zh-CN"/>
                              </w:rPr>
                              <w:t>11</w:t>
                            </w:r>
                            <w:r>
                              <w:rPr>
                                <w:rFonts w:hint="eastAsia"/>
                                <w:sz w:val="28"/>
                                <w:szCs w:val="28"/>
                              </w:rPr>
                              <w:t>月</w:t>
                            </w:r>
                          </w:p>
                        </w:txbxContent>
                      </wps:txbx>
                      <wps:bodyPr upright="1"/>
                    </wps:wsp>
                  </a:graphicData>
                </a:graphic>
              </wp:anchor>
            </w:drawing>
          </mc:Choice>
          <mc:Fallback>
            <w:pict>
              <v:shape id="_x0000_s1026" o:spid="_x0000_s1026" o:spt="202" type="#_x0000_t202" style="position:absolute;left:0pt;margin-left:119.2pt;margin-top:630.75pt;height:37.75pt;width:180.7pt;z-index:251662336;mso-width-relative:page;mso-height-relative:page;" filled="f" stroked="f" coordsize="21600,21600" o:gfxdata="UEsDBAoAAAAAAIdO4kAAAAAAAAAAAAAAAAAEAAAAZHJzL1BLAwQUAAAACACHTuJAA3e/XdkAAAAN&#10;AQAADwAAAGRycy9kb3ducmV2LnhtbE2PzU7DMBCE70i8g7VI3KidpClNiNMDiCuI8iNxc+NtEhGv&#10;o9htwtuznOC4M59mZ6rd4gZxxin0njQkKwUCqfG2p1bD2+vjzRZEiIasGTyhhm8MsKsvLypTWj/T&#10;C573sRUcQqE0GroYx1LK0HToTFj5EYm9o5+ciXxOrbSTmTncDTJVaiOd6Yk/dGbE+w6br/3JaXh/&#10;On5+rNVz++DycfaLkuQKqfX1VaLuQERc4h8Mv/W5OtTc6eBPZIMYNKTZds0oG+kmyUEwkhcFrzmw&#10;lGW3CmRdyf8r6h9QSwMEFAAAAAgAh07iQCQsoT6tAQAATgMAAA4AAABkcnMvZTJvRG9jLnhtbK1T&#10;QY7TMBTdI3EHy3vqNiowjZqOhKphg2aQBg7gOnZjyfa3bLdJLzDcYFZs2HOunoNvJ3Rg2MyCjWO/&#10;//P+e8/J+nqwhhxliBpcQxezOSXSCWi12zf065ebN1eUxMRdyw042dCTjPR68/rVuve1rKAD08pA&#10;kMTFuvcN7VLyNWNRdNLyOAMvHRYVBMsTHsOetYH3yG4Nq+bzd6yH0PoAQsaI6HYs0okxvIQQlNJC&#10;bkEcrHRpZA3S8ISWYqd9pJuiVikp0p1SUSZiGopOU1lxCO53eWWbNa/3gftOi0kCf4mEZ54s1w6H&#10;Xqi2PHFyCPofKqtFgAgqzQRYNhopiaCLxfxZNvcd97J4waijv4Qe/x+tuD1+DkS3+CVQ4rjFCz8/&#10;fjt//3n+8UAWOZ7exxq77j32peEDDLl1wiOC2fWggs1P9EOwjuGeLuHKIRGBYFWtllcrLAmsLd+v&#10;ltXbTMOe3vYhpo8SLMmbhga8vJIpP36KaWz93ZKHObjRxiDOa+P+ApAzIyxLHyXmXRp2w6R7B+0J&#10;7Rx80PsORxVDpR1jLpqmTyLf45/nQvr0G2x+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AN3v13Z&#10;AAAADQEAAA8AAAAAAAAAAQAgAAAAIgAAAGRycy9kb3ducmV2LnhtbFBLAQIUABQAAAAIAIdO4kAk&#10;LKE+rQEAAE4DAAAOAAAAAAAAAAEAIAAAACgBAABkcnMvZTJvRG9jLnhtbFBLBQYAAAAABgAGAFkB&#10;AABHBQAAAAA=&#10;">
                <v:fill on="f" focussize="0,0"/>
                <v:stroke on="f"/>
                <v:imagedata o:title=""/>
                <o:lock v:ext="edit" aspectratio="f"/>
                <v:textbox>
                  <w:txbxContent>
                    <w:p>
                      <w:pPr>
                        <w:ind w:firstLine="0" w:firstLineChars="0"/>
                        <w:jc w:val="center"/>
                        <w:rPr>
                          <w:sz w:val="28"/>
                          <w:szCs w:val="28"/>
                        </w:rPr>
                      </w:pPr>
                      <w:r>
                        <w:rPr>
                          <w:rFonts w:hint="eastAsia"/>
                          <w:sz w:val="28"/>
                          <w:szCs w:val="28"/>
                        </w:rPr>
                        <w:t>202</w:t>
                      </w:r>
                      <w:r>
                        <w:rPr>
                          <w:rFonts w:hint="eastAsia"/>
                          <w:sz w:val="28"/>
                          <w:szCs w:val="28"/>
                          <w:lang w:val="en-US" w:eastAsia="zh-CN"/>
                        </w:rPr>
                        <w:t>5</w:t>
                      </w:r>
                      <w:r>
                        <w:rPr>
                          <w:rFonts w:hint="eastAsia"/>
                          <w:sz w:val="28"/>
                          <w:szCs w:val="28"/>
                        </w:rPr>
                        <w:t>年</w:t>
                      </w:r>
                      <w:r>
                        <w:rPr>
                          <w:rFonts w:hint="eastAsia"/>
                          <w:sz w:val="28"/>
                          <w:szCs w:val="28"/>
                          <w:lang w:val="en-US" w:eastAsia="zh-CN"/>
                        </w:rPr>
                        <w:t>11</w:t>
                      </w:r>
                      <w:r>
                        <w:rPr>
                          <w:rFonts w:hint="eastAsia"/>
                          <w:sz w:val="28"/>
                          <w:szCs w:val="28"/>
                        </w:rPr>
                        <w:t>月</w:t>
                      </w:r>
                    </w:p>
                  </w:txbxContent>
                </v:textbox>
              </v:shape>
            </w:pict>
          </mc:Fallback>
        </mc:AlternateContent>
      </w:r>
    </w:p>
    <w:p>
      <w:pPr>
        <w:spacing w:before="1560" w:beforeLines="500" w:line="240" w:lineRule="auto"/>
        <w:ind w:firstLine="0" w:firstLineChars="0"/>
        <w:jc w:val="left"/>
        <w:rPr>
          <w:rFonts w:ascii="Times New Roman" w:hAnsi="Times New Roman" w:eastAsia="仿宋_GB2312" w:cs="Times New Roman"/>
          <w:b/>
          <w:color w:val="000000"/>
          <w:sz w:val="36"/>
          <w:szCs w:val="20"/>
          <w:highlight w:val="yellow"/>
        </w:rPr>
      </w:pPr>
    </w:p>
    <w:p>
      <w:pPr>
        <w:spacing w:before="1560" w:beforeLines="500" w:line="240" w:lineRule="auto"/>
        <w:ind w:firstLine="0" w:firstLineChars="0"/>
        <w:jc w:val="left"/>
        <w:rPr>
          <w:rFonts w:ascii="Times New Roman" w:hAnsi="Times New Roman" w:eastAsia="仿宋_GB2312" w:cs="Times New Roman"/>
          <w:b/>
          <w:color w:val="000000"/>
          <w:sz w:val="36"/>
          <w:szCs w:val="20"/>
          <w:highlight w:val="yellow"/>
        </w:rPr>
      </w:pPr>
      <w:r>
        <mc:AlternateContent>
          <mc:Choice Requires="wps">
            <w:drawing>
              <wp:anchor distT="0" distB="0" distL="114300" distR="114300" simplePos="0" relativeHeight="251659264" behindDoc="0" locked="0" layoutInCell="1" allowOverlap="1">
                <wp:simplePos x="0" y="0"/>
                <wp:positionH relativeFrom="column">
                  <wp:posOffset>331470</wp:posOffset>
                </wp:positionH>
                <wp:positionV relativeFrom="paragraph">
                  <wp:posOffset>862965</wp:posOffset>
                </wp:positionV>
                <wp:extent cx="4848225" cy="934085"/>
                <wp:effectExtent l="0" t="0" r="0" b="0"/>
                <wp:wrapNone/>
                <wp:docPr id="2" name="文本框 2"/>
                <wp:cNvGraphicFramePr/>
                <a:graphic xmlns:a="http://schemas.openxmlformats.org/drawingml/2006/main">
                  <a:graphicData uri="http://schemas.microsoft.com/office/word/2010/wordprocessingShape">
                    <wps:wsp>
                      <wps:cNvSpPr txBox="1"/>
                      <wps:spPr>
                        <a:xfrm>
                          <a:off x="0" y="0"/>
                          <a:ext cx="4848225" cy="934085"/>
                        </a:xfrm>
                        <a:prstGeom prst="rect">
                          <a:avLst/>
                        </a:prstGeom>
                        <a:noFill/>
                        <a:ln>
                          <a:noFill/>
                        </a:ln>
                      </wps:spPr>
                      <wps:txbx>
                        <w:txbxContent>
                          <w:p>
                            <w:pPr>
                              <w:ind w:firstLine="0" w:firstLineChars="0"/>
                              <w:jc w:val="center"/>
                              <w:rPr>
                                <w:sz w:val="52"/>
                                <w:szCs w:val="52"/>
                              </w:rPr>
                            </w:pPr>
                            <w:r>
                              <w:rPr>
                                <w:rFonts w:hint="eastAsia" w:ascii="黑体" w:hAnsi="黑体" w:eastAsia="黑体"/>
                                <w:sz w:val="52"/>
                                <w:szCs w:val="52"/>
                              </w:rPr>
                              <w:t>技术规范书</w:t>
                            </w:r>
                          </w:p>
                        </w:txbxContent>
                      </wps:txbx>
                      <wps:bodyPr upright="1"/>
                    </wps:wsp>
                  </a:graphicData>
                </a:graphic>
              </wp:anchor>
            </w:drawing>
          </mc:Choice>
          <mc:Fallback>
            <w:pict>
              <v:shape id="_x0000_s1026" o:spid="_x0000_s1026" o:spt="202" type="#_x0000_t202" style="position:absolute;left:0pt;margin-left:26.1pt;margin-top:67.95pt;height:73.55pt;width:381.75pt;z-index:251659264;mso-width-relative:page;mso-height-relative:page;" filled="f" stroked="f" coordsize="21600,21600" o:gfxdata="UEsDBAoAAAAAAIdO4kAAAAAAAAAAAAAAAAAEAAAAZHJzL1BLAwQUAAAACACHTuJAjJe7x9gAAAAK&#10;AQAADwAAAGRycy9kb3ducmV2LnhtbE2PTU/DMAyG70j7D5EncWNJOwpdabrDJq4gxofELWu8tqJx&#10;qiZby7/HnOBo+9Hr5y23s+vFBcfQedKQrBQIpNrbjhoNb6+PNzmIEA1Z03tCDd8YYFstrkpTWD/R&#10;C14OsREcQqEwGtoYh0LKULfoTFj5AYlvJz86E3kcG2lHM3G462Wq1J10piP+0JoBdy3WX4ez0/D+&#10;dPr8uFXPzd5lw+RnJcltpNbXy0Q9gIg4xz8YfvVZHSp2Ovoz2SB6DVmaMsn7dbYBwUCeZPcgjhrS&#10;fK1AVqX8X6H6AVBLAwQUAAAACACHTuJAPwZhuq4BAABOAwAADgAAAGRycy9lMm9Eb2MueG1srVNL&#10;btswEN0X6B0I7msqqlM4guUAhZFuirRAmgPQFGkR4A8c2pIv0Nygq26677l8jg4px0nTTRbdUOTM&#10;6M17b8jl9WgN2csI2ruWXswqSqQTvtNu29L7bzfvFpRA4q7jxjvZ0oMEer16+2Y5hEbWvvemk5Eg&#10;iINmCC3tUwoNYyB6aTnMfJAOk8pHyxMe45Z1kQ+Ibg2rq+oDG3zsQvRCAmB0PSXpCTG+BtArpYVc&#10;e7Gz0qUJNUrDE0qCXgegq8JWKSnSF6VAJmJaikpTWbEJ7jd5Zaslb7aRh16LEwX+GgovNFmuHTY9&#10;Q6154mQX9T9QVovowas0E96ySUhxBFVcVC+8uet5kEULWg3hbDr8P1hxu/8aie5aWlPiuMWBH388&#10;HH/+Pv76TupszxCgwaq7gHVp/OhHvDSPccBgVj2qaPMX9RDMo7mHs7lyTERgcL6YL+r6khKBuav3&#10;82pxmWHY098hQvokvSV509KIwyue8v1nSFPpY0lu5vyNNqYM0Li/AoiZIyxTnyjmXRo340nPxncH&#10;lLMLUW97bFUElXK0uXA6XYk8x+fnAvr0DFZ/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IyXu8fY&#10;AAAACgEAAA8AAAAAAAAAAQAgAAAAIgAAAGRycy9kb3ducmV2LnhtbFBLAQIUABQAAAAIAIdO4kA/&#10;BmG6rgEAAE4DAAAOAAAAAAAAAAEAIAAAACcBAABkcnMvZTJvRG9jLnhtbFBLBQYAAAAABgAGAFkB&#10;AABHBQAAAAA=&#10;">
                <v:fill on="f" focussize="0,0"/>
                <v:stroke on="f"/>
                <v:imagedata o:title=""/>
                <o:lock v:ext="edit" aspectratio="f"/>
                <v:textbox>
                  <w:txbxContent>
                    <w:p>
                      <w:pPr>
                        <w:ind w:firstLine="0" w:firstLineChars="0"/>
                        <w:jc w:val="center"/>
                        <w:rPr>
                          <w:sz w:val="52"/>
                          <w:szCs w:val="52"/>
                        </w:rPr>
                      </w:pPr>
                      <w:r>
                        <w:rPr>
                          <w:rFonts w:hint="eastAsia" w:ascii="黑体" w:hAnsi="黑体" w:eastAsia="黑体"/>
                          <w:sz w:val="52"/>
                          <w:szCs w:val="52"/>
                        </w:rPr>
                        <w:t>技术规范书</w:t>
                      </w:r>
                    </w:p>
                  </w:txbxContent>
                </v:textbox>
              </v:shape>
            </w:pict>
          </mc:Fallback>
        </mc:AlternateContent>
      </w:r>
    </w:p>
    <w:p>
      <w:pPr>
        <w:spacing w:before="1560" w:beforeLines="500" w:line="240" w:lineRule="auto"/>
        <w:ind w:firstLine="0" w:firstLineChars="0"/>
        <w:jc w:val="left"/>
        <w:rPr>
          <w:rFonts w:ascii="Times New Roman" w:hAnsi="Times New Roman" w:eastAsia="仿宋_GB2312" w:cs="Times New Roman"/>
          <w:b/>
          <w:color w:val="000000"/>
          <w:sz w:val="36"/>
          <w:szCs w:val="20"/>
          <w:highlight w:val="yellow"/>
        </w:rPr>
      </w:pPr>
    </w:p>
    <w:p>
      <w:pPr>
        <w:spacing w:before="1560" w:beforeLines="500" w:line="240" w:lineRule="auto"/>
        <w:ind w:firstLine="0" w:firstLineChars="0"/>
        <w:jc w:val="left"/>
        <w:rPr>
          <w:rFonts w:ascii="Times New Roman" w:hAnsi="Times New Roman" w:eastAsia="仿宋_GB2312" w:cs="Times New Roman"/>
          <w:b/>
          <w:color w:val="000000"/>
          <w:sz w:val="36"/>
          <w:szCs w:val="20"/>
          <w:highlight w:val="yellow"/>
        </w:rPr>
      </w:pPr>
      <w:r>
        <w:rPr>
          <w:highlight w:val="yellow"/>
        </w:rPr>
        <mc:AlternateContent>
          <mc:Choice Requires="wps">
            <w:drawing>
              <wp:anchor distT="0" distB="0" distL="114300" distR="114300" simplePos="0" relativeHeight="251661312" behindDoc="0" locked="0" layoutInCell="1" allowOverlap="1">
                <wp:simplePos x="0" y="0"/>
                <wp:positionH relativeFrom="column">
                  <wp:posOffset>991235</wp:posOffset>
                </wp:positionH>
                <wp:positionV relativeFrom="paragraph">
                  <wp:posOffset>810260</wp:posOffset>
                </wp:positionV>
                <wp:extent cx="3399155" cy="472440"/>
                <wp:effectExtent l="0" t="0" r="0" b="0"/>
                <wp:wrapNone/>
                <wp:docPr id="3" name="文本框 3"/>
                <wp:cNvGraphicFramePr/>
                <a:graphic xmlns:a="http://schemas.openxmlformats.org/drawingml/2006/main">
                  <a:graphicData uri="http://schemas.microsoft.com/office/word/2010/wordprocessingShape">
                    <wps:wsp>
                      <wps:cNvSpPr txBox="1"/>
                      <wps:spPr>
                        <a:xfrm>
                          <a:off x="0" y="0"/>
                          <a:ext cx="3399155" cy="472440"/>
                        </a:xfrm>
                        <a:prstGeom prst="rect">
                          <a:avLst/>
                        </a:prstGeom>
                        <a:noFill/>
                        <a:ln>
                          <a:noFill/>
                        </a:ln>
                      </wps:spPr>
                      <wps:txbx>
                        <w:txbxContent>
                          <w:p>
                            <w:pPr>
                              <w:ind w:firstLine="0" w:firstLineChars="0"/>
                              <w:jc w:val="center"/>
                              <w:rPr>
                                <w:sz w:val="28"/>
                                <w:szCs w:val="28"/>
                              </w:rPr>
                            </w:pPr>
                            <w:r>
                              <w:rPr>
                                <w:rFonts w:hint="eastAsia"/>
                                <w:sz w:val="28"/>
                                <w:szCs w:val="28"/>
                              </w:rPr>
                              <w:t>广西电网</w:t>
                            </w:r>
                            <w:r>
                              <w:rPr>
                                <w:rFonts w:hint="eastAsia"/>
                                <w:sz w:val="28"/>
                                <w:szCs w:val="28"/>
                                <w:lang w:eastAsia="zh-CN"/>
                              </w:rPr>
                              <w:t>有限责任</w:t>
                            </w:r>
                            <w:r>
                              <w:rPr>
                                <w:rFonts w:hint="eastAsia"/>
                                <w:sz w:val="28"/>
                                <w:szCs w:val="28"/>
                              </w:rPr>
                              <w:t>公司防城港供电局</w:t>
                            </w:r>
                          </w:p>
                          <w:p/>
                        </w:txbxContent>
                      </wps:txbx>
                      <wps:bodyPr upright="1"/>
                    </wps:wsp>
                  </a:graphicData>
                </a:graphic>
              </wp:anchor>
            </w:drawing>
          </mc:Choice>
          <mc:Fallback>
            <w:pict>
              <v:shape id="_x0000_s1026" o:spid="_x0000_s1026" o:spt="202" type="#_x0000_t202" style="position:absolute;left:0pt;margin-left:78.05pt;margin-top:63.8pt;height:37.2pt;width:267.65pt;z-index:251661312;mso-width-relative:page;mso-height-relative:page;" filled="f" stroked="f" coordsize="21600,21600" o:gfxdata="UEsDBAoAAAAAAIdO4kAAAAAAAAAAAAAAAAAEAAAAZHJzL1BLAwQUAAAACACHTuJADxHjk9gAAAAL&#10;AQAADwAAAGRycy9kb3ducmV2LnhtbE2PwU7DMAyG70i8Q2QkbixptXVbabrDJq4gtoG0W9Z4bUXj&#10;VE22lrfHnODmX/70+3OxmVwnbjiE1pOGZKZAIFXetlRrOB5enlYgQjRkTecJNXxjgE15f1eY3PqR&#10;3vG2j7XgEgq50dDE2OdShqpBZ8LM90i8u/jBmchxqKUdzMjlrpOpUpl0piW+0Jgetw1WX/ur0/Dx&#10;ejl9ztVbvXOLfvSTkuTWUuvHh0Q9g4g4xT8YfvVZHUp2Ovsr2SA6zossYZSHdJmBYCJbJ3MQZw2p&#10;ShXIspD/fyh/AFBLAwQUAAAACACHTuJAfPYLma8BAABOAwAADgAAAGRycy9lMm9Eb2MueG1srVNL&#10;btswEN0X6B0I7mv6lzYRLAcojHRTpAWSHICmSIuAyCE4tCVfoLlBV91033P5HB3SjtOmmyy6ociZ&#10;pzfz3pCL68F1bKcjWvA1n4zGnGmvoLF+U/OH+5t3l5xhkr6RHXhd871Gfr18+2bRh0pPoYWu0ZER&#10;iceqDzVvUwqVEKha7SSOIGhPSQPRyUTHuBFNlD2xu05Mx+P3oofYhAhKI1J0dUzyE2N8DSEYY5Ve&#10;gdo67dORNepOJpKErQ3Il6VbY7RKX4xBnVhXc1KaykpFaL/Oq1guZLWJMrRWnVqQr2nhhSYnraei&#10;Z6qVTJJto/2HylkVAcGkkQInjkKKI6RiMn7hzV0rgy5ayGoMZ9Px/9Gq293XyGxT8xlnXjoa+OH7&#10;4+HHr8PPb2yW7ekDVoS6C4RLw0cY6NI8xZGCWfVgostf0sMoT+buz+bqITFFwdns6mpyccGZotz8&#10;w3Q+L+6L579DxPRJg2N5U/NIwyueyt1nTNQJQZ8guZiHG9t1ZYCd/ytAwBwRufVji3mXhvVw0rOG&#10;Zk9ytiHaTUuliqACJ5tLodOVyHP881xIn5/B8j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APEeOT&#10;2AAAAAsBAAAPAAAAAAAAAAEAIAAAACIAAABkcnMvZG93bnJldi54bWxQSwECFAAUAAAACACHTuJA&#10;fPYLma8BAABOAwAADgAAAAAAAAABACAAAAAnAQAAZHJzL2Uyb0RvYy54bWxQSwUGAAAAAAYABgBZ&#10;AQAASAUAAAAA&#10;">
                <v:fill on="f" focussize="0,0"/>
                <v:stroke on="f"/>
                <v:imagedata o:title=""/>
                <o:lock v:ext="edit" aspectratio="f"/>
                <v:textbox>
                  <w:txbxContent>
                    <w:p>
                      <w:pPr>
                        <w:ind w:firstLine="0" w:firstLineChars="0"/>
                        <w:jc w:val="center"/>
                        <w:rPr>
                          <w:sz w:val="28"/>
                          <w:szCs w:val="28"/>
                        </w:rPr>
                      </w:pPr>
                      <w:r>
                        <w:rPr>
                          <w:rFonts w:hint="eastAsia"/>
                          <w:sz w:val="28"/>
                          <w:szCs w:val="28"/>
                        </w:rPr>
                        <w:t>广西电网</w:t>
                      </w:r>
                      <w:r>
                        <w:rPr>
                          <w:rFonts w:hint="eastAsia"/>
                          <w:sz w:val="28"/>
                          <w:szCs w:val="28"/>
                          <w:lang w:eastAsia="zh-CN"/>
                        </w:rPr>
                        <w:t>有限责任</w:t>
                      </w:r>
                      <w:r>
                        <w:rPr>
                          <w:rFonts w:hint="eastAsia"/>
                          <w:sz w:val="28"/>
                          <w:szCs w:val="28"/>
                        </w:rPr>
                        <w:t>公司防城港供电局</w:t>
                      </w:r>
                    </w:p>
                    <w:p/>
                  </w:txbxContent>
                </v:textbox>
              </v:shape>
            </w:pict>
          </mc:Fallback>
        </mc:AlternateContent>
      </w:r>
    </w:p>
    <w:p>
      <w:pPr>
        <w:spacing w:before="1560" w:beforeLines="500" w:line="240" w:lineRule="auto"/>
        <w:ind w:firstLine="0" w:firstLineChars="0"/>
        <w:jc w:val="center"/>
        <w:rPr>
          <w:rFonts w:ascii="Times New Roman" w:hAnsi="Times New Roman" w:eastAsia="仿宋_GB2312" w:cs="Times New Roman"/>
          <w:b/>
          <w:color w:val="000000"/>
          <w:sz w:val="36"/>
          <w:szCs w:val="20"/>
        </w:rPr>
      </w:pPr>
    </w:p>
    <w:p>
      <w:pPr>
        <w:spacing w:before="1560" w:beforeLines="500" w:line="240" w:lineRule="auto"/>
        <w:ind w:firstLine="0" w:firstLineChars="0"/>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t>目录</w:t>
      </w:r>
    </w:p>
    <w:p>
      <w:pPr>
        <w:pStyle w:val="10"/>
        <w:tabs>
          <w:tab w:val="right" w:leader="dot" w:pos="8306"/>
        </w:tabs>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TOC \o "1-3" \t "" \h \z \u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Cs w:val="24"/>
        </w:rPr>
        <w:fldChar w:fldCharType="begin"/>
      </w:r>
      <w:r>
        <w:rPr>
          <w:rFonts w:hint="eastAsia" w:ascii="仿宋" w:hAnsi="仿宋" w:eastAsia="仿宋" w:cs="仿宋"/>
          <w:szCs w:val="24"/>
        </w:rPr>
        <w:instrText xml:space="preserve"> HYPERLINK \l _Toc5189 </w:instrText>
      </w:r>
      <w:r>
        <w:rPr>
          <w:rFonts w:hint="eastAsia" w:ascii="仿宋" w:hAnsi="仿宋" w:eastAsia="仿宋" w:cs="仿宋"/>
          <w:szCs w:val="24"/>
        </w:rPr>
        <w:fldChar w:fldCharType="separate"/>
      </w:r>
      <w:r>
        <w:rPr>
          <w:rFonts w:hint="eastAsia"/>
        </w:rPr>
        <w:t>一、总则</w:t>
      </w:r>
      <w:r>
        <w:tab/>
      </w:r>
      <w:r>
        <w:fldChar w:fldCharType="begin"/>
      </w:r>
      <w:r>
        <w:instrText xml:space="preserve"> PAGEREF _Toc5189 \h </w:instrText>
      </w:r>
      <w:r>
        <w:fldChar w:fldCharType="separate"/>
      </w:r>
      <w:r>
        <w:t>1</w:t>
      </w:r>
      <w:r>
        <w:fldChar w:fldCharType="end"/>
      </w:r>
      <w:r>
        <w:rPr>
          <w:rFonts w:hint="eastAsia" w:ascii="仿宋" w:hAnsi="仿宋" w:eastAsia="仿宋" w:cs="仿宋"/>
          <w:color w:val="000000"/>
          <w:szCs w:val="24"/>
        </w:rPr>
        <w:fldChar w:fldCharType="end"/>
      </w:r>
    </w:p>
    <w:p>
      <w:pPr>
        <w:pStyle w:val="11"/>
        <w:tabs>
          <w:tab w:val="right" w:leader="dot" w:pos="8306"/>
        </w:tabs>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_Toc13158 </w:instrText>
      </w:r>
      <w:r>
        <w:rPr>
          <w:rFonts w:hint="eastAsia" w:ascii="仿宋" w:hAnsi="仿宋" w:eastAsia="仿宋" w:cs="仿宋"/>
          <w:szCs w:val="24"/>
        </w:rPr>
        <w:fldChar w:fldCharType="separate"/>
      </w:r>
      <w:r>
        <w:rPr>
          <w:rFonts w:hint="eastAsia"/>
        </w:rPr>
        <w:t>1.1</w:t>
      </w:r>
      <w:r>
        <w:t xml:space="preserve"> </w:t>
      </w:r>
      <w:r>
        <w:rPr>
          <w:rFonts w:hint="eastAsia"/>
        </w:rPr>
        <w:t>一般要求</w:t>
      </w:r>
      <w:r>
        <w:tab/>
      </w:r>
      <w:r>
        <w:fldChar w:fldCharType="begin"/>
      </w:r>
      <w:r>
        <w:instrText xml:space="preserve"> PAGEREF _Toc13158 \h </w:instrText>
      </w:r>
      <w:r>
        <w:fldChar w:fldCharType="separate"/>
      </w:r>
      <w:r>
        <w:t>1</w:t>
      </w:r>
      <w:r>
        <w:fldChar w:fldCharType="end"/>
      </w:r>
      <w:r>
        <w:rPr>
          <w:rFonts w:hint="eastAsia" w:ascii="仿宋" w:hAnsi="仿宋" w:eastAsia="仿宋" w:cs="仿宋"/>
          <w:szCs w:val="24"/>
        </w:rPr>
        <w:fldChar w:fldCharType="end"/>
      </w:r>
    </w:p>
    <w:p>
      <w:pPr>
        <w:pStyle w:val="11"/>
        <w:tabs>
          <w:tab w:val="right" w:leader="dot" w:pos="8306"/>
        </w:tabs>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_Toc21720 </w:instrText>
      </w:r>
      <w:r>
        <w:rPr>
          <w:rFonts w:hint="eastAsia" w:ascii="仿宋" w:hAnsi="仿宋" w:eastAsia="仿宋" w:cs="仿宋"/>
          <w:szCs w:val="24"/>
        </w:rPr>
        <w:fldChar w:fldCharType="separate"/>
      </w:r>
      <w:r>
        <w:rPr>
          <w:rFonts w:hint="eastAsia"/>
        </w:rPr>
        <w:t>1.2</w:t>
      </w:r>
      <w:r>
        <w:t>标准和规范</w:t>
      </w:r>
      <w:r>
        <w:tab/>
      </w:r>
      <w:r>
        <w:fldChar w:fldCharType="begin"/>
      </w:r>
      <w:r>
        <w:instrText xml:space="preserve"> PAGEREF _Toc21720 \h </w:instrText>
      </w:r>
      <w:r>
        <w:fldChar w:fldCharType="separate"/>
      </w:r>
      <w:r>
        <w:t>2</w:t>
      </w:r>
      <w:r>
        <w:fldChar w:fldCharType="end"/>
      </w:r>
      <w:r>
        <w:rPr>
          <w:rFonts w:hint="eastAsia" w:ascii="仿宋" w:hAnsi="仿宋" w:eastAsia="仿宋" w:cs="仿宋"/>
          <w:szCs w:val="24"/>
        </w:rPr>
        <w:fldChar w:fldCharType="end"/>
      </w:r>
    </w:p>
    <w:p>
      <w:pPr>
        <w:pStyle w:val="10"/>
        <w:tabs>
          <w:tab w:val="right" w:leader="dot" w:pos="8306"/>
        </w:tabs>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_Toc23473 </w:instrText>
      </w:r>
      <w:r>
        <w:rPr>
          <w:rFonts w:hint="eastAsia" w:ascii="仿宋" w:hAnsi="仿宋" w:eastAsia="仿宋" w:cs="仿宋"/>
          <w:szCs w:val="24"/>
        </w:rPr>
        <w:fldChar w:fldCharType="separate"/>
      </w:r>
      <w:r>
        <w:rPr>
          <w:rFonts w:hint="eastAsia" w:ascii="Times New Roman" w:hAnsi="Times New Roman" w:cs="Times New Roman"/>
          <w:szCs w:val="24"/>
        </w:rPr>
        <w:t>二、技术要求</w:t>
      </w:r>
      <w:r>
        <w:tab/>
      </w:r>
      <w:r>
        <w:fldChar w:fldCharType="begin"/>
      </w:r>
      <w:r>
        <w:instrText xml:space="preserve"> PAGEREF _Toc23473 \h </w:instrText>
      </w:r>
      <w:r>
        <w:fldChar w:fldCharType="separate"/>
      </w:r>
      <w:r>
        <w:t>3</w:t>
      </w:r>
      <w:r>
        <w:fldChar w:fldCharType="end"/>
      </w:r>
      <w:r>
        <w:rPr>
          <w:rFonts w:hint="eastAsia" w:ascii="仿宋" w:hAnsi="仿宋" w:eastAsia="仿宋" w:cs="仿宋"/>
          <w:szCs w:val="24"/>
        </w:rPr>
        <w:fldChar w:fldCharType="end"/>
      </w:r>
    </w:p>
    <w:p>
      <w:pPr>
        <w:pStyle w:val="11"/>
        <w:tabs>
          <w:tab w:val="right" w:leader="dot" w:pos="8306"/>
        </w:tabs>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_Toc3726 </w:instrText>
      </w:r>
      <w:r>
        <w:rPr>
          <w:rFonts w:hint="eastAsia" w:ascii="仿宋" w:hAnsi="仿宋" w:eastAsia="仿宋" w:cs="仿宋"/>
          <w:szCs w:val="24"/>
        </w:rPr>
        <w:fldChar w:fldCharType="separate"/>
      </w:r>
      <w:r>
        <w:rPr>
          <w:rFonts w:hint="eastAsia" w:ascii="宋体" w:hAnsi="宋体" w:cs="宋体"/>
          <w:szCs w:val="24"/>
          <w:lang w:val="en-US" w:eastAsia="zh-CN"/>
        </w:rPr>
        <w:t>2</w:t>
      </w:r>
      <w:r>
        <w:rPr>
          <w:rFonts w:hint="eastAsia" w:ascii="宋体" w:hAnsi="宋体" w:cs="宋体"/>
          <w:szCs w:val="24"/>
        </w:rPr>
        <w:t>.1 项目研究对象</w:t>
      </w:r>
      <w:r>
        <w:tab/>
      </w:r>
      <w:r>
        <w:fldChar w:fldCharType="begin"/>
      </w:r>
      <w:r>
        <w:instrText xml:space="preserve"> PAGEREF _Toc3726 \h </w:instrText>
      </w:r>
      <w:r>
        <w:fldChar w:fldCharType="separate"/>
      </w:r>
      <w:r>
        <w:t>3</w:t>
      </w:r>
      <w:r>
        <w:fldChar w:fldCharType="end"/>
      </w:r>
      <w:r>
        <w:rPr>
          <w:rFonts w:hint="eastAsia" w:ascii="仿宋" w:hAnsi="仿宋" w:eastAsia="仿宋" w:cs="仿宋"/>
          <w:szCs w:val="24"/>
        </w:rPr>
        <w:fldChar w:fldCharType="end"/>
      </w:r>
    </w:p>
    <w:p>
      <w:pPr>
        <w:pStyle w:val="11"/>
        <w:tabs>
          <w:tab w:val="right" w:leader="dot" w:pos="8306"/>
        </w:tabs>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_Toc17647 </w:instrText>
      </w:r>
      <w:r>
        <w:rPr>
          <w:rFonts w:hint="eastAsia" w:ascii="仿宋" w:hAnsi="仿宋" w:eastAsia="仿宋" w:cs="仿宋"/>
          <w:szCs w:val="24"/>
        </w:rPr>
        <w:fldChar w:fldCharType="separate"/>
      </w:r>
      <w:r>
        <w:rPr>
          <w:rFonts w:hint="eastAsia" w:ascii="宋体" w:hAnsi="宋体" w:cs="宋体"/>
          <w:szCs w:val="24"/>
          <w:lang w:val="en-US" w:eastAsia="zh-CN"/>
        </w:rPr>
        <w:t>2</w:t>
      </w:r>
      <w:r>
        <w:rPr>
          <w:rFonts w:hint="eastAsia" w:ascii="宋体" w:hAnsi="宋体" w:cs="宋体"/>
          <w:szCs w:val="24"/>
        </w:rPr>
        <w:t>.2项目研究内容</w:t>
      </w:r>
      <w:r>
        <w:tab/>
      </w:r>
      <w:r>
        <w:fldChar w:fldCharType="begin"/>
      </w:r>
      <w:r>
        <w:instrText xml:space="preserve"> PAGEREF _Toc17647 \h </w:instrText>
      </w:r>
      <w:r>
        <w:fldChar w:fldCharType="separate"/>
      </w:r>
      <w:r>
        <w:t>3</w:t>
      </w:r>
      <w:r>
        <w:fldChar w:fldCharType="end"/>
      </w:r>
      <w:r>
        <w:rPr>
          <w:rFonts w:hint="eastAsia" w:ascii="仿宋" w:hAnsi="仿宋" w:eastAsia="仿宋" w:cs="仿宋"/>
          <w:szCs w:val="24"/>
        </w:rPr>
        <w:fldChar w:fldCharType="end"/>
      </w:r>
    </w:p>
    <w:p>
      <w:pPr>
        <w:pStyle w:val="11"/>
        <w:tabs>
          <w:tab w:val="right" w:leader="dot" w:pos="8306"/>
        </w:tabs>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_Toc1359 </w:instrText>
      </w:r>
      <w:r>
        <w:rPr>
          <w:rFonts w:hint="eastAsia" w:ascii="仿宋" w:hAnsi="仿宋" w:eastAsia="仿宋" w:cs="仿宋"/>
          <w:szCs w:val="24"/>
        </w:rPr>
        <w:fldChar w:fldCharType="separate"/>
      </w:r>
      <w:r>
        <w:rPr>
          <w:rFonts w:hint="eastAsia" w:ascii="宋体" w:hAnsi="宋体" w:cs="宋体"/>
          <w:szCs w:val="24"/>
          <w:lang w:val="en-US" w:eastAsia="zh-CN"/>
        </w:rPr>
        <w:t>2</w:t>
      </w:r>
      <w:r>
        <w:rPr>
          <w:rFonts w:hint="eastAsia" w:ascii="宋体" w:hAnsi="宋体" w:cs="宋体"/>
          <w:szCs w:val="24"/>
        </w:rPr>
        <w:t>.3技术指标要求</w:t>
      </w:r>
      <w:r>
        <w:tab/>
      </w:r>
      <w:r>
        <w:fldChar w:fldCharType="begin"/>
      </w:r>
      <w:r>
        <w:instrText xml:space="preserve"> PAGEREF _Toc1359 \h </w:instrText>
      </w:r>
      <w:r>
        <w:fldChar w:fldCharType="separate"/>
      </w:r>
      <w:r>
        <w:t>3</w:t>
      </w:r>
      <w:r>
        <w:fldChar w:fldCharType="end"/>
      </w:r>
      <w:r>
        <w:rPr>
          <w:rFonts w:hint="eastAsia" w:ascii="仿宋" w:hAnsi="仿宋" w:eastAsia="仿宋" w:cs="仿宋"/>
          <w:szCs w:val="24"/>
        </w:rPr>
        <w:fldChar w:fldCharType="end"/>
      </w:r>
    </w:p>
    <w:p>
      <w:pPr>
        <w:pStyle w:val="11"/>
        <w:tabs>
          <w:tab w:val="right" w:leader="dot" w:pos="8306"/>
        </w:tabs>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_Toc26708 </w:instrText>
      </w:r>
      <w:r>
        <w:rPr>
          <w:rFonts w:hint="eastAsia" w:ascii="仿宋" w:hAnsi="仿宋" w:eastAsia="仿宋" w:cs="仿宋"/>
          <w:szCs w:val="24"/>
        </w:rPr>
        <w:fldChar w:fldCharType="separate"/>
      </w:r>
      <w:r>
        <w:rPr>
          <w:rFonts w:hint="eastAsia" w:ascii="宋体" w:hAnsi="宋体" w:cs="宋体"/>
          <w:szCs w:val="24"/>
          <w:lang w:val="en-US" w:eastAsia="zh-CN"/>
        </w:rPr>
        <w:t>2</w:t>
      </w:r>
      <w:r>
        <w:rPr>
          <w:rFonts w:hint="eastAsia" w:ascii="宋体" w:hAnsi="宋体" w:cs="宋体"/>
          <w:szCs w:val="24"/>
        </w:rPr>
        <w:t>.4设备</w:t>
      </w:r>
      <w:r>
        <w:rPr>
          <w:rFonts w:hint="eastAsia" w:ascii="宋体" w:hAnsi="宋体" w:cs="宋体"/>
          <w:szCs w:val="24"/>
          <w:lang w:val="en-US" w:eastAsia="zh-CN"/>
        </w:rPr>
        <w:t>研究所</w:t>
      </w:r>
      <w:r>
        <w:rPr>
          <w:rFonts w:hint="eastAsia" w:ascii="宋体" w:hAnsi="宋体" w:cs="宋体"/>
          <w:szCs w:val="24"/>
        </w:rPr>
        <w:t>需材料</w:t>
      </w:r>
      <w:r>
        <w:tab/>
      </w:r>
      <w:r>
        <w:fldChar w:fldCharType="begin"/>
      </w:r>
      <w:r>
        <w:instrText xml:space="preserve"> PAGEREF _Toc26708 \h </w:instrText>
      </w:r>
      <w:r>
        <w:fldChar w:fldCharType="separate"/>
      </w:r>
      <w:r>
        <w:t>4</w:t>
      </w:r>
      <w:r>
        <w:fldChar w:fldCharType="end"/>
      </w:r>
      <w:r>
        <w:rPr>
          <w:rFonts w:hint="eastAsia" w:ascii="仿宋" w:hAnsi="仿宋" w:eastAsia="仿宋" w:cs="仿宋"/>
          <w:szCs w:val="24"/>
        </w:rPr>
        <w:fldChar w:fldCharType="end"/>
      </w:r>
    </w:p>
    <w:p>
      <w:pPr>
        <w:pStyle w:val="11"/>
        <w:tabs>
          <w:tab w:val="right" w:leader="dot" w:pos="8306"/>
        </w:tabs>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_Toc9929 </w:instrText>
      </w:r>
      <w:r>
        <w:rPr>
          <w:rFonts w:hint="eastAsia" w:ascii="仿宋" w:hAnsi="仿宋" w:eastAsia="仿宋" w:cs="仿宋"/>
          <w:szCs w:val="24"/>
        </w:rPr>
        <w:fldChar w:fldCharType="separate"/>
      </w:r>
      <w:r>
        <w:rPr>
          <w:rFonts w:hint="eastAsia" w:ascii="宋体" w:hAnsi="宋体" w:cs="宋体"/>
          <w:szCs w:val="24"/>
          <w:lang w:val="en-US" w:eastAsia="zh-CN"/>
        </w:rPr>
        <w:t>2</w:t>
      </w:r>
      <w:r>
        <w:rPr>
          <w:rFonts w:hint="eastAsia" w:ascii="宋体" w:hAnsi="宋体" w:cs="宋体"/>
          <w:szCs w:val="24"/>
        </w:rPr>
        <w:t>.5加工服务地点和期限</w:t>
      </w:r>
      <w:r>
        <w:tab/>
      </w:r>
      <w:r>
        <w:fldChar w:fldCharType="begin"/>
      </w:r>
      <w:r>
        <w:instrText xml:space="preserve"> PAGEREF _Toc9929 \h </w:instrText>
      </w:r>
      <w:r>
        <w:fldChar w:fldCharType="separate"/>
      </w:r>
      <w:r>
        <w:t>4</w:t>
      </w:r>
      <w:r>
        <w:fldChar w:fldCharType="end"/>
      </w:r>
      <w:r>
        <w:rPr>
          <w:rFonts w:hint="eastAsia" w:ascii="仿宋" w:hAnsi="仿宋" w:eastAsia="仿宋" w:cs="仿宋"/>
          <w:szCs w:val="24"/>
        </w:rPr>
        <w:fldChar w:fldCharType="end"/>
      </w:r>
    </w:p>
    <w:p>
      <w:pPr>
        <w:pStyle w:val="10"/>
        <w:tabs>
          <w:tab w:val="right" w:leader="dot" w:pos="8306"/>
        </w:tabs>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_Toc30991 </w:instrText>
      </w:r>
      <w:r>
        <w:rPr>
          <w:rFonts w:hint="eastAsia" w:ascii="仿宋" w:hAnsi="仿宋" w:eastAsia="仿宋" w:cs="仿宋"/>
          <w:szCs w:val="24"/>
        </w:rPr>
        <w:fldChar w:fldCharType="separate"/>
      </w:r>
      <w:r>
        <w:rPr>
          <w:rFonts w:hint="eastAsia" w:ascii="Times New Roman" w:hAnsi="Times New Roman" w:cs="Times New Roman"/>
          <w:szCs w:val="24"/>
        </w:rPr>
        <w:t>三、研究开发成果交付物</w:t>
      </w:r>
      <w:r>
        <w:tab/>
      </w:r>
      <w:r>
        <w:fldChar w:fldCharType="begin"/>
      </w:r>
      <w:r>
        <w:instrText xml:space="preserve"> PAGEREF _Toc30991 \h </w:instrText>
      </w:r>
      <w:r>
        <w:fldChar w:fldCharType="separate"/>
      </w:r>
      <w:r>
        <w:t>4</w:t>
      </w:r>
      <w:r>
        <w:fldChar w:fldCharType="end"/>
      </w:r>
      <w:r>
        <w:rPr>
          <w:rFonts w:hint="eastAsia" w:ascii="仿宋" w:hAnsi="仿宋" w:eastAsia="仿宋" w:cs="仿宋"/>
          <w:szCs w:val="24"/>
        </w:rPr>
        <w:fldChar w:fldCharType="end"/>
      </w:r>
    </w:p>
    <w:p>
      <w:pPr>
        <w:pStyle w:val="10"/>
        <w:tabs>
          <w:tab w:val="right" w:leader="dot" w:pos="8306"/>
        </w:tabs>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_Toc19644 </w:instrText>
      </w:r>
      <w:r>
        <w:rPr>
          <w:rFonts w:hint="eastAsia" w:ascii="仿宋" w:hAnsi="仿宋" w:eastAsia="仿宋" w:cs="仿宋"/>
          <w:szCs w:val="24"/>
        </w:rPr>
        <w:fldChar w:fldCharType="separate"/>
      </w:r>
      <w:r>
        <w:rPr>
          <w:rFonts w:hint="eastAsia" w:ascii="Times New Roman" w:hAnsi="Times New Roman" w:cs="Times New Roman"/>
          <w:szCs w:val="24"/>
        </w:rPr>
        <w:t>四、开发人员</w:t>
      </w:r>
      <w:r>
        <w:tab/>
      </w:r>
      <w:r>
        <w:fldChar w:fldCharType="begin"/>
      </w:r>
      <w:r>
        <w:instrText xml:space="preserve"> PAGEREF _Toc19644 \h </w:instrText>
      </w:r>
      <w:r>
        <w:fldChar w:fldCharType="separate"/>
      </w:r>
      <w:r>
        <w:t>4</w:t>
      </w:r>
      <w:r>
        <w:fldChar w:fldCharType="end"/>
      </w:r>
      <w:r>
        <w:rPr>
          <w:rFonts w:hint="eastAsia" w:ascii="仿宋" w:hAnsi="仿宋" w:eastAsia="仿宋" w:cs="仿宋"/>
          <w:szCs w:val="24"/>
        </w:rPr>
        <w:fldChar w:fldCharType="end"/>
      </w:r>
    </w:p>
    <w:p>
      <w:pPr>
        <w:pStyle w:val="10"/>
        <w:tabs>
          <w:tab w:val="right" w:leader="dot" w:pos="8306"/>
        </w:tabs>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_Toc22506 </w:instrText>
      </w:r>
      <w:r>
        <w:rPr>
          <w:rFonts w:hint="eastAsia" w:ascii="仿宋" w:hAnsi="仿宋" w:eastAsia="仿宋" w:cs="仿宋"/>
          <w:szCs w:val="24"/>
        </w:rPr>
        <w:fldChar w:fldCharType="separate"/>
      </w:r>
      <w:r>
        <w:rPr>
          <w:rFonts w:hint="eastAsia" w:ascii="Times New Roman" w:hAnsi="Times New Roman" w:cs="Times New Roman"/>
          <w:szCs w:val="24"/>
        </w:rPr>
        <w:t>五、投标技术文件编制要求</w:t>
      </w:r>
      <w:r>
        <w:tab/>
      </w:r>
      <w:r>
        <w:fldChar w:fldCharType="begin"/>
      </w:r>
      <w:r>
        <w:instrText xml:space="preserve"> PAGEREF _Toc22506 \h </w:instrText>
      </w:r>
      <w:r>
        <w:fldChar w:fldCharType="separate"/>
      </w:r>
      <w:r>
        <w:t>5</w:t>
      </w:r>
      <w:r>
        <w:fldChar w:fldCharType="end"/>
      </w:r>
      <w:r>
        <w:rPr>
          <w:rFonts w:hint="eastAsia" w:ascii="仿宋" w:hAnsi="仿宋" w:eastAsia="仿宋" w:cs="仿宋"/>
          <w:szCs w:val="24"/>
        </w:rPr>
        <w:fldChar w:fldCharType="end"/>
      </w:r>
    </w:p>
    <w:p>
      <w:pPr>
        <w:pStyle w:val="10"/>
        <w:tabs>
          <w:tab w:val="right" w:leader="dot" w:pos="8306"/>
        </w:tabs>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_Toc12972 </w:instrText>
      </w:r>
      <w:r>
        <w:rPr>
          <w:rFonts w:hint="eastAsia" w:ascii="仿宋" w:hAnsi="仿宋" w:eastAsia="仿宋" w:cs="仿宋"/>
          <w:szCs w:val="24"/>
        </w:rPr>
        <w:fldChar w:fldCharType="separate"/>
      </w:r>
      <w:r>
        <w:rPr>
          <w:rFonts w:hint="eastAsia" w:ascii="Times New Roman" w:hAnsi="Times New Roman" w:cs="Times New Roman"/>
          <w:szCs w:val="24"/>
          <w:lang w:val="en-US" w:eastAsia="zh-CN"/>
        </w:rPr>
        <w:t>六</w:t>
      </w:r>
      <w:r>
        <w:rPr>
          <w:rFonts w:hint="eastAsia" w:ascii="Times New Roman" w:hAnsi="Times New Roman" w:cs="Times New Roman"/>
          <w:szCs w:val="24"/>
        </w:rPr>
        <w:t>、项目联络</w:t>
      </w:r>
      <w:r>
        <w:tab/>
      </w:r>
      <w:r>
        <w:fldChar w:fldCharType="begin"/>
      </w:r>
      <w:r>
        <w:instrText xml:space="preserve"> PAGEREF _Toc12972 \h </w:instrText>
      </w:r>
      <w:r>
        <w:fldChar w:fldCharType="separate"/>
      </w:r>
      <w:r>
        <w:t>7</w:t>
      </w:r>
      <w:r>
        <w:fldChar w:fldCharType="end"/>
      </w:r>
      <w:r>
        <w:rPr>
          <w:rFonts w:hint="eastAsia" w:ascii="仿宋" w:hAnsi="仿宋" w:eastAsia="仿宋" w:cs="仿宋"/>
          <w:szCs w:val="24"/>
        </w:rPr>
        <w:fldChar w:fldCharType="end"/>
      </w:r>
    </w:p>
    <w:p>
      <w:pPr>
        <w:pStyle w:val="10"/>
        <w:tabs>
          <w:tab w:val="right" w:leader="dot" w:pos="8306"/>
        </w:tabs>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_Toc16564 </w:instrText>
      </w:r>
      <w:r>
        <w:rPr>
          <w:rFonts w:hint="eastAsia" w:ascii="仿宋" w:hAnsi="仿宋" w:eastAsia="仿宋" w:cs="仿宋"/>
          <w:szCs w:val="24"/>
        </w:rPr>
        <w:fldChar w:fldCharType="separate"/>
      </w:r>
      <w:r>
        <w:rPr>
          <w:rFonts w:hint="eastAsia" w:ascii="Times New Roman" w:hAnsi="Times New Roman" w:cs="Times New Roman"/>
          <w:szCs w:val="24"/>
          <w:lang w:val="en-US" w:eastAsia="zh-CN"/>
        </w:rPr>
        <w:t>七</w:t>
      </w:r>
      <w:r>
        <w:rPr>
          <w:rFonts w:hint="eastAsia" w:ascii="Times New Roman" w:hAnsi="Times New Roman" w:cs="Times New Roman"/>
          <w:szCs w:val="24"/>
        </w:rPr>
        <w:t>、评审与验收</w:t>
      </w:r>
      <w:r>
        <w:tab/>
      </w:r>
      <w:r>
        <w:fldChar w:fldCharType="begin"/>
      </w:r>
      <w:r>
        <w:instrText xml:space="preserve"> PAGEREF _Toc16564 \h </w:instrText>
      </w:r>
      <w:r>
        <w:fldChar w:fldCharType="separate"/>
      </w:r>
      <w:r>
        <w:t>7</w:t>
      </w:r>
      <w:r>
        <w:fldChar w:fldCharType="end"/>
      </w:r>
      <w:r>
        <w:rPr>
          <w:rFonts w:hint="eastAsia" w:ascii="仿宋" w:hAnsi="仿宋" w:eastAsia="仿宋" w:cs="仿宋"/>
          <w:szCs w:val="24"/>
        </w:rPr>
        <w:fldChar w:fldCharType="end"/>
      </w:r>
    </w:p>
    <w:p>
      <w:pPr>
        <w:pStyle w:val="10"/>
        <w:tabs>
          <w:tab w:val="right" w:leader="dot" w:pos="8306"/>
        </w:tabs>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_Toc16927 </w:instrText>
      </w:r>
      <w:r>
        <w:rPr>
          <w:rFonts w:hint="eastAsia" w:ascii="仿宋" w:hAnsi="仿宋" w:eastAsia="仿宋" w:cs="仿宋"/>
          <w:szCs w:val="24"/>
        </w:rPr>
        <w:fldChar w:fldCharType="separate"/>
      </w:r>
      <w:r>
        <w:rPr>
          <w:rFonts w:hint="eastAsia" w:ascii="Times New Roman" w:hAnsi="Times New Roman" w:cs="Times New Roman"/>
          <w:szCs w:val="24"/>
          <w:lang w:val="en-US" w:eastAsia="zh-CN"/>
        </w:rPr>
        <w:t>八</w:t>
      </w:r>
      <w:r>
        <w:rPr>
          <w:rFonts w:hint="eastAsia" w:ascii="Times New Roman" w:hAnsi="Times New Roman" w:cs="Times New Roman"/>
          <w:szCs w:val="24"/>
        </w:rPr>
        <w:t>、售后服务</w:t>
      </w:r>
      <w:r>
        <w:tab/>
      </w:r>
      <w:r>
        <w:fldChar w:fldCharType="begin"/>
      </w:r>
      <w:r>
        <w:instrText xml:space="preserve"> PAGEREF _Toc16927 \h </w:instrText>
      </w:r>
      <w:r>
        <w:fldChar w:fldCharType="separate"/>
      </w:r>
      <w:r>
        <w:t>8</w:t>
      </w:r>
      <w:r>
        <w:fldChar w:fldCharType="end"/>
      </w:r>
      <w:r>
        <w:rPr>
          <w:rFonts w:hint="eastAsia" w:ascii="仿宋" w:hAnsi="仿宋" w:eastAsia="仿宋" w:cs="仿宋"/>
          <w:szCs w:val="24"/>
        </w:rPr>
        <w:fldChar w:fldCharType="end"/>
      </w:r>
    </w:p>
    <w:p>
      <w:pPr>
        <w:pStyle w:val="10"/>
        <w:tabs>
          <w:tab w:val="right" w:leader="dot" w:pos="8306"/>
        </w:tabs>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_Toc26629 </w:instrText>
      </w:r>
      <w:r>
        <w:rPr>
          <w:rFonts w:hint="eastAsia" w:ascii="仿宋" w:hAnsi="仿宋" w:eastAsia="仿宋" w:cs="仿宋"/>
          <w:szCs w:val="24"/>
        </w:rPr>
        <w:fldChar w:fldCharType="separate"/>
      </w:r>
      <w:r>
        <w:rPr>
          <w:rFonts w:hint="eastAsia" w:ascii="Times New Roman" w:hAnsi="Times New Roman" w:cs="Times New Roman"/>
          <w:szCs w:val="24"/>
          <w:lang w:val="en-US" w:eastAsia="zh-CN"/>
        </w:rPr>
        <w:t>九</w:t>
      </w:r>
      <w:r>
        <w:rPr>
          <w:rFonts w:hint="eastAsia" w:ascii="Times New Roman" w:hAnsi="Times New Roman" w:cs="Times New Roman"/>
          <w:szCs w:val="24"/>
        </w:rPr>
        <w:t>、其他相关要求</w:t>
      </w:r>
      <w:r>
        <w:tab/>
      </w:r>
      <w:r>
        <w:fldChar w:fldCharType="begin"/>
      </w:r>
      <w:r>
        <w:instrText xml:space="preserve"> PAGEREF _Toc26629 \h </w:instrText>
      </w:r>
      <w:r>
        <w:fldChar w:fldCharType="separate"/>
      </w:r>
      <w:r>
        <w:t>8</w:t>
      </w:r>
      <w:r>
        <w:fldChar w:fldCharType="end"/>
      </w:r>
      <w:r>
        <w:rPr>
          <w:rFonts w:hint="eastAsia" w:ascii="仿宋" w:hAnsi="仿宋" w:eastAsia="仿宋" w:cs="仿宋"/>
          <w:szCs w:val="24"/>
        </w:rPr>
        <w:fldChar w:fldCharType="end"/>
      </w:r>
    </w:p>
    <w:p>
      <w:pPr>
        <w:pStyle w:val="10"/>
        <w:tabs>
          <w:tab w:val="right" w:leader="dot" w:pos="8306"/>
        </w:tabs>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_Toc12753 </w:instrText>
      </w:r>
      <w:r>
        <w:rPr>
          <w:rFonts w:hint="eastAsia" w:ascii="仿宋" w:hAnsi="仿宋" w:eastAsia="仿宋" w:cs="仿宋"/>
          <w:szCs w:val="24"/>
        </w:rPr>
        <w:fldChar w:fldCharType="separate"/>
      </w:r>
      <w:r>
        <w:rPr>
          <w:rFonts w:hint="eastAsia"/>
        </w:rPr>
        <w:t>附件</w:t>
      </w:r>
      <w:r>
        <w:tab/>
      </w:r>
      <w:r>
        <w:fldChar w:fldCharType="begin"/>
      </w:r>
      <w:r>
        <w:instrText xml:space="preserve"> PAGEREF _Toc12753 \h </w:instrText>
      </w:r>
      <w:r>
        <w:fldChar w:fldCharType="separate"/>
      </w:r>
      <w:r>
        <w:t>9</w:t>
      </w:r>
      <w:r>
        <w:fldChar w:fldCharType="end"/>
      </w:r>
      <w:r>
        <w:rPr>
          <w:rFonts w:hint="eastAsia" w:ascii="仿宋" w:hAnsi="仿宋" w:eastAsia="仿宋" w:cs="仿宋"/>
          <w:szCs w:val="24"/>
        </w:rPr>
        <w:fldChar w:fldCharType="end"/>
      </w:r>
    </w:p>
    <w:p>
      <w:pPr>
        <w:pStyle w:val="11"/>
        <w:tabs>
          <w:tab w:val="right" w:leader="dot" w:pos="8306"/>
        </w:tabs>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_Toc13345 </w:instrText>
      </w:r>
      <w:r>
        <w:rPr>
          <w:rFonts w:hint="eastAsia" w:ascii="仿宋" w:hAnsi="仿宋" w:eastAsia="仿宋" w:cs="仿宋"/>
          <w:szCs w:val="24"/>
        </w:rPr>
        <w:fldChar w:fldCharType="separate"/>
      </w:r>
      <w:r>
        <w:rPr>
          <w:rFonts w:hint="eastAsia"/>
        </w:rPr>
        <w:t>1、差异表</w:t>
      </w:r>
      <w:r>
        <w:tab/>
      </w:r>
      <w:r>
        <w:fldChar w:fldCharType="begin"/>
      </w:r>
      <w:r>
        <w:instrText xml:space="preserve"> PAGEREF _Toc13345 \h </w:instrText>
      </w:r>
      <w:r>
        <w:fldChar w:fldCharType="separate"/>
      </w:r>
      <w:r>
        <w:t>9</w:t>
      </w:r>
      <w:r>
        <w:fldChar w:fldCharType="end"/>
      </w:r>
      <w:r>
        <w:rPr>
          <w:rFonts w:hint="eastAsia" w:ascii="仿宋" w:hAnsi="仿宋" w:eastAsia="仿宋" w:cs="仿宋"/>
          <w:szCs w:val="24"/>
        </w:rPr>
        <w:fldChar w:fldCharType="end"/>
      </w:r>
    </w:p>
    <w:p>
      <w:pPr>
        <w:pStyle w:val="11"/>
        <w:tabs>
          <w:tab w:val="right" w:leader="dot" w:pos="8306"/>
        </w:tabs>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_Toc6022 </w:instrText>
      </w:r>
      <w:r>
        <w:rPr>
          <w:rFonts w:hint="eastAsia" w:ascii="仿宋" w:hAnsi="仿宋" w:eastAsia="仿宋" w:cs="仿宋"/>
          <w:szCs w:val="24"/>
        </w:rPr>
        <w:fldChar w:fldCharType="separate"/>
      </w:r>
      <w:r>
        <w:rPr>
          <w:rFonts w:hint="eastAsia"/>
        </w:rPr>
        <w:t>2、投标方需要说明的其它问题</w:t>
      </w:r>
      <w:r>
        <w:tab/>
      </w:r>
      <w:r>
        <w:fldChar w:fldCharType="begin"/>
      </w:r>
      <w:r>
        <w:instrText xml:space="preserve"> PAGEREF _Toc6022 \h </w:instrText>
      </w:r>
      <w:r>
        <w:fldChar w:fldCharType="separate"/>
      </w:r>
      <w:r>
        <w:t>9</w:t>
      </w:r>
      <w:r>
        <w:fldChar w:fldCharType="end"/>
      </w:r>
      <w:r>
        <w:rPr>
          <w:rFonts w:hint="eastAsia" w:ascii="仿宋" w:hAnsi="仿宋" w:eastAsia="仿宋" w:cs="仿宋"/>
          <w:szCs w:val="24"/>
        </w:rPr>
        <w:fldChar w:fldCharType="end"/>
      </w:r>
    </w:p>
    <w:p>
      <w:pPr>
        <w:ind w:firstLine="480"/>
        <w:jc w:val="center"/>
        <w:sectPr>
          <w:headerReference r:id="rId5" w:type="default"/>
          <w:footerReference r:id="rId6" w:type="default"/>
          <w:pgSz w:w="11906" w:h="16838"/>
          <w:pgMar w:top="1440" w:right="1800" w:bottom="1440" w:left="1800" w:header="851" w:footer="992" w:gutter="0"/>
          <w:cols w:space="720" w:num="1"/>
          <w:docGrid w:type="lines" w:linePitch="312" w:charSpace="0"/>
        </w:sectPr>
      </w:pPr>
      <w:r>
        <w:rPr>
          <w:rFonts w:hint="eastAsia" w:ascii="仿宋" w:hAnsi="仿宋" w:eastAsia="仿宋" w:cs="仿宋"/>
          <w:szCs w:val="24"/>
        </w:rPr>
        <w:fldChar w:fldCharType="end"/>
      </w:r>
    </w:p>
    <w:p>
      <w:pPr>
        <w:pStyle w:val="4"/>
        <w:numPr>
          <w:ilvl w:val="0"/>
          <w:numId w:val="0"/>
        </w:numPr>
        <w:tabs>
          <w:tab w:val="clear" w:pos="432"/>
        </w:tabs>
        <w:ind w:left="432"/>
      </w:pPr>
      <w:bookmarkStart w:id="0" w:name="_Toc5189"/>
      <w:bookmarkStart w:id="1" w:name="_Toc299606277"/>
      <w:bookmarkStart w:id="2" w:name="_Toc353939550"/>
      <w:bookmarkStart w:id="3" w:name="_Toc353940788"/>
      <w:bookmarkStart w:id="4" w:name="_Toc444945507"/>
      <w:r>
        <w:rPr>
          <w:rFonts w:hint="eastAsia"/>
        </w:rPr>
        <w:t>一、总则</w:t>
      </w:r>
      <w:bookmarkEnd w:id="0"/>
      <w:bookmarkEnd w:id="1"/>
      <w:bookmarkEnd w:id="2"/>
      <w:bookmarkEnd w:id="3"/>
      <w:bookmarkEnd w:id="4"/>
    </w:p>
    <w:p>
      <w:pPr>
        <w:pStyle w:val="5"/>
      </w:pPr>
      <w:bookmarkStart w:id="5" w:name="_Toc13158"/>
      <w:bookmarkStart w:id="6" w:name="_Toc318799924"/>
      <w:bookmarkStart w:id="7" w:name="_Toc444945508"/>
      <w:r>
        <w:rPr>
          <w:rFonts w:hint="eastAsia"/>
        </w:rPr>
        <w:t>1.1</w:t>
      </w:r>
      <w:r>
        <w:t xml:space="preserve"> </w:t>
      </w:r>
      <w:r>
        <w:rPr>
          <w:rFonts w:hint="eastAsia"/>
        </w:rPr>
        <w:t>一般要求</w:t>
      </w:r>
      <w:bookmarkEnd w:id="5"/>
      <w:bookmarkEnd w:id="6"/>
      <w:bookmarkEnd w:id="7"/>
    </w:p>
    <w:p>
      <w:pPr>
        <w:ind w:firstLine="480"/>
        <w:rPr>
          <w:rFonts w:ascii="宋体" w:hAnsi="宋体"/>
        </w:rPr>
      </w:pPr>
      <w:bookmarkStart w:id="8" w:name="_Toc353940791"/>
      <w:bookmarkStart w:id="9" w:name="_Toc299606280"/>
      <w:bookmarkStart w:id="10" w:name="_Toc353939553"/>
      <w:bookmarkStart w:id="11" w:name="_Toc444945511"/>
      <w:r>
        <w:rPr>
          <w:rFonts w:hint="eastAsia" w:ascii="宋体" w:hAnsi="宋体"/>
        </w:rPr>
        <w:t>1.1.1 本技术条款主要描述广西电网有限责任公司</w:t>
      </w:r>
      <w:r>
        <w:rPr>
          <w:rFonts w:hint="eastAsia" w:ascii="宋体" w:hAnsi="宋体"/>
          <w:lang w:eastAsia="zh-CN"/>
        </w:rPr>
        <w:t>防城港防城供电局</w:t>
      </w:r>
      <w:r>
        <w:rPr>
          <w:rFonts w:hint="eastAsia" w:ascii="宋体" w:hAnsi="宋体"/>
        </w:rPr>
        <w:t>一种</w:t>
      </w:r>
      <w:r>
        <w:rPr>
          <w:rFonts w:hint="eastAsia" w:ascii="宋体" w:hAnsi="宋体"/>
          <w:lang w:val="en-US" w:eastAsia="zh-CN"/>
        </w:rPr>
        <w:t>针对500kV绝缘架空地线放电间隙的通用型工具</w:t>
      </w:r>
      <w:r>
        <w:rPr>
          <w:rFonts w:hint="eastAsia" w:ascii="宋体" w:hAnsi="宋体"/>
        </w:rPr>
        <w:t>项目研究内容有关事项。投标方必须认真阅读本技术条款内容，以免造成投标失败。</w:t>
      </w:r>
    </w:p>
    <w:p>
      <w:pPr>
        <w:ind w:firstLine="480"/>
        <w:rPr>
          <w:rFonts w:ascii="宋体" w:hAnsi="宋体"/>
        </w:rPr>
      </w:pPr>
      <w:r>
        <w:rPr>
          <w:rFonts w:ascii="宋体" w:hAnsi="宋体"/>
        </w:rPr>
        <w:t xml:space="preserve">1.1.2 </w:t>
      </w:r>
      <w:r>
        <w:rPr>
          <w:rFonts w:hint="eastAsia" w:ascii="宋体" w:hAnsi="宋体"/>
        </w:rPr>
        <w:t>本技术规范书提出的是最低限度的技术要求, 并未对一切技术细节作出规定，也未充分引述有关标准和规范的条文。投标方应提供符合本招标技术文件和工业标准的优质产品、服务，认真阅读，逐条准确回答和陈述，必须清楚地说明是否满足本技术规范书的每一项具体要求。如果不满足要求，除在逐条应答时予以说明外，还需以“差异表”的形式另外列出。</w:t>
      </w:r>
    </w:p>
    <w:p>
      <w:pPr>
        <w:ind w:firstLine="480"/>
        <w:jc w:val="center"/>
        <w:rPr>
          <w:rFonts w:ascii="宋体" w:hAnsi="宋体"/>
          <w:highlight w:val="yellow"/>
        </w:rPr>
      </w:pPr>
      <w:r>
        <w:rPr>
          <w:rFonts w:ascii="宋体" w:hAnsi="宋体"/>
        </w:rPr>
        <w:t xml:space="preserve">1.1.3 </w:t>
      </w:r>
      <w:r>
        <w:rPr>
          <w:rFonts w:hint="eastAsia" w:ascii="宋体" w:hAnsi="宋体"/>
        </w:rPr>
        <w:t>本规范书指标要求中，凡标有下划线或加“★”的地方均被视为重要的技术指标要求或性能要求。投标方要特别加以注意，必须完全满足这些要求。</w:t>
      </w:r>
    </w:p>
    <w:p>
      <w:pPr>
        <w:ind w:firstLine="480"/>
        <w:rPr>
          <w:rFonts w:ascii="宋体" w:hAnsi="宋体"/>
        </w:rPr>
      </w:pPr>
      <w:r>
        <w:rPr>
          <w:rFonts w:hint="eastAsia" w:ascii="宋体" w:hAnsi="宋体"/>
        </w:rPr>
        <w:t>1.1.4 投标方应提供满足本技术规范书要求的建议书、实施方案及报价，建议书、实施方案必须满足本技术规范的主要要求，否则将被认作没有回答。投标方认为需特殊说明的部分，应附详细的技术资料，否则因评标理解不同而产生的后果由投标方负责。</w:t>
      </w:r>
    </w:p>
    <w:p>
      <w:pPr>
        <w:ind w:firstLine="480"/>
        <w:rPr>
          <w:rFonts w:ascii="宋体" w:hAnsi="宋体"/>
        </w:rPr>
      </w:pPr>
      <w:r>
        <w:rPr>
          <w:rFonts w:hint="eastAsia" w:ascii="宋体" w:hAnsi="宋体"/>
        </w:rPr>
        <w:t>1.1.5 如果投标方认为本技术条款所描述技术要求等存在不合理性或不明白的，可在响应原要求后陈述相关建议。</w:t>
      </w:r>
    </w:p>
    <w:p>
      <w:pPr>
        <w:ind w:firstLine="480"/>
        <w:rPr>
          <w:rFonts w:ascii="宋体" w:hAnsi="宋体"/>
        </w:rPr>
      </w:pPr>
      <w:r>
        <w:rPr>
          <w:rFonts w:ascii="宋体" w:hAnsi="宋体"/>
        </w:rPr>
        <w:t xml:space="preserve">1.1.6 </w:t>
      </w:r>
      <w:r>
        <w:rPr>
          <w:rFonts w:hint="eastAsia" w:ascii="宋体" w:hAnsi="宋体"/>
        </w:rPr>
        <w:t>投标方也可提出满足本技术规范书要求，且技术先进、成熟、价格合理的其他建议，供招标方选择。</w:t>
      </w:r>
    </w:p>
    <w:p>
      <w:pPr>
        <w:ind w:firstLine="480"/>
        <w:rPr>
          <w:rFonts w:ascii="宋体" w:hAnsi="宋体"/>
        </w:rPr>
      </w:pPr>
      <w:r>
        <w:rPr>
          <w:rFonts w:ascii="宋体" w:hAnsi="宋体"/>
        </w:rPr>
        <w:t xml:space="preserve">1.1.7 </w:t>
      </w:r>
      <w:r>
        <w:rPr>
          <w:rFonts w:hint="eastAsia" w:ascii="宋体" w:hAnsi="宋体"/>
        </w:rPr>
        <w:t>投标方应提供满足本技术规范书要求的完整的服务、工作产品，满足国家及用户提出的有关质量标准要求。所有工作产品必须具有在中国境内的合法使用权。</w:t>
      </w:r>
    </w:p>
    <w:p>
      <w:pPr>
        <w:ind w:firstLine="480"/>
        <w:rPr>
          <w:rFonts w:ascii="宋体" w:hAnsi="宋体"/>
        </w:rPr>
      </w:pPr>
      <w:r>
        <w:rPr>
          <w:rFonts w:hint="eastAsia" w:ascii="宋体" w:hAnsi="宋体"/>
        </w:rPr>
        <w:t>1.1.8 本技术规范书所使用的标准如与投标方所执行的标准不一致，按较高标准执行。</w:t>
      </w:r>
    </w:p>
    <w:p>
      <w:pPr>
        <w:ind w:firstLine="480"/>
        <w:rPr>
          <w:rFonts w:ascii="宋体" w:hAnsi="宋体"/>
        </w:rPr>
      </w:pPr>
      <w:r>
        <w:rPr>
          <w:rFonts w:ascii="宋体" w:hAnsi="宋体"/>
        </w:rPr>
        <w:t xml:space="preserve">1.1.9 </w:t>
      </w:r>
      <w:r>
        <w:rPr>
          <w:rFonts w:hint="eastAsia" w:ascii="宋体" w:hAnsi="宋体"/>
        </w:rPr>
        <w:t>如果因为无法提供的原因而提供其他产品、服务，投标方应明确说明并提出质量保证承诺。</w:t>
      </w:r>
    </w:p>
    <w:p>
      <w:pPr>
        <w:ind w:firstLine="480"/>
        <w:rPr>
          <w:rFonts w:ascii="宋体" w:hAnsi="宋体"/>
        </w:rPr>
      </w:pPr>
      <w:r>
        <w:rPr>
          <w:rFonts w:ascii="宋体" w:hAnsi="宋体"/>
        </w:rPr>
        <w:t xml:space="preserve">1.1.10 </w:t>
      </w:r>
      <w:r>
        <w:rPr>
          <w:rFonts w:hint="eastAsia" w:ascii="宋体" w:hAnsi="宋体"/>
        </w:rPr>
        <w:t>投标方应保证为今后招标方开发的或招标方委托第三方开发的其他工作产品提供可靠的性能和兼容性。</w:t>
      </w:r>
    </w:p>
    <w:p>
      <w:pPr>
        <w:ind w:firstLine="480"/>
        <w:rPr>
          <w:rFonts w:ascii="宋体" w:hAnsi="宋体"/>
        </w:rPr>
      </w:pPr>
      <w:r>
        <w:rPr>
          <w:rFonts w:ascii="宋体" w:hAnsi="宋体"/>
        </w:rPr>
        <w:t xml:space="preserve">1.1.11 </w:t>
      </w:r>
      <w:r>
        <w:rPr>
          <w:rFonts w:hint="eastAsia" w:ascii="宋体" w:hAnsi="宋体"/>
        </w:rPr>
        <w:t>投标方应对本次投标所有文件保密，不得向其他单位公布或泄漏招标项目的有关信息。</w:t>
      </w:r>
    </w:p>
    <w:p>
      <w:pPr>
        <w:ind w:firstLine="480"/>
        <w:rPr>
          <w:rFonts w:ascii="宋体" w:hAnsi="宋体"/>
        </w:rPr>
      </w:pPr>
      <w:r>
        <w:rPr>
          <w:rFonts w:ascii="宋体" w:hAnsi="宋体"/>
        </w:rPr>
        <w:t xml:space="preserve">1.1.12 </w:t>
      </w:r>
      <w:r>
        <w:rPr>
          <w:rFonts w:hint="eastAsia" w:ascii="宋体" w:hAnsi="宋体"/>
        </w:rPr>
        <w:t>招标方保留技术规范书修改的权利，可以提出变更的意见和建议，最终签订的技术协议与合同具有同等效力。</w:t>
      </w:r>
    </w:p>
    <w:p>
      <w:pPr>
        <w:ind w:firstLine="480"/>
        <w:rPr>
          <w:rFonts w:ascii="宋体" w:hAnsi="宋体"/>
        </w:rPr>
      </w:pPr>
      <w:r>
        <w:rPr>
          <w:rFonts w:ascii="宋体" w:hAnsi="宋体"/>
        </w:rPr>
        <w:t xml:space="preserve">1.1.13 </w:t>
      </w:r>
      <w:r>
        <w:rPr>
          <w:rFonts w:hint="eastAsia" w:ascii="宋体" w:hAnsi="宋体"/>
        </w:rPr>
        <w:t>在不超出本技术规范书要求的情况下，投标方应对招标方提出的所有细化要求予以满足。</w:t>
      </w:r>
    </w:p>
    <w:p>
      <w:pPr>
        <w:ind w:firstLine="480"/>
        <w:rPr>
          <w:rFonts w:ascii="宋体" w:hAnsi="宋体"/>
        </w:rPr>
      </w:pPr>
      <w:r>
        <w:rPr>
          <w:rFonts w:ascii="宋体" w:hAnsi="宋体"/>
        </w:rPr>
        <w:t xml:space="preserve">1.1.14 </w:t>
      </w:r>
      <w:r>
        <w:rPr>
          <w:rFonts w:hint="eastAsia" w:ascii="宋体" w:hAnsi="宋体"/>
        </w:rPr>
        <w:t>投标方建议书的详细要求见招标书的商务部分。投标方必须随投标文件提供具有全部建议书的优盘文件壹份。文件格式要求为：文字部分用Microsoft WORD 200</w:t>
      </w:r>
      <w:r>
        <w:rPr>
          <w:rFonts w:ascii="宋体" w:hAnsi="宋体"/>
        </w:rPr>
        <w:t>7</w:t>
      </w:r>
      <w:r>
        <w:rPr>
          <w:rFonts w:hint="eastAsia" w:ascii="宋体" w:hAnsi="宋体"/>
        </w:rPr>
        <w:t>，表格部分用Microsoft EXCEL 200</w:t>
      </w:r>
      <w:r>
        <w:rPr>
          <w:rFonts w:ascii="宋体" w:hAnsi="宋体"/>
        </w:rPr>
        <w:t>7</w:t>
      </w:r>
      <w:r>
        <w:rPr>
          <w:rFonts w:hint="eastAsia" w:ascii="宋体" w:hAnsi="宋体"/>
        </w:rPr>
        <w:t>，图纸部分用Microsoft Visio 200</w:t>
      </w:r>
      <w:r>
        <w:rPr>
          <w:rFonts w:ascii="宋体" w:hAnsi="宋体"/>
        </w:rPr>
        <w:t>7</w:t>
      </w:r>
      <w:r>
        <w:rPr>
          <w:rFonts w:hint="eastAsia" w:ascii="宋体" w:hAnsi="宋体"/>
        </w:rPr>
        <w:t>。投标内容以印刷的投标文件正本为准。</w:t>
      </w:r>
    </w:p>
    <w:p>
      <w:pPr>
        <w:ind w:firstLine="480"/>
        <w:rPr>
          <w:rFonts w:ascii="宋体" w:hAnsi="宋体"/>
        </w:rPr>
      </w:pPr>
      <w:r>
        <w:rPr>
          <w:rFonts w:hint="eastAsia" w:ascii="宋体" w:hAnsi="宋体"/>
        </w:rPr>
        <w:t>1.1.15 有文件、图纸、通信的均使用中文。所有计算、说明、图纸文件、手册等使用国际单位制。</w:t>
      </w:r>
    </w:p>
    <w:p>
      <w:pPr>
        <w:pStyle w:val="5"/>
      </w:pPr>
      <w:bookmarkStart w:id="12" w:name="_Toc222711875"/>
      <w:bookmarkStart w:id="13" w:name="_Toc252485428"/>
      <w:bookmarkStart w:id="14" w:name="_Toc582"/>
      <w:bookmarkStart w:id="15" w:name="_Toc445194080"/>
      <w:bookmarkStart w:id="16" w:name="_Toc255894290"/>
      <w:bookmarkStart w:id="17" w:name="_Toc252486971"/>
      <w:bookmarkStart w:id="18" w:name="_Toc21720"/>
      <w:bookmarkStart w:id="19" w:name="_Toc293665071"/>
      <w:bookmarkStart w:id="20" w:name="_Toc261810243"/>
      <w:r>
        <w:rPr>
          <w:rFonts w:hint="eastAsia"/>
        </w:rPr>
        <w:t>1.2</w:t>
      </w:r>
      <w:r>
        <w:t>标准和规范</w:t>
      </w:r>
      <w:bookmarkEnd w:id="12"/>
      <w:bookmarkEnd w:id="13"/>
      <w:bookmarkEnd w:id="14"/>
      <w:bookmarkEnd w:id="15"/>
      <w:bookmarkEnd w:id="16"/>
      <w:bookmarkEnd w:id="17"/>
      <w:bookmarkEnd w:id="18"/>
      <w:bookmarkEnd w:id="19"/>
      <w:bookmarkEnd w:id="20"/>
    </w:p>
    <w:p>
      <w:pPr>
        <w:autoSpaceDE w:val="0"/>
        <w:autoSpaceDN w:val="0"/>
        <w:adjustRightInd w:val="0"/>
        <w:ind w:firstLine="480"/>
        <w:rPr>
          <w:rFonts w:ascii="Times New Roman" w:hAnsi="Times New Roman" w:cs="Times New Roman"/>
          <w:color w:val="000000"/>
          <w:szCs w:val="21"/>
          <w:lang w:val="zh-CN"/>
        </w:rPr>
      </w:pPr>
      <w:r>
        <w:rPr>
          <w:rFonts w:ascii="Times New Roman" w:hAnsi="Times New Roman" w:cs="Times New Roman"/>
          <w:color w:val="000000"/>
        </w:rPr>
        <w:t>本规范书中涉及的所有规范、标准或材料规格均应为最新版本，即以招标方发出本定单之日作为采用最新版本的截止日期。若发现本规范书与所列标准之间有不一致之处，投标方应向招标方指明，并由招标方确定采用哪一个规范。</w:t>
      </w:r>
    </w:p>
    <w:p>
      <w:pPr>
        <w:autoSpaceDE w:val="0"/>
        <w:autoSpaceDN w:val="0"/>
        <w:adjustRightInd w:val="0"/>
        <w:ind w:firstLine="480"/>
        <w:rPr>
          <w:rFonts w:ascii="Times New Roman" w:hAnsi="Times New Roman" w:cs="Times New Roman"/>
          <w:color w:val="000000"/>
          <w:szCs w:val="21"/>
          <w:lang w:val="zh-CN"/>
        </w:rPr>
      </w:pPr>
      <w:r>
        <w:rPr>
          <w:rFonts w:ascii="Times New Roman" w:hAnsi="Times New Roman" w:cs="Times New Roman"/>
          <w:color w:val="000000"/>
          <w:szCs w:val="21"/>
          <w:lang w:val="zh-CN"/>
        </w:rPr>
        <w:t>投标方如果采用自己的标准或规范，必须向招标方提供中文复印件并经招标方同意后方可采用，但不能低于GB、JB有关规定。</w:t>
      </w:r>
    </w:p>
    <w:p>
      <w:pPr>
        <w:autoSpaceDE w:val="0"/>
        <w:autoSpaceDN w:val="0"/>
        <w:adjustRightInd w:val="0"/>
        <w:ind w:firstLine="480"/>
        <w:rPr>
          <w:rFonts w:ascii="Times New Roman" w:hAnsi="Times New Roman" w:cs="Times New Roman"/>
          <w:color w:val="000000"/>
          <w:szCs w:val="21"/>
          <w:lang w:val="zh-CN"/>
        </w:rPr>
      </w:pPr>
      <w:r>
        <w:rPr>
          <w:rFonts w:ascii="Times New Roman" w:hAnsi="Times New Roman" w:cs="Times New Roman"/>
          <w:color w:val="000000"/>
          <w:szCs w:val="21"/>
          <w:lang w:val="zh-CN"/>
        </w:rPr>
        <w:t>下列标准所包括的条文，通过在本规定中引用而构成本规定的条文。本标准出版时，所示版本均为有效。所有标准都会被修订，使用本标准的各方应探讨使用下列标准最新版本的可能性。</w:t>
      </w:r>
    </w:p>
    <w:p>
      <w:pPr>
        <w:autoSpaceDE w:val="0"/>
        <w:autoSpaceDN w:val="0"/>
        <w:adjustRightInd w:val="0"/>
        <w:ind w:firstLine="480"/>
        <w:rPr>
          <w:rFonts w:hint="eastAsia" w:ascii="Times New Roman" w:hAnsi="Times New Roman" w:cs="Times New Roman"/>
          <w:color w:val="000000"/>
          <w:szCs w:val="21"/>
          <w:highlight w:val="none"/>
          <w:lang w:val="zh-CN"/>
        </w:rPr>
      </w:pPr>
      <w:r>
        <w:rPr>
          <w:rFonts w:hint="eastAsia" w:ascii="Times New Roman" w:hAnsi="Times New Roman" w:cs="Times New Roman"/>
          <w:color w:val="000000"/>
          <w:szCs w:val="21"/>
          <w:highlight w:val="none"/>
          <w:lang w:val="en-US" w:eastAsia="zh-CN"/>
        </w:rPr>
        <w:t>Q</w:t>
      </w:r>
      <w:r>
        <w:rPr>
          <w:rFonts w:hint="eastAsia" w:ascii="Times New Roman" w:hAnsi="Times New Roman" w:cs="Times New Roman"/>
          <w:color w:val="000000"/>
          <w:szCs w:val="21"/>
          <w:highlight w:val="none"/>
          <w:lang w:val="zh-CN"/>
        </w:rPr>
        <w:t>/</w:t>
      </w:r>
      <w:r>
        <w:rPr>
          <w:rFonts w:hint="eastAsia" w:ascii="Times New Roman" w:hAnsi="Times New Roman" w:cs="Times New Roman"/>
          <w:color w:val="000000"/>
          <w:szCs w:val="21"/>
          <w:highlight w:val="none"/>
          <w:lang w:val="en-US" w:eastAsia="zh-CN"/>
        </w:rPr>
        <w:t>CSG1205056.2-2022   中国南方电网电力安全工作规程</w:t>
      </w:r>
      <w:r>
        <w:rPr>
          <w:rFonts w:hint="eastAsia" w:ascii="Times New Roman" w:hAnsi="Times New Roman" w:cs="Times New Roman"/>
          <w:color w:val="000000"/>
          <w:szCs w:val="21"/>
          <w:highlight w:val="none"/>
          <w:lang w:val="zh-CN"/>
        </w:rPr>
        <w:t xml:space="preserve">         </w:t>
      </w:r>
    </w:p>
    <w:p>
      <w:pPr>
        <w:autoSpaceDE w:val="0"/>
        <w:autoSpaceDN w:val="0"/>
        <w:adjustRightInd w:val="0"/>
        <w:ind w:firstLine="480"/>
        <w:rPr>
          <w:rFonts w:hint="default" w:ascii="Times New Roman" w:hAnsi="Times New Roman" w:eastAsia="宋体" w:cs="Times New Roman"/>
          <w:color w:val="000000"/>
          <w:szCs w:val="21"/>
          <w:highlight w:val="none"/>
          <w:lang w:val="en-US" w:eastAsia="zh-CN"/>
        </w:rPr>
      </w:pPr>
      <w:r>
        <w:rPr>
          <w:rFonts w:hint="eastAsia" w:ascii="Times New Roman" w:hAnsi="Times New Roman" w:cs="Times New Roman"/>
          <w:color w:val="000000" w:themeColor="text1"/>
          <w:szCs w:val="21"/>
          <w:lang w:val="zh-CN"/>
          <w14:textFill>
            <w14:solidFill>
              <w14:schemeClr w14:val="tx1"/>
            </w14:solidFill>
          </w14:textFill>
        </w:rPr>
        <w:t>DL/T</w:t>
      </w:r>
      <w:r>
        <w:rPr>
          <w:rFonts w:hint="eastAsia" w:ascii="Times New Roman" w:hAnsi="Times New Roman" w:cs="Times New Roman"/>
          <w:color w:val="000000" w:themeColor="text1"/>
          <w:szCs w:val="21"/>
          <w:lang w:val="en-US" w:eastAsia="zh-CN"/>
          <w14:textFill>
            <w14:solidFill>
              <w14:schemeClr w14:val="tx1"/>
            </w14:solidFill>
          </w14:textFill>
        </w:rPr>
        <w:t xml:space="preserve"> 620</w:t>
      </w:r>
      <w:r>
        <w:rPr>
          <w:rFonts w:hint="eastAsia" w:ascii="Times New Roman" w:hAnsi="Times New Roman" w:cs="Times New Roman"/>
          <w:color w:val="000000" w:themeColor="text1"/>
          <w:szCs w:val="21"/>
          <w14:textFill>
            <w14:solidFill>
              <w14:schemeClr w14:val="tx1"/>
            </w14:solidFill>
          </w14:textFill>
        </w:rPr>
        <w:t>-</w:t>
      </w:r>
      <w:r>
        <w:rPr>
          <w:rFonts w:hint="eastAsia" w:ascii="Times New Roman" w:hAnsi="Times New Roman" w:cs="Times New Roman"/>
          <w:color w:val="000000" w:themeColor="text1"/>
          <w:szCs w:val="21"/>
          <w:lang w:val="en-US" w:eastAsia="zh-CN"/>
          <w14:textFill>
            <w14:solidFill>
              <w14:schemeClr w14:val="tx1"/>
            </w14:solidFill>
          </w14:textFill>
        </w:rPr>
        <w:t>1997</w:t>
      </w:r>
      <w:r>
        <w:rPr>
          <w:rFonts w:hint="eastAsia" w:ascii="Times New Roman" w:hAnsi="Times New Roman" w:cs="Times New Roman"/>
          <w:color w:val="000000" w:themeColor="text1"/>
          <w:szCs w:val="21"/>
          <w:lang w:val="zh-CN"/>
          <w14:textFill>
            <w14:solidFill>
              <w14:schemeClr w14:val="tx1"/>
            </w14:solidFill>
          </w14:textFill>
        </w:rPr>
        <w:t xml:space="preserve"> </w:t>
      </w:r>
      <w:r>
        <w:rPr>
          <w:rFonts w:hint="eastAsia" w:ascii="Times New Roman" w:hAnsi="Times New Roman" w:cs="Times New Roman"/>
          <w:color w:val="000000"/>
          <w:szCs w:val="21"/>
          <w:highlight w:val="none"/>
          <w:lang w:val="en-US" w:eastAsia="zh-CN"/>
        </w:rPr>
        <w:t xml:space="preserve">        交流电气装置的过电压保护和绝缘配合</w:t>
      </w:r>
    </w:p>
    <w:p>
      <w:pPr>
        <w:autoSpaceDE w:val="0"/>
        <w:autoSpaceDN w:val="0"/>
        <w:adjustRightInd w:val="0"/>
        <w:ind w:firstLine="480"/>
        <w:rPr>
          <w:rFonts w:ascii="Times New Roman" w:hAnsi="Times New Roman" w:cs="Times New Roman"/>
          <w:color w:val="000000" w:themeColor="text1"/>
          <w:szCs w:val="21"/>
          <w:lang w:val="zh-CN"/>
          <w14:textFill>
            <w14:solidFill>
              <w14:schemeClr w14:val="tx1"/>
            </w14:solidFill>
          </w14:textFill>
        </w:rPr>
      </w:pPr>
      <w:r>
        <w:rPr>
          <w:rFonts w:hint="eastAsia" w:ascii="Times New Roman" w:hAnsi="Times New Roman" w:cs="Times New Roman"/>
          <w:color w:val="000000" w:themeColor="text1"/>
          <w:szCs w:val="21"/>
          <w:lang w:val="zh-CN"/>
          <w14:textFill>
            <w14:solidFill>
              <w14:schemeClr w14:val="tx1"/>
            </w14:solidFill>
          </w14:textFill>
        </w:rPr>
        <w:t>GB/T 18037-2008</w:t>
      </w:r>
      <w:r>
        <w:rPr>
          <w:rFonts w:hint="eastAsia" w:ascii="Times New Roman" w:hAnsi="Times New Roman" w:cs="Times New Roman"/>
          <w:color w:val="000000" w:themeColor="text1"/>
          <w:szCs w:val="21"/>
          <w14:textFill>
            <w14:solidFill>
              <w14:schemeClr w14:val="tx1"/>
            </w14:solidFill>
          </w14:textFill>
        </w:rPr>
        <w:t xml:space="preserve"> </w:t>
      </w:r>
      <w:r>
        <w:rPr>
          <w:rFonts w:hint="eastAsia" w:ascii="Times New Roman" w:hAnsi="Times New Roman" w:cs="Times New Roman"/>
          <w:color w:val="000000" w:themeColor="text1"/>
          <w:szCs w:val="21"/>
          <w:lang w:val="en-US" w:eastAsia="zh-CN"/>
          <w14:textFill>
            <w14:solidFill>
              <w14:schemeClr w14:val="tx1"/>
            </w14:solidFill>
          </w14:textFill>
        </w:rPr>
        <w:t xml:space="preserve">      </w:t>
      </w:r>
      <w:r>
        <w:rPr>
          <w:rFonts w:hint="eastAsia" w:ascii="Times New Roman" w:hAnsi="Times New Roman" w:cs="Times New Roman"/>
          <w:color w:val="000000" w:themeColor="text1"/>
          <w:szCs w:val="21"/>
          <w:lang w:val="zh-CN"/>
          <w14:textFill>
            <w14:solidFill>
              <w14:schemeClr w14:val="tx1"/>
            </w14:solidFill>
          </w14:textFill>
        </w:rPr>
        <w:t>带电作业工具基本技术要求与设计导则</w:t>
      </w:r>
    </w:p>
    <w:p>
      <w:pPr>
        <w:autoSpaceDE w:val="0"/>
        <w:autoSpaceDN w:val="0"/>
        <w:adjustRightInd w:val="0"/>
        <w:ind w:firstLine="480"/>
        <w:rPr>
          <w:rFonts w:ascii="Times New Roman" w:hAnsi="Times New Roman" w:cs="Times New Roman"/>
          <w:color w:val="000000" w:themeColor="text1"/>
          <w:szCs w:val="21"/>
          <w:lang w:val="zh-CN"/>
          <w14:textFill>
            <w14:solidFill>
              <w14:schemeClr w14:val="tx1"/>
            </w14:solidFill>
          </w14:textFill>
        </w:rPr>
      </w:pPr>
      <w:r>
        <w:rPr>
          <w:rFonts w:hint="eastAsia" w:ascii="Times New Roman" w:hAnsi="Times New Roman" w:cs="Times New Roman"/>
          <w:color w:val="000000" w:themeColor="text1"/>
          <w:szCs w:val="21"/>
          <w:lang w:val="zh-CN"/>
          <w14:textFill>
            <w14:solidFill>
              <w14:schemeClr w14:val="tx1"/>
            </w14:solidFill>
          </w14:textFill>
        </w:rPr>
        <w:t>DL/T878</w:t>
      </w:r>
      <w:r>
        <w:rPr>
          <w:rFonts w:hint="eastAsia" w:ascii="Times New Roman" w:hAnsi="Times New Roman" w:cs="Times New Roman"/>
          <w:color w:val="000000" w:themeColor="text1"/>
          <w:szCs w:val="21"/>
          <w14:textFill>
            <w14:solidFill>
              <w14:schemeClr w14:val="tx1"/>
            </w14:solidFill>
          </w14:textFill>
        </w:rPr>
        <w:t>-</w:t>
      </w:r>
      <w:r>
        <w:rPr>
          <w:rFonts w:hint="eastAsia" w:ascii="Times New Roman" w:hAnsi="Times New Roman" w:cs="Times New Roman"/>
          <w:color w:val="000000" w:themeColor="text1"/>
          <w:szCs w:val="21"/>
          <w:lang w:val="zh-CN"/>
          <w14:textFill>
            <w14:solidFill>
              <w14:schemeClr w14:val="tx1"/>
            </w14:solidFill>
          </w14:textFill>
        </w:rPr>
        <w:t xml:space="preserve">2004  </w:t>
      </w:r>
      <w:r>
        <w:rPr>
          <w:rFonts w:hint="eastAsia" w:ascii="Times New Roman" w:hAnsi="Times New Roman" w:cs="Times New Roman"/>
          <w:color w:val="000000" w:themeColor="text1"/>
          <w:szCs w:val="21"/>
          <w:lang w:val="en-US" w:eastAsia="zh-CN"/>
          <w14:textFill>
            <w14:solidFill>
              <w14:schemeClr w14:val="tx1"/>
            </w14:solidFill>
          </w14:textFill>
        </w:rPr>
        <w:t xml:space="preserve">       </w:t>
      </w:r>
      <w:r>
        <w:rPr>
          <w:rFonts w:hint="eastAsia" w:ascii="Times New Roman" w:hAnsi="Times New Roman" w:cs="Times New Roman"/>
          <w:color w:val="000000" w:themeColor="text1"/>
          <w:szCs w:val="21"/>
          <w:lang w:val="zh-CN"/>
          <w14:textFill>
            <w14:solidFill>
              <w14:schemeClr w14:val="tx1"/>
            </w14:solidFill>
          </w14:textFill>
        </w:rPr>
        <w:t xml:space="preserve"> 带电作业用绝缘工具试验导则</w:t>
      </w:r>
    </w:p>
    <w:p>
      <w:pPr>
        <w:autoSpaceDE w:val="0"/>
        <w:autoSpaceDN w:val="0"/>
        <w:adjustRightInd w:val="0"/>
        <w:ind w:firstLine="480"/>
        <w:rPr>
          <w:rFonts w:ascii="Times New Roman" w:hAnsi="Times New Roman" w:cs="Times New Roman"/>
          <w:color w:val="000000" w:themeColor="text1"/>
          <w:szCs w:val="21"/>
          <w:lang w:val="zh-CN"/>
          <w14:textFill>
            <w14:solidFill>
              <w14:schemeClr w14:val="tx1"/>
            </w14:solidFill>
          </w14:textFill>
        </w:rPr>
      </w:pPr>
      <w:r>
        <w:rPr>
          <w:rFonts w:hint="eastAsia" w:ascii="Times New Roman" w:hAnsi="Times New Roman" w:cs="Times New Roman"/>
          <w:color w:val="000000" w:themeColor="text1"/>
          <w:szCs w:val="21"/>
          <w:lang w:val="zh-CN"/>
          <w14:textFill>
            <w14:solidFill>
              <w14:schemeClr w14:val="tx1"/>
            </w14:solidFill>
          </w14:textFill>
        </w:rPr>
        <w:t>DL/T976</w:t>
      </w:r>
      <w:r>
        <w:rPr>
          <w:rFonts w:hint="eastAsia" w:ascii="Times New Roman" w:hAnsi="Times New Roman" w:cs="Times New Roman"/>
          <w:color w:val="000000" w:themeColor="text1"/>
          <w:szCs w:val="21"/>
          <w14:textFill>
            <w14:solidFill>
              <w14:schemeClr w14:val="tx1"/>
            </w14:solidFill>
          </w14:textFill>
        </w:rPr>
        <w:t>-</w:t>
      </w:r>
      <w:r>
        <w:rPr>
          <w:rFonts w:hint="eastAsia" w:ascii="Times New Roman" w:hAnsi="Times New Roman" w:cs="Times New Roman"/>
          <w:color w:val="000000" w:themeColor="text1"/>
          <w:szCs w:val="21"/>
          <w:lang w:val="zh-CN"/>
          <w14:textFill>
            <w14:solidFill>
              <w14:schemeClr w14:val="tx1"/>
            </w14:solidFill>
          </w14:textFill>
        </w:rPr>
        <w:t xml:space="preserve">2017   </w:t>
      </w:r>
      <w:r>
        <w:rPr>
          <w:rFonts w:hint="eastAsia" w:ascii="Times New Roman" w:hAnsi="Times New Roman" w:cs="Times New Roman"/>
          <w:color w:val="000000" w:themeColor="text1"/>
          <w:szCs w:val="21"/>
          <w:lang w:val="en-US" w:eastAsia="zh-CN"/>
          <w14:textFill>
            <w14:solidFill>
              <w14:schemeClr w14:val="tx1"/>
            </w14:solidFill>
          </w14:textFill>
        </w:rPr>
        <w:t xml:space="preserve">       </w:t>
      </w:r>
      <w:r>
        <w:rPr>
          <w:rFonts w:hint="eastAsia" w:ascii="Times New Roman" w:hAnsi="Times New Roman" w:cs="Times New Roman"/>
          <w:color w:val="000000" w:themeColor="text1"/>
          <w:szCs w:val="21"/>
          <w:lang w:val="zh-CN"/>
          <w14:textFill>
            <w14:solidFill>
              <w14:schemeClr w14:val="tx1"/>
            </w14:solidFill>
          </w14:textFill>
        </w:rPr>
        <w:t>带电作业工具、装置和设备预防性试验规程</w:t>
      </w:r>
    </w:p>
    <w:p>
      <w:pPr>
        <w:pStyle w:val="2"/>
        <w:ind w:firstLine="480"/>
        <w:rPr>
          <w:lang w:val="zh-CN"/>
        </w:rPr>
      </w:pPr>
    </w:p>
    <w:bookmarkEnd w:id="8"/>
    <w:bookmarkEnd w:id="9"/>
    <w:bookmarkEnd w:id="10"/>
    <w:bookmarkEnd w:id="11"/>
    <w:p>
      <w:pPr>
        <w:pStyle w:val="4"/>
        <w:numPr>
          <w:ilvl w:val="0"/>
          <w:numId w:val="0"/>
        </w:numPr>
        <w:spacing w:before="0" w:after="0" w:line="360" w:lineRule="auto"/>
        <w:ind w:left="432"/>
        <w:rPr>
          <w:rFonts w:ascii="Times New Roman" w:hAnsi="Times New Roman" w:cs="Times New Roman"/>
          <w:szCs w:val="24"/>
        </w:rPr>
      </w:pPr>
      <w:bookmarkStart w:id="21" w:name="_Toc444945516"/>
      <w:bookmarkStart w:id="22" w:name="_Toc23473"/>
      <w:r>
        <w:rPr>
          <w:rFonts w:hint="eastAsia" w:ascii="Times New Roman" w:hAnsi="Times New Roman" w:cs="Times New Roman"/>
          <w:sz w:val="32"/>
          <w:szCs w:val="24"/>
        </w:rPr>
        <w:t>二、技术要求</w:t>
      </w:r>
      <w:bookmarkEnd w:id="21"/>
      <w:bookmarkEnd w:id="22"/>
    </w:p>
    <w:p>
      <w:pPr>
        <w:pStyle w:val="5"/>
        <w:tabs>
          <w:tab w:val="left" w:pos="0"/>
        </w:tabs>
        <w:spacing w:before="0" w:after="0" w:line="360" w:lineRule="auto"/>
        <w:rPr>
          <w:rFonts w:ascii="宋体" w:hAnsi="宋体" w:cs="宋体"/>
          <w:sz w:val="28"/>
          <w:szCs w:val="24"/>
        </w:rPr>
      </w:pPr>
      <w:bookmarkStart w:id="23" w:name="_Toc437603900"/>
      <w:bookmarkStart w:id="24" w:name="_Toc444945517"/>
      <w:bookmarkStart w:id="25" w:name="_Toc3726"/>
      <w:r>
        <w:rPr>
          <w:rFonts w:hint="eastAsia" w:ascii="宋体" w:hAnsi="宋体" w:cs="宋体"/>
          <w:sz w:val="28"/>
          <w:szCs w:val="24"/>
          <w:lang w:val="en-US" w:eastAsia="zh-CN"/>
        </w:rPr>
        <w:t>2</w:t>
      </w:r>
      <w:r>
        <w:rPr>
          <w:rFonts w:hint="eastAsia" w:ascii="宋体" w:hAnsi="宋体" w:cs="宋体"/>
          <w:sz w:val="28"/>
          <w:szCs w:val="24"/>
        </w:rPr>
        <w:t>.1 项目</w:t>
      </w:r>
      <w:bookmarkEnd w:id="23"/>
      <w:bookmarkEnd w:id="24"/>
      <w:r>
        <w:rPr>
          <w:rFonts w:hint="eastAsia" w:ascii="宋体" w:hAnsi="宋体" w:cs="宋体"/>
          <w:sz w:val="28"/>
          <w:szCs w:val="24"/>
        </w:rPr>
        <w:t>研究对象</w:t>
      </w:r>
      <w:bookmarkEnd w:id="25"/>
    </w:p>
    <w:p>
      <w:pPr>
        <w:bidi w:val="0"/>
        <w:rPr>
          <w:rFonts w:hint="eastAsia" w:eastAsia="宋体"/>
          <w:lang w:val="en-US" w:eastAsia="zh-CN"/>
        </w:rPr>
      </w:pPr>
      <w:bookmarkStart w:id="26" w:name="_Toc444945518"/>
      <w:bookmarkStart w:id="27" w:name="_Toc437603901"/>
      <w:r>
        <w:rPr>
          <w:rFonts w:hint="eastAsia" w:eastAsia="宋体"/>
          <w:lang w:val="en-US" w:eastAsia="zh-CN"/>
        </w:rPr>
        <w:t>在核电送出线路500kV光南甲乙线上，我们发现相当一部分绝缘架空地线的放电间隙出现了粘连，地线上面产生的感应电在此时会形成通路导致粘连的放电间隙发热，发热产生的铁质高温熔滴掉落在铁塔下方的枯草可能会产生火灾，目前发现一起山火疑似情况；感应电形成通路后地线绝缘子下方挂点附近也会出现高温发热，可以使之出现明亮的熔点，可能引起挂点脱落，目前猜测是因为六角螺栓处坑洼不平导致的接触电阻增大和感应电引起的发热。</w:t>
      </w:r>
    </w:p>
    <w:p>
      <w:pPr>
        <w:bidi w:val="0"/>
        <w:rPr>
          <w:rFonts w:hint="eastAsia" w:eastAsia="宋体"/>
          <w:lang w:val="en-US" w:eastAsia="zh-CN"/>
        </w:rPr>
      </w:pPr>
      <w:r>
        <w:rPr>
          <w:rFonts w:hint="eastAsia" w:eastAsia="宋体"/>
          <w:lang w:val="en-US" w:eastAsia="zh-CN"/>
        </w:rPr>
        <w:t>针对以上存在的问题，我们计划开发一种通用型工具，使放电间隙能够被彻底卡死，目的是彻底杜绝地线放电间隙粘连的情况，解决以上发热情况，避免因此产生的安全生产风险。</w:t>
      </w:r>
    </w:p>
    <w:p>
      <w:pPr>
        <w:pStyle w:val="5"/>
        <w:tabs>
          <w:tab w:val="left" w:pos="0"/>
        </w:tabs>
        <w:spacing w:before="0" w:after="0" w:line="360" w:lineRule="auto"/>
        <w:rPr>
          <w:rFonts w:ascii="宋体" w:hAnsi="宋体" w:cs="宋体"/>
          <w:sz w:val="28"/>
          <w:szCs w:val="24"/>
          <w:highlight w:val="yellow"/>
        </w:rPr>
      </w:pPr>
      <w:bookmarkStart w:id="28" w:name="_Toc17647"/>
      <w:r>
        <w:rPr>
          <w:rFonts w:hint="eastAsia" w:ascii="宋体" w:hAnsi="宋体" w:cs="宋体"/>
          <w:sz w:val="28"/>
          <w:szCs w:val="24"/>
          <w:lang w:val="en-US" w:eastAsia="zh-CN"/>
        </w:rPr>
        <w:t>2</w:t>
      </w:r>
      <w:r>
        <w:rPr>
          <w:rFonts w:hint="eastAsia" w:ascii="宋体" w:hAnsi="宋体" w:cs="宋体"/>
          <w:sz w:val="28"/>
          <w:szCs w:val="24"/>
        </w:rPr>
        <w:t>.2项目研究内容</w:t>
      </w:r>
      <w:bookmarkEnd w:id="26"/>
      <w:bookmarkEnd w:id="27"/>
      <w:bookmarkEnd w:id="28"/>
    </w:p>
    <w:p>
      <w:pPr>
        <w:spacing w:line="360" w:lineRule="auto"/>
        <w:rPr>
          <w:rFonts w:hint="eastAsia"/>
          <w:lang w:val="en-US" w:eastAsia="zh-CN"/>
        </w:rPr>
      </w:pPr>
      <w:bookmarkStart w:id="29" w:name="_Toc437603902"/>
      <w:bookmarkStart w:id="30" w:name="_Toc444945519"/>
      <w:r>
        <w:rPr>
          <w:rFonts w:hint="eastAsia"/>
          <w:lang w:val="en-US" w:eastAsia="zh-CN"/>
        </w:rPr>
        <w:t>本项目需要制作一套卡具，可以保证架空地线与大地无法形成通路，既要达到能在雷击架空地线的时候释放雷电流，又要能够断开地线感应电的通路使之无法形成环流，同时经过长时间的运行，间隙不会因为老化导致出现粘连闭合，极大的降低了老式地线绝缘间隙带来的风险。</w:t>
      </w:r>
    </w:p>
    <w:p>
      <w:pPr>
        <w:pStyle w:val="5"/>
        <w:tabs>
          <w:tab w:val="left" w:pos="0"/>
        </w:tabs>
        <w:spacing w:before="0" w:after="0" w:line="360" w:lineRule="auto"/>
        <w:rPr>
          <w:rFonts w:ascii="宋体" w:hAnsi="宋体" w:cs="宋体"/>
          <w:sz w:val="28"/>
          <w:szCs w:val="24"/>
        </w:rPr>
      </w:pPr>
      <w:bookmarkStart w:id="31" w:name="_Toc1359"/>
      <w:r>
        <w:rPr>
          <w:rFonts w:hint="eastAsia" w:ascii="宋体" w:hAnsi="宋体" w:cs="宋体"/>
          <w:sz w:val="28"/>
          <w:szCs w:val="24"/>
          <w:lang w:val="en-US" w:eastAsia="zh-CN"/>
        </w:rPr>
        <w:t>2</w:t>
      </w:r>
      <w:r>
        <w:rPr>
          <w:rFonts w:hint="eastAsia" w:ascii="宋体" w:hAnsi="宋体" w:cs="宋体"/>
          <w:sz w:val="28"/>
          <w:szCs w:val="24"/>
        </w:rPr>
        <w:t>.3</w:t>
      </w:r>
      <w:bookmarkEnd w:id="29"/>
      <w:bookmarkEnd w:id="30"/>
      <w:r>
        <w:rPr>
          <w:rFonts w:hint="eastAsia" w:ascii="宋体" w:hAnsi="宋体" w:cs="宋体"/>
          <w:sz w:val="28"/>
          <w:szCs w:val="24"/>
        </w:rPr>
        <w:t>技术指标要求</w:t>
      </w:r>
      <w:bookmarkEnd w:id="31"/>
    </w:p>
    <w:tbl>
      <w:tblPr>
        <w:tblStyle w:val="14"/>
        <w:tblW w:w="77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16"/>
        <w:gridCol w:w="544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2316" w:type="dxa"/>
            <w:tcBorders>
              <w:top w:val="single" w:color="auto" w:sz="6" w:space="0"/>
              <w:left w:val="single" w:color="auto" w:sz="6" w:space="0"/>
              <w:bottom w:val="single" w:color="auto" w:sz="6" w:space="0"/>
              <w:right w:val="nil"/>
              <w:insideV w:val="nil"/>
              <w:tl2br w:val="nil"/>
              <w:tr2bl w:val="nil"/>
            </w:tcBorders>
            <w:shd w:val="clear" w:color="auto" w:fill="FFFFFF"/>
            <w:vAlign w:val="center"/>
          </w:tcPr>
          <w:p>
            <w:pPr>
              <w:adjustRightInd w:val="0"/>
              <w:snapToGrid w:val="0"/>
              <w:ind w:firstLine="0" w:firstLineChars="0"/>
              <w:jc w:val="center"/>
              <w:rPr>
                <w:rFonts w:ascii="宋体" w:hAnsi="宋体"/>
                <w:b/>
                <w:bCs/>
                <w:color w:val="auto"/>
                <w:highlight w:val="none"/>
              </w:rPr>
            </w:pPr>
            <w:r>
              <w:rPr>
                <w:rFonts w:hint="eastAsia" w:ascii="宋体" w:hAnsi="宋体"/>
                <w:b w:val="0"/>
                <w:bCs w:val="0"/>
                <w:color w:val="auto"/>
                <w:highlight w:val="none"/>
              </w:rPr>
              <w:t>技术指标</w:t>
            </w:r>
          </w:p>
        </w:tc>
        <w:tc>
          <w:tcPr>
            <w:tcW w:w="5442" w:type="dxa"/>
            <w:tcBorders>
              <w:top w:val="single" w:color="auto" w:sz="6" w:space="0"/>
              <w:left w:val="single" w:color="auto" w:sz="6" w:space="0"/>
              <w:bottom w:val="single" w:color="auto" w:sz="6" w:space="0"/>
              <w:right w:val="nil"/>
              <w:insideV w:val="nil"/>
              <w:tl2br w:val="nil"/>
              <w:tr2bl w:val="nil"/>
            </w:tcBorders>
            <w:shd w:val="clear" w:color="auto" w:fill="FFFFFF"/>
            <w:vAlign w:val="center"/>
          </w:tcPr>
          <w:p>
            <w:pPr>
              <w:adjustRightInd w:val="0"/>
              <w:snapToGrid w:val="0"/>
              <w:ind w:firstLine="480"/>
              <w:jc w:val="center"/>
              <w:rPr>
                <w:rFonts w:ascii="宋体" w:hAnsi="宋体"/>
                <w:b/>
                <w:bCs/>
                <w:color w:val="auto"/>
                <w:highlight w:val="none"/>
              </w:rPr>
            </w:pPr>
            <w:r>
              <w:rPr>
                <w:rFonts w:hint="eastAsia" w:ascii="宋体" w:hAnsi="宋体"/>
                <w:b w:val="0"/>
                <w:bCs w:val="0"/>
                <w:color w:val="auto"/>
                <w:highlight w:val="none"/>
              </w:rPr>
              <w:t>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2316" w:type="dxa"/>
            <w:tcBorders>
              <w:top w:val="single" w:color="auto" w:sz="6" w:space="0"/>
              <w:left w:val="single" w:color="auto" w:sz="6" w:space="0"/>
              <w:bottom w:val="single" w:color="auto" w:sz="6" w:space="0"/>
              <w:right w:val="single" w:color="auto" w:sz="6" w:space="0"/>
            </w:tcBorders>
            <w:shd w:val="clear" w:color="auto" w:fill="FFFFFF"/>
          </w:tcPr>
          <w:p>
            <w:pPr>
              <w:adjustRightInd w:val="0"/>
              <w:snapToGrid w:val="0"/>
              <w:ind w:firstLine="0" w:firstLineChars="0"/>
              <w:jc w:val="center"/>
              <w:rPr>
                <w:rFonts w:hint="default" w:ascii="宋体" w:hAnsi="宋体" w:eastAsia="宋体"/>
                <w:highlight w:val="none"/>
                <w:lang w:val="en-US" w:eastAsia="zh-CN"/>
              </w:rPr>
            </w:pPr>
            <w:r>
              <w:rPr>
                <w:rFonts w:hint="eastAsia" w:ascii="宋体" w:hAnsi="宋体"/>
                <w:highlight w:val="none"/>
                <w:lang w:val="en-US" w:eastAsia="zh-CN"/>
              </w:rPr>
              <w:t>安全性</w:t>
            </w:r>
          </w:p>
        </w:tc>
        <w:tc>
          <w:tcPr>
            <w:tcW w:w="5442" w:type="dxa"/>
            <w:tcBorders>
              <w:top w:val="single" w:color="auto" w:sz="6" w:space="0"/>
              <w:left w:val="single" w:color="auto" w:sz="6" w:space="0"/>
              <w:bottom w:val="single" w:color="auto" w:sz="6" w:space="0"/>
              <w:right w:val="single" w:color="auto" w:sz="6" w:space="0"/>
            </w:tcBorders>
            <w:shd w:val="clear" w:color="auto" w:fill="FFFFFF"/>
          </w:tcPr>
          <w:p>
            <w:pPr>
              <w:adjustRightInd w:val="0"/>
              <w:snapToGrid w:val="0"/>
              <w:ind w:firstLine="0" w:firstLineChars="0"/>
              <w:jc w:val="center"/>
              <w:rPr>
                <w:rFonts w:hint="default" w:ascii="宋体" w:hAnsi="宋体" w:eastAsia="宋体"/>
                <w:highlight w:val="none"/>
                <w:lang w:val="en-US" w:eastAsia="zh-CN"/>
              </w:rPr>
            </w:pPr>
            <w:r>
              <w:rPr>
                <w:rFonts w:hint="eastAsia" w:ascii="宋体" w:hAnsi="宋体"/>
                <w:highlight w:val="none"/>
                <w:lang w:val="en-US" w:eastAsia="zh-CN"/>
              </w:rPr>
              <w:t>符合行业标准，通过相关测试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2316" w:type="dxa"/>
            <w:tcBorders>
              <w:top w:val="single" w:color="auto" w:sz="6" w:space="0"/>
              <w:left w:val="single" w:color="auto" w:sz="6" w:space="0"/>
              <w:bottom w:val="single" w:color="auto" w:sz="6" w:space="0"/>
              <w:right w:val="single" w:color="auto" w:sz="6" w:space="0"/>
            </w:tcBorders>
            <w:shd w:val="clear" w:color="auto" w:fill="FFFFFF"/>
            <w:vAlign w:val="top"/>
          </w:tcPr>
          <w:p>
            <w:pPr>
              <w:adjustRightInd w:val="0"/>
              <w:snapToGrid w:val="0"/>
              <w:ind w:firstLine="0" w:firstLineChars="0"/>
              <w:jc w:val="center"/>
              <w:rPr>
                <w:rFonts w:hint="default" w:ascii="宋体" w:hAnsi="宋体" w:eastAsia="宋体"/>
                <w:highlight w:val="none"/>
                <w:lang w:val="en-US" w:eastAsia="zh-CN"/>
              </w:rPr>
            </w:pPr>
            <w:r>
              <w:rPr>
                <w:rFonts w:hint="default" w:ascii="宋体" w:hAnsi="宋体"/>
                <w:color w:val="000000" w:themeColor="text1"/>
                <w14:textFill>
                  <w14:solidFill>
                    <w14:schemeClr w14:val="tx1"/>
                  </w14:solidFill>
                </w14:textFill>
              </w:rPr>
              <w:t>耐用性</w:t>
            </w:r>
          </w:p>
        </w:tc>
        <w:tc>
          <w:tcPr>
            <w:tcW w:w="5442" w:type="dxa"/>
            <w:tcBorders>
              <w:top w:val="single" w:color="auto" w:sz="6" w:space="0"/>
              <w:left w:val="single" w:color="auto" w:sz="6" w:space="0"/>
              <w:bottom w:val="single" w:color="auto" w:sz="6" w:space="0"/>
              <w:right w:val="single" w:color="auto" w:sz="6" w:space="0"/>
            </w:tcBorders>
            <w:shd w:val="clear" w:color="auto" w:fill="FFFFFF"/>
            <w:vAlign w:val="top"/>
          </w:tcPr>
          <w:p>
            <w:pPr>
              <w:adjustRightInd w:val="0"/>
              <w:snapToGrid w:val="0"/>
              <w:ind w:firstLine="0" w:firstLineChars="0"/>
              <w:jc w:val="center"/>
              <w:rPr>
                <w:rFonts w:hint="default" w:ascii="宋体" w:hAnsi="宋体" w:eastAsia="宋体"/>
                <w:highlight w:val="none"/>
                <w:lang w:val="en-US" w:eastAsia="zh-CN"/>
              </w:rPr>
            </w:pPr>
            <w:r>
              <w:rPr>
                <w:rFonts w:hint="default" w:ascii="宋体" w:hAnsi="宋体"/>
                <w:color w:val="000000" w:themeColor="text1"/>
                <w14:textFill>
                  <w14:solidFill>
                    <w14:schemeClr w14:val="tx1"/>
                  </w14:solidFill>
                </w14:textFill>
              </w:rPr>
              <w:t>抗腐蚀和</w:t>
            </w:r>
            <w:r>
              <w:rPr>
                <w:rFonts w:hint="eastAsia" w:ascii="宋体" w:hAnsi="宋体"/>
                <w:color w:val="000000" w:themeColor="text1"/>
                <w:lang w:val="en-US" w:eastAsia="zh-CN"/>
                <w14:textFill>
                  <w14:solidFill>
                    <w14:schemeClr w14:val="tx1"/>
                  </w14:solidFill>
                </w14:textFill>
              </w:rPr>
              <w:t>释放雷电流</w:t>
            </w:r>
            <w:r>
              <w:rPr>
                <w:rFonts w:hint="default" w:ascii="宋体" w:hAnsi="宋体"/>
                <w:color w:val="000000" w:themeColor="text1"/>
                <w14:textFill>
                  <w14:solidFill>
                    <w14:schemeClr w14:val="tx1"/>
                  </w14:solidFill>
                </w14:textFill>
              </w:rPr>
              <w:t>，通过长时间使用和环境测试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2316" w:type="dxa"/>
            <w:tcBorders>
              <w:top w:val="single" w:color="auto" w:sz="6" w:space="0"/>
              <w:left w:val="single" w:color="auto" w:sz="6" w:space="0"/>
              <w:bottom w:val="single" w:color="auto" w:sz="6" w:space="0"/>
              <w:right w:val="single" w:color="auto" w:sz="6" w:space="0"/>
            </w:tcBorders>
            <w:shd w:val="clear" w:color="auto" w:fill="FFFFFF"/>
            <w:vAlign w:val="top"/>
          </w:tcPr>
          <w:p>
            <w:pPr>
              <w:adjustRightInd w:val="0"/>
              <w:snapToGrid w:val="0"/>
              <w:ind w:firstLine="0" w:firstLineChars="0"/>
              <w:jc w:val="center"/>
              <w:rPr>
                <w:rFonts w:hint="default" w:ascii="宋体" w:hAnsi="宋体" w:eastAsia="宋体" w:cs="黑体"/>
                <w:kern w:val="2"/>
                <w:sz w:val="24"/>
                <w:szCs w:val="22"/>
                <w:highlight w:val="none"/>
                <w:lang w:val="en-US" w:eastAsia="zh-CN" w:bidi="ar-SA"/>
              </w:rPr>
            </w:pPr>
            <w:r>
              <w:rPr>
                <w:rFonts w:ascii="宋体" w:hAnsi="宋体"/>
                <w:color w:val="000000" w:themeColor="text1"/>
                <w14:textFill>
                  <w14:solidFill>
                    <w14:schemeClr w14:val="tx1"/>
                  </w14:solidFill>
                </w14:textFill>
              </w:rPr>
              <w:t>适应性</w:t>
            </w:r>
          </w:p>
        </w:tc>
        <w:tc>
          <w:tcPr>
            <w:tcW w:w="5442" w:type="dxa"/>
            <w:tcBorders>
              <w:top w:val="single" w:color="auto" w:sz="6" w:space="0"/>
              <w:left w:val="single" w:color="auto" w:sz="6" w:space="0"/>
              <w:bottom w:val="single" w:color="auto" w:sz="6" w:space="0"/>
              <w:right w:val="single" w:color="auto" w:sz="6" w:space="0"/>
            </w:tcBorders>
            <w:shd w:val="clear" w:color="auto" w:fill="FFFFFF"/>
            <w:vAlign w:val="top"/>
          </w:tcPr>
          <w:p>
            <w:pPr>
              <w:adjustRightInd w:val="0"/>
              <w:snapToGrid w:val="0"/>
              <w:ind w:firstLine="0" w:firstLineChars="0"/>
              <w:jc w:val="center"/>
              <w:rPr>
                <w:rFonts w:hint="default" w:ascii="宋体" w:hAnsi="宋体" w:eastAsia="宋体" w:cs="黑体"/>
                <w:kern w:val="2"/>
                <w:sz w:val="24"/>
                <w:szCs w:val="22"/>
                <w:highlight w:val="none"/>
                <w:lang w:val="en-US" w:eastAsia="zh-CN" w:bidi="ar-SA"/>
              </w:rPr>
            </w:pPr>
            <w:r>
              <w:rPr>
                <w:rFonts w:hint="eastAsia" w:ascii="宋体" w:hAnsi="宋体"/>
                <w:color w:val="000000" w:themeColor="text1"/>
                <w:lang w:val="en-US" w:eastAsia="zh-CN"/>
                <w14:textFill>
                  <w14:solidFill>
                    <w14:schemeClr w14:val="tx1"/>
                  </w14:solidFill>
                </w14:textFill>
              </w:rPr>
              <w:t>在各种自然环境和雷电流的冲击下，都可以正常工作</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2316" w:type="dxa"/>
            <w:tcBorders>
              <w:top w:val="single" w:color="auto" w:sz="6" w:space="0"/>
              <w:left w:val="single" w:color="auto" w:sz="6" w:space="0"/>
              <w:bottom w:val="single" w:color="auto" w:sz="6" w:space="0"/>
              <w:right w:val="single" w:color="auto" w:sz="6" w:space="0"/>
            </w:tcBorders>
            <w:shd w:val="clear" w:color="auto" w:fill="FFFFFF"/>
            <w:vAlign w:val="top"/>
          </w:tcPr>
          <w:p>
            <w:pPr>
              <w:adjustRightInd w:val="0"/>
              <w:snapToGrid w:val="0"/>
              <w:ind w:firstLine="0" w:firstLineChars="0"/>
              <w:jc w:val="center"/>
              <w:rPr>
                <w:rFonts w:hint="default" w:ascii="宋体" w:hAnsi="宋体" w:eastAsia="宋体" w:cs="黑体"/>
                <w:kern w:val="2"/>
                <w:sz w:val="24"/>
                <w:szCs w:val="22"/>
                <w:highlight w:val="none"/>
                <w:lang w:val="en-US" w:eastAsia="zh-CN" w:bidi="ar-SA"/>
              </w:rPr>
            </w:pPr>
            <w:r>
              <w:rPr>
                <w:rFonts w:hint="default" w:ascii="宋体" w:hAnsi="宋体"/>
                <w:color w:val="000000" w:themeColor="text1"/>
                <w14:textFill>
                  <w14:solidFill>
                    <w14:schemeClr w14:val="tx1"/>
                  </w14:solidFill>
                </w14:textFill>
              </w:rPr>
              <w:t>模块化</w:t>
            </w:r>
          </w:p>
        </w:tc>
        <w:tc>
          <w:tcPr>
            <w:tcW w:w="5442" w:type="dxa"/>
            <w:tcBorders>
              <w:top w:val="single" w:color="auto" w:sz="6" w:space="0"/>
              <w:left w:val="single" w:color="auto" w:sz="6" w:space="0"/>
              <w:bottom w:val="single" w:color="auto" w:sz="6" w:space="0"/>
              <w:right w:val="single" w:color="auto" w:sz="6" w:space="0"/>
            </w:tcBorders>
            <w:shd w:val="clear" w:color="auto" w:fill="FFFFFF"/>
            <w:vAlign w:val="top"/>
          </w:tcPr>
          <w:p>
            <w:pPr>
              <w:adjustRightInd w:val="0"/>
              <w:snapToGrid w:val="0"/>
              <w:ind w:firstLine="0" w:firstLineChars="0"/>
              <w:jc w:val="center"/>
              <w:rPr>
                <w:rFonts w:ascii="宋体" w:hAnsi="宋体" w:eastAsia="宋体" w:cs="黑体"/>
                <w:kern w:val="2"/>
                <w:sz w:val="24"/>
                <w:szCs w:val="22"/>
                <w:highlight w:val="none"/>
                <w:lang w:val="en-US" w:eastAsia="zh-CN" w:bidi="ar-SA"/>
              </w:rPr>
            </w:pPr>
            <w:r>
              <w:rPr>
                <w:rFonts w:hint="default" w:ascii="宋体" w:hAnsi="宋体"/>
                <w:color w:val="000000" w:themeColor="text1"/>
                <w14:textFill>
                  <w14:solidFill>
                    <w14:schemeClr w14:val="tx1"/>
                  </w14:solidFill>
                </w14:textFill>
              </w:rPr>
              <w:t>便于维修和更换部件，延长设备使用寿命。</w:t>
            </w:r>
          </w:p>
        </w:tc>
      </w:tr>
    </w:tbl>
    <w:p>
      <w:pPr>
        <w:pStyle w:val="5"/>
        <w:tabs>
          <w:tab w:val="left" w:pos="0"/>
        </w:tabs>
        <w:spacing w:before="0" w:after="0" w:line="360" w:lineRule="auto"/>
        <w:jc w:val="left"/>
        <w:rPr>
          <w:rFonts w:hint="eastAsia" w:ascii="宋体" w:hAnsi="宋体" w:cs="宋体"/>
          <w:sz w:val="28"/>
          <w:szCs w:val="24"/>
        </w:rPr>
      </w:pPr>
      <w:r>
        <w:rPr>
          <w:rFonts w:hint="eastAsia" w:ascii="宋体" w:hAnsi="宋体" w:cs="宋体"/>
          <w:sz w:val="28"/>
          <w:szCs w:val="24"/>
        </w:rPr>
        <w:br w:type="page"/>
      </w:r>
      <w:bookmarkStart w:id="32" w:name="_Toc26708"/>
      <w:r>
        <w:rPr>
          <w:rFonts w:hint="eastAsia" w:ascii="宋体" w:hAnsi="宋体" w:cs="宋体"/>
          <w:sz w:val="28"/>
          <w:szCs w:val="24"/>
          <w:lang w:val="en-US" w:eastAsia="zh-CN"/>
        </w:rPr>
        <w:t>2</w:t>
      </w:r>
      <w:r>
        <w:rPr>
          <w:rFonts w:hint="eastAsia" w:ascii="宋体" w:hAnsi="宋体" w:cs="宋体"/>
          <w:sz w:val="28"/>
          <w:szCs w:val="24"/>
        </w:rPr>
        <w:t>.4设备</w:t>
      </w:r>
      <w:r>
        <w:rPr>
          <w:rFonts w:hint="eastAsia" w:ascii="宋体" w:hAnsi="宋体" w:cs="宋体"/>
          <w:sz w:val="28"/>
          <w:szCs w:val="24"/>
          <w:lang w:val="en-US" w:eastAsia="zh-CN"/>
        </w:rPr>
        <w:t>研究所</w:t>
      </w:r>
      <w:r>
        <w:rPr>
          <w:rFonts w:hint="eastAsia" w:ascii="宋体" w:hAnsi="宋体" w:cs="宋体"/>
          <w:sz w:val="28"/>
          <w:szCs w:val="24"/>
        </w:rPr>
        <w:t>需材料</w:t>
      </w:r>
      <w:bookmarkEnd w:id="32"/>
    </w:p>
    <w:tbl>
      <w:tblPr>
        <w:tblStyle w:val="13"/>
        <w:tblW w:w="416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27"/>
        <w:gridCol w:w="1527"/>
        <w:gridCol w:w="21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3"/>
            <w:vAlign w:val="center"/>
          </w:tcPr>
          <w:p>
            <w:pPr>
              <w:adjustRightInd w:val="0"/>
              <w:snapToGrid w:val="0"/>
              <w:ind w:firstLine="0" w:firstLineChars="0"/>
              <w:jc w:val="center"/>
              <w:rPr>
                <w:rFonts w:hint="eastAsia" w:ascii="宋体" w:hAnsi="宋体" w:eastAsia="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材料表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12" w:type="pct"/>
            <w:vAlign w:val="center"/>
          </w:tcPr>
          <w:p>
            <w:pPr>
              <w:adjustRightInd w:val="0"/>
              <w:snapToGrid w:val="0"/>
              <w:ind w:firstLine="0" w:firstLineChars="0"/>
              <w:jc w:val="center"/>
              <w:rPr>
                <w:rFonts w:hint="eastAsia" w:ascii="宋体" w:hAnsi="宋体" w:eastAsia="宋体" w:cs="黑体"/>
                <w:color w:val="000000" w:themeColor="text1"/>
                <w:kern w:val="2"/>
                <w:sz w:val="24"/>
                <w:szCs w:val="22"/>
                <w:lang w:val="en-US" w:eastAsia="zh-CN" w:bidi="ar-SA"/>
                <w14:textFill>
                  <w14:solidFill>
                    <w14:schemeClr w14:val="tx1"/>
                  </w14:solidFill>
                </w14:textFill>
              </w:rPr>
            </w:pPr>
            <w:r>
              <w:rPr>
                <w:rFonts w:hint="eastAsia" w:ascii="宋体" w:hAnsi="宋体"/>
                <w:color w:val="000000" w:themeColor="text1"/>
                <w14:textFill>
                  <w14:solidFill>
                    <w14:schemeClr w14:val="tx1"/>
                  </w14:solidFill>
                </w14:textFill>
              </w:rPr>
              <w:t>名称</w:t>
            </w:r>
          </w:p>
        </w:tc>
        <w:tc>
          <w:tcPr>
            <w:tcW w:w="1075" w:type="pct"/>
            <w:vAlign w:val="center"/>
          </w:tcPr>
          <w:p>
            <w:pPr>
              <w:adjustRightInd w:val="0"/>
              <w:snapToGrid w:val="0"/>
              <w:ind w:firstLine="0" w:firstLineChars="0"/>
              <w:jc w:val="center"/>
              <w:rPr>
                <w:rFonts w:hint="eastAsia" w:ascii="宋体" w:hAnsi="宋体" w:eastAsia="宋体" w:cs="黑体"/>
                <w:color w:val="000000" w:themeColor="text1"/>
                <w:kern w:val="2"/>
                <w:sz w:val="24"/>
                <w:szCs w:val="22"/>
                <w:lang w:val="en-US" w:eastAsia="zh-CN" w:bidi="ar-SA"/>
                <w14:textFill>
                  <w14:solidFill>
                    <w14:schemeClr w14:val="tx1"/>
                  </w14:solidFill>
                </w14:textFill>
              </w:rPr>
            </w:pPr>
            <w:r>
              <w:rPr>
                <w:rFonts w:hint="eastAsia" w:ascii="宋体" w:hAnsi="宋体"/>
                <w:color w:val="000000" w:themeColor="text1"/>
                <w14:textFill>
                  <w14:solidFill>
                    <w14:schemeClr w14:val="tx1"/>
                  </w14:solidFill>
                </w14:textFill>
              </w:rPr>
              <w:t>单位</w:t>
            </w:r>
          </w:p>
        </w:tc>
        <w:tc>
          <w:tcPr>
            <w:tcW w:w="1512" w:type="pct"/>
            <w:vAlign w:val="center"/>
          </w:tcPr>
          <w:p>
            <w:pPr>
              <w:adjustRightInd w:val="0"/>
              <w:snapToGrid w:val="0"/>
              <w:ind w:firstLine="0" w:firstLineChars="0"/>
              <w:jc w:val="center"/>
              <w:rPr>
                <w:rFonts w:hint="eastAsia" w:ascii="宋体" w:hAnsi="宋体" w:eastAsia="宋体" w:cs="黑体"/>
                <w:color w:val="000000" w:themeColor="text1"/>
                <w:kern w:val="2"/>
                <w:sz w:val="24"/>
                <w:szCs w:val="22"/>
                <w:lang w:val="en-US" w:eastAsia="zh-CN" w:bidi="ar-SA"/>
                <w14:textFill>
                  <w14:solidFill>
                    <w14:schemeClr w14:val="tx1"/>
                  </w14:solidFill>
                </w14:textFill>
              </w:rPr>
            </w:pPr>
            <w:r>
              <w:rPr>
                <w:rFonts w:hint="eastAsia" w:ascii="宋体" w:hAnsi="宋体"/>
                <w:color w:val="000000" w:themeColor="text1"/>
                <w14:textFill>
                  <w14:solidFill>
                    <w14:schemeClr w14:val="tx1"/>
                  </w14:solidFill>
                </w14:textFill>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12" w:type="pct"/>
            <w:vAlign w:val="center"/>
          </w:tcPr>
          <w:p>
            <w:pPr>
              <w:adjustRightInd w:val="0"/>
              <w:snapToGrid w:val="0"/>
              <w:ind w:firstLine="0" w:firstLineChars="0"/>
              <w:jc w:val="center"/>
              <w:rPr>
                <w:rFonts w:ascii="宋体" w:hAnsi="宋体"/>
                <w:color w:val="000000" w:themeColor="text1"/>
                <w14:textFill>
                  <w14:solidFill>
                    <w14:schemeClr w14:val="tx1"/>
                  </w14:solidFill>
                </w14:textFill>
              </w:rPr>
            </w:pPr>
            <w:r>
              <w:rPr>
                <w:rFonts w:hint="eastAsia" w:ascii="宋体" w:hAnsi="宋体"/>
              </w:rPr>
              <w:t>一种</w:t>
            </w:r>
            <w:r>
              <w:rPr>
                <w:rFonts w:hint="eastAsia" w:ascii="宋体" w:hAnsi="宋体"/>
                <w:lang w:val="en-US" w:eastAsia="zh-CN"/>
              </w:rPr>
              <w:t>针对500kV绝缘架空地线放电间隙的通用型工具</w:t>
            </w:r>
          </w:p>
        </w:tc>
        <w:tc>
          <w:tcPr>
            <w:tcW w:w="1075" w:type="pct"/>
            <w:vAlign w:val="center"/>
          </w:tcPr>
          <w:p>
            <w:pPr>
              <w:adjustRightInd w:val="0"/>
              <w:snapToGrid w:val="0"/>
              <w:ind w:firstLine="0" w:firstLineChars="0"/>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套</w:t>
            </w:r>
          </w:p>
        </w:tc>
        <w:tc>
          <w:tcPr>
            <w:tcW w:w="1512" w:type="pct"/>
            <w:vAlign w:val="center"/>
          </w:tcPr>
          <w:p>
            <w:pPr>
              <w:adjustRightInd w:val="0"/>
              <w:snapToGrid w:val="0"/>
              <w:ind w:firstLine="0" w:firstLineChars="0"/>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w:t>
            </w:r>
          </w:p>
        </w:tc>
      </w:tr>
    </w:tbl>
    <w:p/>
    <w:p>
      <w:pPr>
        <w:pStyle w:val="5"/>
        <w:tabs>
          <w:tab w:val="left" w:pos="0"/>
        </w:tabs>
        <w:spacing w:before="0" w:after="0" w:line="360" w:lineRule="auto"/>
        <w:jc w:val="left"/>
        <w:rPr>
          <w:rFonts w:ascii="宋体" w:hAnsi="宋体" w:cs="宋体"/>
          <w:sz w:val="28"/>
          <w:szCs w:val="24"/>
        </w:rPr>
      </w:pPr>
      <w:bookmarkStart w:id="33" w:name="_Toc9929"/>
      <w:bookmarkStart w:id="54" w:name="_GoBack"/>
      <w:bookmarkEnd w:id="54"/>
      <w:r>
        <w:rPr>
          <w:rFonts w:hint="eastAsia" w:ascii="宋体" w:hAnsi="宋体" w:cs="宋体"/>
          <w:sz w:val="28"/>
          <w:szCs w:val="24"/>
          <w:lang w:val="en-US" w:eastAsia="zh-CN"/>
        </w:rPr>
        <w:t>2</w:t>
      </w:r>
      <w:r>
        <w:rPr>
          <w:rFonts w:hint="eastAsia" w:ascii="宋体" w:hAnsi="宋体" w:cs="宋体"/>
          <w:sz w:val="28"/>
          <w:szCs w:val="24"/>
        </w:rPr>
        <w:t>.5加工服务地点和期限</w:t>
      </w:r>
      <w:bookmarkEnd w:id="33"/>
    </w:p>
    <w:p>
      <w:pPr>
        <w:widowControl/>
        <w:ind w:firstLine="0" w:firstLineChars="0"/>
        <w:jc w:val="left"/>
        <w:textAlignment w:val="center"/>
        <w:rPr>
          <w:rFonts w:hint="eastAsia" w:ascii="宋体" w:hAnsi="宋体" w:cs="宋体"/>
          <w:color w:val="000000"/>
          <w:kern w:val="0"/>
          <w:szCs w:val="24"/>
          <w:highlight w:val="yellow"/>
          <w:lang w:bidi="en-AU"/>
        </w:rPr>
      </w:pPr>
      <w:r>
        <w:rPr>
          <w:rFonts w:hint="eastAsia" w:ascii="宋体" w:hAnsi="宋体" w:cs="宋体"/>
          <w:color w:val="000000"/>
          <w:kern w:val="0"/>
          <w:szCs w:val="24"/>
          <w:lang w:bidi="en-AU"/>
        </w:rPr>
        <w:t>地点：防城港市</w:t>
      </w:r>
      <w:r>
        <w:rPr>
          <w:rFonts w:hint="eastAsia" w:ascii="宋体" w:hAnsi="宋体" w:cs="宋体"/>
          <w:color w:val="000000"/>
          <w:kern w:val="0"/>
          <w:szCs w:val="24"/>
          <w:lang w:eastAsia="zh-CN" w:bidi="en-AU"/>
        </w:rPr>
        <w:t>防城区</w:t>
      </w:r>
      <w:r>
        <w:rPr>
          <w:rFonts w:hint="eastAsia" w:ascii="宋体" w:hAnsi="宋体" w:cs="宋体"/>
          <w:color w:val="000000"/>
          <w:kern w:val="0"/>
          <w:szCs w:val="24"/>
          <w:lang w:val="en-US" w:eastAsia="zh-CN" w:bidi="en-AU"/>
        </w:rPr>
        <w:t>人民路28</w:t>
      </w:r>
      <w:r>
        <w:rPr>
          <w:rFonts w:hint="eastAsia" w:ascii="宋体" w:hAnsi="宋体" w:cs="宋体"/>
          <w:color w:val="000000"/>
          <w:kern w:val="0"/>
          <w:szCs w:val="24"/>
          <w:lang w:bidi="en-AU"/>
        </w:rPr>
        <w:t>号</w:t>
      </w:r>
    </w:p>
    <w:p>
      <w:pPr>
        <w:ind w:firstLine="0" w:firstLineChars="0"/>
        <w:rPr>
          <w:rFonts w:ascii="宋体" w:hAnsi="宋体" w:cs="宋体"/>
          <w:color w:val="000000"/>
          <w:kern w:val="0"/>
          <w:szCs w:val="24"/>
          <w:lang w:bidi="en-AU"/>
        </w:rPr>
      </w:pPr>
      <w:r>
        <w:rPr>
          <w:rFonts w:hint="eastAsia" w:ascii="宋体" w:hAnsi="宋体" w:cs="宋体"/>
          <w:color w:val="000000"/>
          <w:kern w:val="0"/>
          <w:szCs w:val="24"/>
          <w:lang w:bidi="en-AU"/>
        </w:rPr>
        <w:t>服务期限：</w:t>
      </w:r>
      <w:bookmarkStart w:id="34" w:name="_Toc480800900"/>
      <w:r>
        <w:rPr>
          <w:rFonts w:hint="eastAsia" w:ascii="宋体" w:hAnsi="宋体" w:cs="宋体"/>
          <w:color w:val="000000" w:themeColor="text1"/>
          <w:szCs w:val="24"/>
          <w14:textFill>
            <w14:solidFill>
              <w14:schemeClr w14:val="tx1"/>
            </w14:solidFill>
          </w14:textFill>
        </w:rPr>
        <w:t>自合同约定之日</w:t>
      </w:r>
      <w:r>
        <w:rPr>
          <w:rFonts w:hint="eastAsia" w:ascii="宋体" w:hAnsi="宋体" w:cs="宋体"/>
          <w:color w:val="000000" w:themeColor="text1"/>
          <w:szCs w:val="24"/>
          <w:lang w:eastAsia="zh-CN"/>
          <w14:textFill>
            <w14:solidFill>
              <w14:schemeClr w14:val="tx1"/>
            </w14:solidFill>
          </w14:textFill>
        </w:rPr>
        <w:t>起</w:t>
      </w:r>
      <w:r>
        <w:rPr>
          <w:rFonts w:hint="eastAsia" w:ascii="宋体" w:hAnsi="宋体" w:cs="宋体"/>
          <w:color w:val="000000" w:themeColor="text1"/>
          <w:szCs w:val="24"/>
          <w14:textFill>
            <w14:solidFill>
              <w14:schemeClr w14:val="tx1"/>
            </w14:solidFill>
          </w14:textFill>
        </w:rPr>
        <w:t>至202</w:t>
      </w:r>
      <w:r>
        <w:rPr>
          <w:rFonts w:hint="eastAsia" w:ascii="宋体" w:hAnsi="宋体" w:cs="宋体"/>
          <w:color w:val="000000" w:themeColor="text1"/>
          <w:szCs w:val="24"/>
          <w:lang w:val="en-US" w:eastAsia="zh-CN"/>
          <w14:textFill>
            <w14:solidFill>
              <w14:schemeClr w14:val="tx1"/>
            </w14:solidFill>
          </w14:textFill>
        </w:rPr>
        <w:t>6</w:t>
      </w:r>
      <w:r>
        <w:rPr>
          <w:rFonts w:hint="eastAsia" w:ascii="宋体" w:hAnsi="宋体" w:cs="宋体"/>
          <w:color w:val="000000" w:themeColor="text1"/>
          <w:szCs w:val="24"/>
          <w14:textFill>
            <w14:solidFill>
              <w14:schemeClr w14:val="tx1"/>
            </w14:solidFill>
          </w14:textFill>
        </w:rPr>
        <w:t>年</w:t>
      </w:r>
      <w:r>
        <w:rPr>
          <w:rFonts w:hint="eastAsia" w:ascii="宋体" w:hAnsi="宋体" w:cs="宋体"/>
          <w:color w:val="000000" w:themeColor="text1"/>
          <w:szCs w:val="24"/>
          <w:lang w:val="en-US" w:eastAsia="zh-CN"/>
          <w14:textFill>
            <w14:solidFill>
              <w14:schemeClr w14:val="tx1"/>
            </w14:solidFill>
          </w14:textFill>
        </w:rPr>
        <w:t>4</w:t>
      </w:r>
      <w:r>
        <w:rPr>
          <w:rFonts w:hint="eastAsia" w:ascii="宋体" w:hAnsi="宋体" w:cs="宋体"/>
          <w:color w:val="000000" w:themeColor="text1"/>
          <w:szCs w:val="24"/>
          <w14:textFill>
            <w14:solidFill>
              <w14:schemeClr w14:val="tx1"/>
            </w14:solidFill>
          </w14:textFill>
        </w:rPr>
        <w:t>月30日</w:t>
      </w:r>
      <w:r>
        <w:rPr>
          <w:rFonts w:hint="eastAsia" w:ascii="宋体" w:hAnsi="宋体" w:cs="宋体"/>
          <w:color w:val="000000" w:themeColor="text1"/>
          <w:kern w:val="0"/>
          <w:szCs w:val="24"/>
          <w:lang w:bidi="en-AU"/>
          <w14:textFill>
            <w14:solidFill>
              <w14:schemeClr w14:val="tx1"/>
            </w14:solidFill>
          </w14:textFill>
        </w:rPr>
        <w:t>。</w:t>
      </w:r>
    </w:p>
    <w:p>
      <w:pPr>
        <w:pStyle w:val="4"/>
        <w:numPr>
          <w:ilvl w:val="0"/>
          <w:numId w:val="0"/>
        </w:numPr>
        <w:spacing w:before="0" w:after="0" w:line="360" w:lineRule="auto"/>
        <w:ind w:left="432"/>
        <w:rPr>
          <w:rFonts w:hint="eastAsia" w:ascii="Times New Roman" w:hAnsi="Times New Roman" w:cs="Times New Roman"/>
          <w:sz w:val="32"/>
          <w:szCs w:val="24"/>
        </w:rPr>
      </w:pPr>
      <w:bookmarkStart w:id="35" w:name="_Toc30991"/>
      <w:r>
        <w:rPr>
          <w:rFonts w:hint="eastAsia" w:ascii="Times New Roman" w:hAnsi="Times New Roman" w:cs="Times New Roman"/>
          <w:sz w:val="32"/>
          <w:szCs w:val="24"/>
        </w:rPr>
        <w:t>三、研究开发成果交付</w:t>
      </w:r>
      <w:bookmarkEnd w:id="34"/>
      <w:r>
        <w:rPr>
          <w:rFonts w:hint="eastAsia" w:ascii="Times New Roman" w:hAnsi="Times New Roman" w:cs="Times New Roman"/>
          <w:sz w:val="32"/>
          <w:szCs w:val="24"/>
        </w:rPr>
        <w:t>物</w:t>
      </w:r>
      <w:bookmarkEnd w:id="35"/>
    </w:p>
    <w:p>
      <w:pPr>
        <w:ind w:firstLine="480"/>
        <w:rPr>
          <w:rFonts w:ascii="宋体" w:hAnsi="宋体"/>
        </w:rPr>
      </w:pPr>
      <w:bookmarkStart w:id="36" w:name="_Toc480800901"/>
      <w:r>
        <w:rPr>
          <w:rFonts w:hint="eastAsia" w:ascii="宋体" w:hAnsi="宋体"/>
        </w:rPr>
        <w:t>研究开发成果交付的形式和数量</w:t>
      </w:r>
      <w:bookmarkEnd w:id="36"/>
    </w:p>
    <w:tbl>
      <w:tblPr>
        <w:tblStyle w:val="12"/>
        <w:tblW w:w="8406" w:type="dxa"/>
        <w:tblInd w:w="5" w:type="dxa"/>
        <w:tblLayout w:type="fixed"/>
        <w:tblCellMar>
          <w:top w:w="0" w:type="dxa"/>
          <w:left w:w="0" w:type="dxa"/>
          <w:bottom w:w="0" w:type="dxa"/>
          <w:right w:w="0" w:type="dxa"/>
        </w:tblCellMar>
      </w:tblPr>
      <w:tblGrid>
        <w:gridCol w:w="767"/>
        <w:gridCol w:w="2926"/>
        <w:gridCol w:w="1205"/>
        <w:gridCol w:w="1016"/>
        <w:gridCol w:w="1246"/>
        <w:gridCol w:w="1246"/>
      </w:tblGrid>
      <w:tr>
        <w:tblPrEx>
          <w:tblCellMar>
            <w:top w:w="0" w:type="dxa"/>
            <w:left w:w="0" w:type="dxa"/>
            <w:bottom w:w="0" w:type="dxa"/>
            <w:right w:w="0" w:type="dxa"/>
          </w:tblCellMar>
        </w:tblPrEx>
        <w:trPr>
          <w:trHeight w:val="535" w:hRule="atLeast"/>
          <w:tblHeader/>
        </w:trPr>
        <w:tc>
          <w:tcPr>
            <w:tcW w:w="767" w:type="dxa"/>
            <w:tcBorders>
              <w:top w:val="single" w:color="auto" w:sz="4" w:space="0"/>
              <w:left w:val="single" w:color="auto" w:sz="4" w:space="0"/>
              <w:bottom w:val="single" w:color="auto" w:sz="4" w:space="0"/>
              <w:right w:val="single" w:color="000000" w:sz="4" w:space="0"/>
            </w:tcBorders>
            <w:vAlign w:val="center"/>
          </w:tcPr>
          <w:p>
            <w:pPr>
              <w:ind w:firstLine="0" w:firstLineChars="0"/>
              <w:jc w:val="center"/>
              <w:rPr>
                <w:rFonts w:ascii="宋体" w:hAnsi="宋体" w:cs="宋体"/>
                <w:szCs w:val="24"/>
              </w:rPr>
            </w:pPr>
            <w:r>
              <w:rPr>
                <w:rFonts w:hint="eastAsia" w:ascii="宋体" w:hAnsi="宋体" w:cs="宋体"/>
                <w:szCs w:val="24"/>
              </w:rPr>
              <w:t>序号</w:t>
            </w:r>
          </w:p>
        </w:tc>
        <w:tc>
          <w:tcPr>
            <w:tcW w:w="2926" w:type="dxa"/>
            <w:tcBorders>
              <w:top w:val="single" w:color="000000" w:sz="4" w:space="0"/>
              <w:left w:val="nil"/>
              <w:bottom w:val="single" w:color="auto" w:sz="4" w:space="0"/>
              <w:right w:val="single" w:color="000000" w:sz="4" w:space="0"/>
            </w:tcBorders>
            <w:vAlign w:val="center"/>
          </w:tcPr>
          <w:p>
            <w:pPr>
              <w:ind w:firstLine="0" w:firstLineChars="0"/>
              <w:jc w:val="center"/>
              <w:rPr>
                <w:rFonts w:ascii="宋体" w:hAnsi="宋体" w:cs="宋体"/>
                <w:szCs w:val="24"/>
              </w:rPr>
            </w:pPr>
            <w:r>
              <w:rPr>
                <w:rFonts w:hint="eastAsia" w:ascii="宋体" w:hAnsi="宋体" w:cs="宋体"/>
                <w:szCs w:val="24"/>
              </w:rPr>
              <w:t>成果名称</w:t>
            </w:r>
          </w:p>
        </w:tc>
        <w:tc>
          <w:tcPr>
            <w:tcW w:w="1205" w:type="dxa"/>
            <w:tcBorders>
              <w:top w:val="single" w:color="000000" w:sz="4" w:space="0"/>
              <w:left w:val="single" w:color="auto" w:sz="4" w:space="0"/>
              <w:bottom w:val="single" w:color="auto" w:sz="4" w:space="0"/>
              <w:right w:val="nil"/>
            </w:tcBorders>
            <w:vAlign w:val="center"/>
          </w:tcPr>
          <w:p>
            <w:pPr>
              <w:ind w:firstLine="0" w:firstLineChars="0"/>
              <w:jc w:val="center"/>
              <w:rPr>
                <w:rFonts w:ascii="宋体" w:hAnsi="宋体" w:cs="宋体"/>
                <w:szCs w:val="24"/>
              </w:rPr>
            </w:pPr>
            <w:r>
              <w:rPr>
                <w:rFonts w:hint="eastAsia" w:ascii="宋体" w:hAnsi="宋体" w:cs="宋体"/>
                <w:szCs w:val="24"/>
              </w:rPr>
              <w:t>型号规格</w:t>
            </w:r>
          </w:p>
          <w:p>
            <w:pPr>
              <w:ind w:firstLine="0" w:firstLineChars="0"/>
              <w:jc w:val="center"/>
              <w:rPr>
                <w:rFonts w:ascii="宋体" w:hAnsi="宋体" w:cs="宋体"/>
                <w:szCs w:val="24"/>
              </w:rPr>
            </w:pPr>
            <w:r>
              <w:rPr>
                <w:rFonts w:hint="eastAsia" w:ascii="宋体" w:hAnsi="宋体" w:cs="宋体"/>
                <w:szCs w:val="24"/>
              </w:rPr>
              <w:t>（如有）</w:t>
            </w:r>
          </w:p>
        </w:tc>
        <w:tc>
          <w:tcPr>
            <w:tcW w:w="101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szCs w:val="24"/>
              </w:rPr>
            </w:pPr>
            <w:r>
              <w:rPr>
                <w:rFonts w:hint="eastAsia" w:ascii="宋体" w:hAnsi="宋体" w:cs="宋体"/>
                <w:szCs w:val="24"/>
              </w:rPr>
              <w:t>数量</w:t>
            </w:r>
          </w:p>
        </w:tc>
        <w:tc>
          <w:tcPr>
            <w:tcW w:w="124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szCs w:val="24"/>
              </w:rPr>
            </w:pPr>
            <w:r>
              <w:rPr>
                <w:rFonts w:hint="eastAsia" w:ascii="宋体" w:hAnsi="宋体" w:cs="宋体"/>
                <w:szCs w:val="24"/>
              </w:rPr>
              <w:t>交付地点</w:t>
            </w:r>
          </w:p>
        </w:tc>
        <w:tc>
          <w:tcPr>
            <w:tcW w:w="124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szCs w:val="24"/>
              </w:rPr>
            </w:pPr>
            <w:r>
              <w:rPr>
                <w:rFonts w:hint="eastAsia" w:ascii="宋体" w:hAnsi="宋体" w:cs="宋体"/>
                <w:szCs w:val="24"/>
              </w:rPr>
              <w:t>备注</w:t>
            </w:r>
          </w:p>
        </w:tc>
      </w:tr>
      <w:tr>
        <w:tblPrEx>
          <w:tblCellMar>
            <w:top w:w="0" w:type="dxa"/>
            <w:left w:w="0" w:type="dxa"/>
            <w:bottom w:w="0" w:type="dxa"/>
            <w:right w:w="0" w:type="dxa"/>
          </w:tblCellMar>
        </w:tblPrEx>
        <w:trPr>
          <w:cantSplit/>
          <w:trHeight w:val="564" w:hRule="atLeast"/>
        </w:trPr>
        <w:tc>
          <w:tcPr>
            <w:tcW w:w="767"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ascii="宋体" w:hAnsi="宋体" w:cs="宋体"/>
                <w:szCs w:val="24"/>
              </w:rPr>
            </w:pPr>
            <w:r>
              <w:rPr>
                <w:rFonts w:hint="eastAsia" w:ascii="宋体" w:hAnsi="宋体" w:cs="宋体"/>
                <w:szCs w:val="24"/>
              </w:rPr>
              <w:t>1</w:t>
            </w:r>
          </w:p>
        </w:tc>
        <w:tc>
          <w:tcPr>
            <w:tcW w:w="2926" w:type="dxa"/>
            <w:tcBorders>
              <w:top w:val="single" w:color="auto" w:sz="4" w:space="0"/>
              <w:left w:val="single" w:color="auto" w:sz="4" w:space="0"/>
              <w:bottom w:val="single" w:color="auto" w:sz="4" w:space="0"/>
              <w:right w:val="single" w:color="auto" w:sz="4" w:space="0"/>
            </w:tcBorders>
            <w:vAlign w:val="center"/>
          </w:tcPr>
          <w:p>
            <w:pPr>
              <w:ind w:firstLine="0" w:firstLineChars="0"/>
              <w:jc w:val="left"/>
              <w:rPr>
                <w:rFonts w:ascii="宋体" w:hAnsi="宋体" w:cs="宋体"/>
              </w:rPr>
            </w:pPr>
            <w:r>
              <w:rPr>
                <w:rFonts w:hint="eastAsia" w:ascii="宋体" w:hAnsi="宋体"/>
              </w:rPr>
              <w:t>一种</w:t>
            </w:r>
            <w:r>
              <w:rPr>
                <w:rFonts w:hint="eastAsia" w:ascii="宋体" w:hAnsi="宋体"/>
                <w:lang w:val="en-US" w:eastAsia="zh-CN"/>
              </w:rPr>
              <w:t>针对500kV绝缘架空地线放电间隙的通用型工具</w:t>
            </w:r>
          </w:p>
        </w:tc>
        <w:tc>
          <w:tcPr>
            <w:tcW w:w="1205"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szCs w:val="24"/>
              </w:rPr>
            </w:pPr>
            <w:r>
              <w:rPr>
                <w:rFonts w:hint="eastAsia" w:ascii="宋体" w:hAnsi="宋体" w:cs="宋体"/>
                <w:szCs w:val="24"/>
              </w:rPr>
              <w:t>/</w:t>
            </w:r>
          </w:p>
        </w:tc>
        <w:tc>
          <w:tcPr>
            <w:tcW w:w="101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szCs w:val="24"/>
              </w:rPr>
            </w:pPr>
            <w:r>
              <w:rPr>
                <w:rFonts w:hint="eastAsia" w:ascii="宋体" w:hAnsi="宋体" w:cs="宋体"/>
                <w:szCs w:val="24"/>
              </w:rPr>
              <w:t>1</w:t>
            </w:r>
          </w:p>
        </w:tc>
        <w:tc>
          <w:tcPr>
            <w:tcW w:w="124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szCs w:val="24"/>
              </w:rPr>
            </w:pPr>
            <w:r>
              <w:rPr>
                <w:rFonts w:hint="eastAsia" w:ascii="宋体" w:hAnsi="宋体" w:cs="宋体"/>
                <w:szCs w:val="24"/>
              </w:rPr>
              <w:t>防城港市</w:t>
            </w:r>
          </w:p>
        </w:tc>
        <w:tc>
          <w:tcPr>
            <w:tcW w:w="124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szCs w:val="24"/>
              </w:rPr>
            </w:pPr>
          </w:p>
        </w:tc>
      </w:tr>
      <w:tr>
        <w:tblPrEx>
          <w:tblCellMar>
            <w:top w:w="0" w:type="dxa"/>
            <w:left w:w="0" w:type="dxa"/>
            <w:bottom w:w="0" w:type="dxa"/>
            <w:right w:w="0" w:type="dxa"/>
          </w:tblCellMar>
        </w:tblPrEx>
        <w:trPr>
          <w:cantSplit/>
          <w:trHeight w:val="481" w:hRule="atLeast"/>
        </w:trPr>
        <w:tc>
          <w:tcPr>
            <w:tcW w:w="767"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ascii="宋体" w:hAnsi="宋体" w:cs="宋体"/>
                <w:szCs w:val="24"/>
              </w:rPr>
            </w:pPr>
            <w:r>
              <w:rPr>
                <w:rFonts w:hint="eastAsia" w:ascii="宋体" w:hAnsi="宋体" w:cs="宋体"/>
                <w:szCs w:val="24"/>
              </w:rPr>
              <w:t>2</w:t>
            </w:r>
          </w:p>
        </w:tc>
        <w:tc>
          <w:tcPr>
            <w:tcW w:w="2926" w:type="dxa"/>
            <w:tcBorders>
              <w:top w:val="single" w:color="auto" w:sz="4" w:space="0"/>
              <w:left w:val="single" w:color="auto" w:sz="4" w:space="0"/>
              <w:bottom w:val="single" w:color="auto" w:sz="4" w:space="0"/>
              <w:right w:val="single" w:color="auto" w:sz="4" w:space="0"/>
            </w:tcBorders>
            <w:vAlign w:val="center"/>
          </w:tcPr>
          <w:p>
            <w:pPr>
              <w:ind w:firstLine="0" w:firstLineChars="0"/>
              <w:jc w:val="left"/>
              <w:rPr>
                <w:rFonts w:ascii="宋体" w:hAnsi="宋体" w:cs="宋体"/>
              </w:rPr>
            </w:pPr>
            <w:r>
              <w:rPr>
                <w:rFonts w:hint="eastAsia" w:ascii="宋体" w:hAnsi="宋体" w:cs="宋体"/>
              </w:rPr>
              <w:t>项目工作总结报告</w:t>
            </w:r>
          </w:p>
        </w:tc>
        <w:tc>
          <w:tcPr>
            <w:tcW w:w="1205"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szCs w:val="24"/>
              </w:rPr>
            </w:pPr>
            <w:r>
              <w:rPr>
                <w:rFonts w:hint="eastAsia" w:ascii="宋体" w:hAnsi="宋体" w:cs="宋体"/>
                <w:szCs w:val="24"/>
              </w:rPr>
              <w:t>/</w:t>
            </w:r>
          </w:p>
        </w:tc>
        <w:tc>
          <w:tcPr>
            <w:tcW w:w="101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szCs w:val="24"/>
              </w:rPr>
            </w:pPr>
            <w:r>
              <w:rPr>
                <w:rFonts w:hint="eastAsia" w:ascii="宋体" w:hAnsi="宋体" w:cs="宋体"/>
                <w:szCs w:val="24"/>
              </w:rPr>
              <w:t>1</w:t>
            </w:r>
          </w:p>
        </w:tc>
        <w:tc>
          <w:tcPr>
            <w:tcW w:w="124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szCs w:val="24"/>
              </w:rPr>
            </w:pPr>
            <w:r>
              <w:rPr>
                <w:rFonts w:hint="eastAsia" w:ascii="宋体" w:hAnsi="宋体" w:cs="宋体"/>
                <w:szCs w:val="24"/>
              </w:rPr>
              <w:t>防城港市</w:t>
            </w:r>
          </w:p>
        </w:tc>
        <w:tc>
          <w:tcPr>
            <w:tcW w:w="124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szCs w:val="24"/>
              </w:rPr>
            </w:pPr>
          </w:p>
        </w:tc>
      </w:tr>
      <w:tr>
        <w:trPr>
          <w:cantSplit/>
          <w:trHeight w:val="481" w:hRule="atLeast"/>
        </w:trPr>
        <w:tc>
          <w:tcPr>
            <w:tcW w:w="767"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ascii="宋体" w:hAnsi="宋体" w:cs="宋体"/>
                <w:szCs w:val="24"/>
              </w:rPr>
            </w:pPr>
            <w:r>
              <w:rPr>
                <w:rFonts w:hint="eastAsia" w:ascii="宋体" w:hAnsi="宋体" w:cs="宋体"/>
                <w:szCs w:val="24"/>
              </w:rPr>
              <w:t>3</w:t>
            </w:r>
          </w:p>
        </w:tc>
        <w:tc>
          <w:tcPr>
            <w:tcW w:w="2926" w:type="dxa"/>
            <w:tcBorders>
              <w:top w:val="single" w:color="auto" w:sz="4" w:space="0"/>
              <w:left w:val="single" w:color="auto" w:sz="4" w:space="0"/>
              <w:bottom w:val="single" w:color="auto" w:sz="4" w:space="0"/>
              <w:right w:val="single" w:color="auto" w:sz="4" w:space="0"/>
            </w:tcBorders>
            <w:vAlign w:val="center"/>
          </w:tcPr>
          <w:p>
            <w:pPr>
              <w:ind w:firstLine="0" w:firstLineChars="0"/>
              <w:jc w:val="left"/>
              <w:rPr>
                <w:rFonts w:ascii="宋体" w:hAnsi="宋体" w:cs="宋体"/>
              </w:rPr>
            </w:pPr>
            <w:r>
              <w:rPr>
                <w:rFonts w:hint="eastAsia" w:ascii="宋体" w:hAnsi="宋体" w:cs="宋体"/>
              </w:rPr>
              <w:t>项目技术研究报告</w:t>
            </w:r>
          </w:p>
        </w:tc>
        <w:tc>
          <w:tcPr>
            <w:tcW w:w="1205"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szCs w:val="24"/>
              </w:rPr>
            </w:pPr>
            <w:r>
              <w:rPr>
                <w:rFonts w:hint="eastAsia" w:ascii="宋体" w:hAnsi="宋体" w:cs="宋体"/>
                <w:szCs w:val="24"/>
              </w:rPr>
              <w:t>/</w:t>
            </w:r>
          </w:p>
        </w:tc>
        <w:tc>
          <w:tcPr>
            <w:tcW w:w="101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szCs w:val="24"/>
              </w:rPr>
            </w:pPr>
            <w:r>
              <w:rPr>
                <w:rFonts w:hint="eastAsia" w:ascii="宋体" w:hAnsi="宋体" w:cs="宋体"/>
                <w:szCs w:val="24"/>
              </w:rPr>
              <w:t>1</w:t>
            </w:r>
          </w:p>
        </w:tc>
        <w:tc>
          <w:tcPr>
            <w:tcW w:w="124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szCs w:val="24"/>
              </w:rPr>
            </w:pPr>
            <w:r>
              <w:rPr>
                <w:rFonts w:hint="eastAsia" w:ascii="宋体" w:hAnsi="宋体" w:cs="宋体"/>
                <w:szCs w:val="24"/>
              </w:rPr>
              <w:t>防城港市</w:t>
            </w:r>
          </w:p>
        </w:tc>
        <w:tc>
          <w:tcPr>
            <w:tcW w:w="124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szCs w:val="24"/>
              </w:rPr>
            </w:pPr>
          </w:p>
        </w:tc>
      </w:tr>
    </w:tbl>
    <w:p>
      <w:pPr>
        <w:pStyle w:val="4"/>
        <w:numPr>
          <w:ilvl w:val="0"/>
          <w:numId w:val="0"/>
        </w:numPr>
        <w:spacing w:before="0" w:after="0" w:line="360" w:lineRule="auto"/>
        <w:ind w:left="432"/>
        <w:rPr>
          <w:rFonts w:ascii="Times New Roman" w:hAnsi="Times New Roman" w:cs="Times New Roman"/>
          <w:sz w:val="32"/>
          <w:szCs w:val="24"/>
        </w:rPr>
      </w:pPr>
      <w:bookmarkStart w:id="37" w:name="_Toc19644"/>
      <w:r>
        <w:rPr>
          <w:rFonts w:hint="eastAsia" w:ascii="Times New Roman" w:hAnsi="Times New Roman" w:cs="Times New Roman"/>
          <w:sz w:val="32"/>
          <w:szCs w:val="24"/>
        </w:rPr>
        <w:t>四、开发人员</w:t>
      </w:r>
      <w:bookmarkEnd w:id="37"/>
    </w:p>
    <w:p>
      <w:pPr>
        <w:ind w:firstLine="480"/>
        <w:rPr>
          <w:rFonts w:ascii="宋体" w:hAnsi="宋体"/>
          <w:highlight w:val="yellow"/>
        </w:rPr>
      </w:pPr>
      <w:r>
        <w:rPr>
          <w:rFonts w:ascii="宋体" w:hAnsi="宋体"/>
        </w:rPr>
        <w:t xml:space="preserve"> </w:t>
      </w:r>
      <w:r>
        <w:rPr>
          <w:rFonts w:hint="eastAsia" w:ascii="宋体" w:hAnsi="宋体"/>
        </w:rPr>
        <w:t>4.1投</w:t>
      </w:r>
      <w:r>
        <w:rPr>
          <w:rFonts w:ascii="宋体" w:hAnsi="宋体"/>
        </w:rPr>
        <w:t>标方应在投标时提供投入本项目</w:t>
      </w:r>
      <w:r>
        <w:rPr>
          <w:rFonts w:hint="eastAsia" w:ascii="宋体" w:hAnsi="宋体"/>
        </w:rPr>
        <w:t>工作</w:t>
      </w:r>
      <w:r>
        <w:rPr>
          <w:rFonts w:ascii="宋体" w:hAnsi="宋体"/>
        </w:rPr>
        <w:t>的项目组人员名单，</w:t>
      </w:r>
      <w:r>
        <w:rPr>
          <w:rFonts w:hint="eastAsia" w:ascii="宋体" w:hAnsi="宋体"/>
        </w:rPr>
        <w:t>列入</w:t>
      </w:r>
      <w:r>
        <w:rPr>
          <w:rFonts w:ascii="宋体" w:hAnsi="宋体"/>
        </w:rPr>
        <w:t>名单的人员应专职于本项目工作，</w:t>
      </w:r>
      <w:r>
        <w:rPr>
          <w:rFonts w:hint="eastAsia" w:ascii="宋体" w:hAnsi="宋体"/>
        </w:rPr>
        <w:t>专职</w:t>
      </w:r>
      <w:r>
        <w:rPr>
          <w:rFonts w:ascii="宋体" w:hAnsi="宋体"/>
        </w:rPr>
        <w:t>开发人员人数</w:t>
      </w:r>
      <w:r>
        <w:rPr>
          <w:rFonts w:hint="eastAsia" w:ascii="宋体" w:hAnsi="宋体"/>
        </w:rPr>
        <w:t>占名单总</w:t>
      </w:r>
      <w:r>
        <w:rPr>
          <w:rFonts w:ascii="宋体" w:hAnsi="宋体"/>
        </w:rPr>
        <w:t>人数</w:t>
      </w:r>
      <w:r>
        <w:rPr>
          <w:rFonts w:hint="eastAsia" w:ascii="宋体" w:hAnsi="宋体"/>
        </w:rPr>
        <w:t>比例</w:t>
      </w:r>
      <w:r>
        <w:rPr>
          <w:rFonts w:ascii="宋体" w:hAnsi="宋体"/>
        </w:rPr>
        <w:t>不得少于</w:t>
      </w:r>
      <w:r>
        <w:rPr>
          <w:rFonts w:hint="eastAsia" w:ascii="宋体" w:hAnsi="宋体"/>
        </w:rPr>
        <w:t>60%，</w:t>
      </w:r>
      <w:r>
        <w:rPr>
          <w:rFonts w:ascii="宋体" w:hAnsi="宋体"/>
        </w:rPr>
        <w:t>在项目验收未通过前，该</w:t>
      </w:r>
      <w:r>
        <w:rPr>
          <w:rFonts w:hint="eastAsia" w:ascii="宋体" w:hAnsi="宋体"/>
        </w:rPr>
        <w:t>名单</w:t>
      </w:r>
      <w:r>
        <w:rPr>
          <w:rFonts w:ascii="宋体" w:hAnsi="宋体"/>
        </w:rPr>
        <w:t>中</w:t>
      </w:r>
      <w:r>
        <w:rPr>
          <w:rFonts w:hint="eastAsia" w:ascii="宋体" w:hAnsi="宋体"/>
        </w:rPr>
        <w:t>的</w:t>
      </w:r>
      <w:r>
        <w:rPr>
          <w:rFonts w:ascii="宋体" w:hAnsi="宋体"/>
        </w:rPr>
        <w:t>人员变动不得超过</w:t>
      </w:r>
      <w:r>
        <w:rPr>
          <w:rFonts w:hint="eastAsia" w:ascii="宋体" w:hAnsi="宋体"/>
        </w:rPr>
        <w:t>25%。</w:t>
      </w:r>
    </w:p>
    <w:p>
      <w:pPr>
        <w:pStyle w:val="4"/>
        <w:numPr>
          <w:ilvl w:val="0"/>
          <w:numId w:val="0"/>
        </w:numPr>
        <w:spacing w:before="0" w:after="0" w:line="360" w:lineRule="auto"/>
        <w:ind w:left="432"/>
        <w:rPr>
          <w:rFonts w:ascii="Times New Roman" w:hAnsi="Times New Roman" w:cs="Times New Roman"/>
          <w:sz w:val="32"/>
          <w:szCs w:val="24"/>
        </w:rPr>
      </w:pPr>
      <w:bookmarkStart w:id="38" w:name="_Toc22506"/>
      <w:bookmarkStart w:id="39" w:name="_Toc444945521"/>
      <w:r>
        <w:rPr>
          <w:rFonts w:hint="eastAsia" w:ascii="Times New Roman" w:hAnsi="Times New Roman" w:cs="Times New Roman"/>
          <w:sz w:val="32"/>
          <w:szCs w:val="24"/>
        </w:rPr>
        <w:t>五、投标技术文件编制要求</w:t>
      </w:r>
      <w:bookmarkEnd w:id="38"/>
      <w:bookmarkEnd w:id="39"/>
    </w:p>
    <w:p>
      <w:pPr>
        <w:pStyle w:val="18"/>
        <w:spacing w:line="360" w:lineRule="auto"/>
        <w:ind w:firstLine="480"/>
        <w:rPr>
          <w:rFonts w:eastAsia="宋体" w:cs="Times New Roman"/>
          <w:szCs w:val="24"/>
        </w:rPr>
      </w:pPr>
      <w:r>
        <w:rPr>
          <w:rFonts w:hint="eastAsia" w:eastAsia="宋体" w:cs="Times New Roman"/>
          <w:szCs w:val="24"/>
        </w:rPr>
        <w:t>投标方可以到现场实地考察，并根据科技项目研发总体目标和招标技术文件提出自己的技术研究方案、工程施工方案、工程进度表和商务报价，技术文件应包含（不仅限于）以下内容：</w:t>
      </w:r>
    </w:p>
    <w:p>
      <w:pPr>
        <w:ind w:firstLine="480"/>
        <w:rPr>
          <w:rFonts w:ascii="Times New Roman" w:hAnsi="Times New Roman" w:cs="Times New Roman"/>
          <w:szCs w:val="24"/>
        </w:rPr>
      </w:pPr>
      <w:r>
        <w:rPr>
          <w:rFonts w:hint="eastAsia" w:ascii="Times New Roman" w:hAnsi="Times New Roman" w:cs="Times New Roman"/>
          <w:szCs w:val="24"/>
        </w:rPr>
        <w:t>5.1</w:t>
      </w:r>
      <w:r>
        <w:rPr>
          <w:rFonts w:ascii="Times New Roman" w:hAnsi="Times New Roman" w:cs="Times New Roman"/>
          <w:szCs w:val="24"/>
        </w:rPr>
        <w:t xml:space="preserve"> </w:t>
      </w:r>
      <w:r>
        <w:rPr>
          <w:rFonts w:hint="eastAsia" w:ascii="Times New Roman" w:hAnsi="Times New Roman" w:cs="Times New Roman"/>
          <w:szCs w:val="24"/>
        </w:rPr>
        <w:t>研究内容</w:t>
      </w:r>
    </w:p>
    <w:p>
      <w:pPr>
        <w:pStyle w:val="19"/>
        <w:numPr>
          <w:ilvl w:val="0"/>
          <w:numId w:val="2"/>
        </w:numPr>
        <w:ind w:left="0" w:firstLine="480"/>
        <w:rPr>
          <w:rFonts w:ascii="Times New Roman" w:hAnsi="Times New Roman" w:cs="Times New Roman"/>
          <w:szCs w:val="24"/>
        </w:rPr>
      </w:pPr>
      <w:r>
        <w:rPr>
          <w:rFonts w:hint="eastAsia" w:ascii="Times New Roman" w:hAnsi="Times New Roman" w:cs="Times New Roman"/>
          <w:szCs w:val="24"/>
        </w:rPr>
        <w:t>国内外相关技术研究现状、发展趋势</w:t>
      </w:r>
    </w:p>
    <w:p>
      <w:pPr>
        <w:pStyle w:val="19"/>
        <w:numPr>
          <w:ilvl w:val="0"/>
          <w:numId w:val="2"/>
        </w:numPr>
        <w:ind w:left="0" w:firstLine="480"/>
        <w:rPr>
          <w:rFonts w:ascii="Times New Roman" w:hAnsi="Times New Roman" w:cs="Times New Roman"/>
          <w:szCs w:val="24"/>
        </w:rPr>
      </w:pPr>
      <w:r>
        <w:rPr>
          <w:rFonts w:hint="eastAsia" w:ascii="Times New Roman" w:hAnsi="Times New Roman" w:cs="Times New Roman"/>
          <w:szCs w:val="24"/>
        </w:rPr>
        <w:t>招标项目需解决的关键技术问题</w:t>
      </w:r>
    </w:p>
    <w:p>
      <w:pPr>
        <w:ind w:firstLine="480"/>
        <w:rPr>
          <w:rFonts w:ascii="Times New Roman" w:hAnsi="Times New Roman" w:cs="Times New Roman"/>
          <w:szCs w:val="24"/>
        </w:rPr>
      </w:pPr>
      <w:r>
        <w:rPr>
          <w:rFonts w:hint="eastAsia" w:ascii="Times New Roman" w:hAnsi="Times New Roman" w:cs="Times New Roman"/>
          <w:szCs w:val="24"/>
        </w:rPr>
        <w:t>5.</w:t>
      </w:r>
      <w:r>
        <w:rPr>
          <w:rFonts w:ascii="Times New Roman" w:hAnsi="Times New Roman" w:cs="Times New Roman"/>
          <w:szCs w:val="24"/>
        </w:rPr>
        <w:t xml:space="preserve">2 </w:t>
      </w:r>
      <w:r>
        <w:rPr>
          <w:rFonts w:hint="eastAsia" w:ascii="Times New Roman" w:hAnsi="Times New Roman" w:cs="Times New Roman"/>
          <w:szCs w:val="24"/>
        </w:rPr>
        <w:t>研究思路与技术路线</w:t>
      </w:r>
    </w:p>
    <w:p>
      <w:pPr>
        <w:pStyle w:val="19"/>
        <w:numPr>
          <w:ilvl w:val="0"/>
          <w:numId w:val="3"/>
        </w:numPr>
        <w:ind w:left="0" w:firstLine="480"/>
        <w:rPr>
          <w:rFonts w:ascii="Times New Roman" w:hAnsi="Times New Roman" w:cs="Times New Roman"/>
          <w:szCs w:val="24"/>
        </w:rPr>
      </w:pPr>
      <w:r>
        <w:rPr>
          <w:rFonts w:hint="eastAsia" w:ascii="Times New Roman" w:hAnsi="Times New Roman" w:cs="Times New Roman"/>
          <w:szCs w:val="24"/>
        </w:rPr>
        <w:t>研究思路</w:t>
      </w:r>
    </w:p>
    <w:p>
      <w:pPr>
        <w:pStyle w:val="19"/>
        <w:numPr>
          <w:ilvl w:val="0"/>
          <w:numId w:val="3"/>
        </w:numPr>
        <w:ind w:left="0" w:firstLine="480"/>
        <w:rPr>
          <w:rFonts w:ascii="Times New Roman" w:hAnsi="Times New Roman" w:cs="Times New Roman"/>
          <w:szCs w:val="24"/>
        </w:rPr>
      </w:pPr>
      <w:r>
        <w:rPr>
          <w:rFonts w:hint="eastAsia" w:ascii="Times New Roman" w:hAnsi="Times New Roman" w:cs="Times New Roman"/>
          <w:szCs w:val="24"/>
        </w:rPr>
        <w:t>技术路线</w:t>
      </w:r>
    </w:p>
    <w:p>
      <w:pPr>
        <w:ind w:firstLine="480"/>
        <w:rPr>
          <w:rFonts w:ascii="Times New Roman" w:hAnsi="Times New Roman" w:cs="Times New Roman"/>
          <w:szCs w:val="24"/>
        </w:rPr>
      </w:pPr>
      <w:r>
        <w:rPr>
          <w:rFonts w:hint="eastAsia" w:ascii="宋体" w:hAnsi="宋体" w:cs="宋体"/>
          <w:szCs w:val="24"/>
        </w:rPr>
        <w:t>①</w:t>
      </w:r>
      <w:r>
        <w:rPr>
          <w:rFonts w:ascii="Times New Roman" w:hAnsi="Times New Roman" w:cs="Times New Roman"/>
          <w:szCs w:val="24"/>
        </w:rPr>
        <w:t xml:space="preserve"> </w:t>
      </w:r>
      <w:r>
        <w:rPr>
          <w:rFonts w:hint="eastAsia" w:ascii="Times New Roman" w:hAnsi="Times New Roman" w:cs="Times New Roman"/>
          <w:szCs w:val="24"/>
        </w:rPr>
        <w:t>研究开发技术路线的选定</w:t>
      </w:r>
    </w:p>
    <w:p>
      <w:pPr>
        <w:ind w:firstLine="480"/>
        <w:rPr>
          <w:rFonts w:ascii="Times New Roman" w:hAnsi="Times New Roman" w:cs="Times New Roman"/>
          <w:szCs w:val="24"/>
        </w:rPr>
      </w:pPr>
      <w:r>
        <w:rPr>
          <w:rFonts w:hint="eastAsia" w:ascii="Times New Roman" w:hAnsi="Times New Roman" w:cs="Times New Roman"/>
          <w:szCs w:val="24"/>
        </w:rPr>
        <w:t>详细描述项目的技术路线</w:t>
      </w:r>
      <w:r>
        <w:rPr>
          <w:rFonts w:ascii="Times New Roman" w:hAnsi="Times New Roman" w:cs="Times New Roman"/>
          <w:szCs w:val="24"/>
        </w:rPr>
        <w:t>(</w:t>
      </w:r>
      <w:r>
        <w:rPr>
          <w:rFonts w:hint="eastAsia" w:ascii="Times New Roman" w:hAnsi="Times New Roman" w:cs="Times New Roman"/>
          <w:szCs w:val="24"/>
        </w:rPr>
        <w:t>可加图示</w:t>
      </w:r>
      <w:r>
        <w:rPr>
          <w:rFonts w:ascii="Times New Roman" w:hAnsi="Times New Roman" w:cs="Times New Roman"/>
          <w:szCs w:val="24"/>
        </w:rPr>
        <w:t>)</w:t>
      </w:r>
      <w:r>
        <w:rPr>
          <w:rFonts w:hint="eastAsia" w:ascii="Times New Roman" w:hAnsi="Times New Roman" w:cs="Times New Roman"/>
          <w:szCs w:val="24"/>
        </w:rPr>
        <w:t>；分析比较不同技术路线在工艺、技术、经济方面等情况，确定最佳技术路线。</w:t>
      </w:r>
    </w:p>
    <w:p>
      <w:pPr>
        <w:ind w:firstLine="480"/>
        <w:rPr>
          <w:rFonts w:ascii="Times New Roman" w:hAnsi="Times New Roman" w:cs="Times New Roman"/>
          <w:szCs w:val="24"/>
        </w:rPr>
      </w:pPr>
      <w:r>
        <w:rPr>
          <w:rFonts w:hint="eastAsia" w:ascii="宋体" w:hAnsi="宋体" w:cs="宋体"/>
          <w:szCs w:val="24"/>
        </w:rPr>
        <w:t>②</w:t>
      </w:r>
      <w:r>
        <w:rPr>
          <w:rFonts w:ascii="Times New Roman" w:hAnsi="Times New Roman" w:cs="Times New Roman"/>
          <w:szCs w:val="24"/>
        </w:rPr>
        <w:t xml:space="preserve"> </w:t>
      </w:r>
      <w:r>
        <w:rPr>
          <w:rFonts w:hint="eastAsia" w:ascii="Times New Roman" w:hAnsi="Times New Roman" w:cs="Times New Roman"/>
          <w:szCs w:val="24"/>
        </w:rPr>
        <w:t>研究开发技术方案的制定</w:t>
      </w:r>
    </w:p>
    <w:p>
      <w:pPr>
        <w:ind w:firstLine="480"/>
        <w:rPr>
          <w:rFonts w:ascii="Times New Roman" w:hAnsi="Times New Roman" w:cs="Times New Roman"/>
          <w:szCs w:val="24"/>
        </w:rPr>
      </w:pPr>
      <w:r>
        <w:rPr>
          <w:rFonts w:hint="eastAsia" w:ascii="Times New Roman" w:hAnsi="Times New Roman" w:cs="Times New Roman"/>
          <w:szCs w:val="24"/>
        </w:rPr>
        <w:t>技术方案是为实现所确定的技术路线而采取的具体技术方法、工艺流程和预计实现的技术参数，包括相关工艺、设备配备方案等。</w:t>
      </w:r>
    </w:p>
    <w:p>
      <w:pPr>
        <w:ind w:firstLine="480"/>
        <w:rPr>
          <w:rFonts w:ascii="Times New Roman" w:hAnsi="Times New Roman" w:cs="Times New Roman"/>
          <w:szCs w:val="24"/>
        </w:rPr>
      </w:pPr>
      <w:r>
        <w:rPr>
          <w:rFonts w:hint="eastAsia" w:ascii="宋体" w:hAnsi="宋体" w:cs="宋体"/>
          <w:szCs w:val="24"/>
        </w:rPr>
        <w:t>③</w:t>
      </w:r>
      <w:r>
        <w:rPr>
          <w:rFonts w:ascii="Times New Roman" w:hAnsi="Times New Roman" w:cs="Times New Roman"/>
          <w:szCs w:val="24"/>
        </w:rPr>
        <w:t xml:space="preserve"> </w:t>
      </w:r>
      <w:r>
        <w:rPr>
          <w:rFonts w:hint="eastAsia" w:ascii="Times New Roman" w:hAnsi="Times New Roman" w:cs="Times New Roman"/>
          <w:szCs w:val="24"/>
        </w:rPr>
        <w:t>关键技术的解决途径</w:t>
      </w:r>
    </w:p>
    <w:p>
      <w:pPr>
        <w:ind w:firstLine="480"/>
        <w:rPr>
          <w:rFonts w:ascii="Times New Roman" w:hAnsi="Times New Roman" w:cs="Times New Roman"/>
          <w:szCs w:val="24"/>
        </w:rPr>
      </w:pPr>
      <w:r>
        <w:rPr>
          <w:rFonts w:hint="eastAsia" w:ascii="Times New Roman" w:hAnsi="Times New Roman" w:cs="Times New Roman"/>
          <w:szCs w:val="24"/>
        </w:rPr>
        <w:t>详细说明在投标项目研究中可能存在的技术关键问题，在示范工程等研究中可能存在的关键</w:t>
      </w:r>
      <w:r>
        <w:rPr>
          <w:rFonts w:ascii="Times New Roman" w:hAnsi="Times New Roman" w:cs="Times New Roman"/>
          <w:szCs w:val="24"/>
        </w:rPr>
        <w:t>(</w:t>
      </w:r>
      <w:r>
        <w:rPr>
          <w:rFonts w:hint="eastAsia" w:ascii="Times New Roman" w:hAnsi="Times New Roman" w:cs="Times New Roman"/>
          <w:szCs w:val="24"/>
        </w:rPr>
        <w:t>瓶颈</w:t>
      </w:r>
      <w:r>
        <w:rPr>
          <w:rFonts w:ascii="Times New Roman" w:hAnsi="Times New Roman" w:cs="Times New Roman"/>
          <w:szCs w:val="24"/>
        </w:rPr>
        <w:t>)</w:t>
      </w:r>
      <w:r>
        <w:rPr>
          <w:rFonts w:hint="eastAsia" w:ascii="Times New Roman" w:hAnsi="Times New Roman" w:cs="Times New Roman"/>
          <w:szCs w:val="24"/>
        </w:rPr>
        <w:t>问题和项目研究存在的风险，以及为解决这些关键问题所设计的方案、途径，规避风险的措施。</w:t>
      </w:r>
    </w:p>
    <w:p>
      <w:pPr>
        <w:ind w:firstLine="480"/>
        <w:rPr>
          <w:rFonts w:ascii="Times New Roman" w:hAnsi="Times New Roman" w:cs="Times New Roman"/>
          <w:szCs w:val="24"/>
        </w:rPr>
      </w:pPr>
      <w:r>
        <w:rPr>
          <w:rFonts w:hint="eastAsia" w:ascii="Times New Roman" w:hAnsi="Times New Roman" w:cs="Times New Roman"/>
          <w:szCs w:val="24"/>
        </w:rPr>
        <w:t>5.</w:t>
      </w:r>
      <w:r>
        <w:rPr>
          <w:rFonts w:ascii="Times New Roman" w:hAnsi="Times New Roman" w:cs="Times New Roman"/>
          <w:szCs w:val="24"/>
        </w:rPr>
        <w:t xml:space="preserve">3 </w:t>
      </w:r>
      <w:r>
        <w:rPr>
          <w:rFonts w:hint="eastAsia" w:ascii="Times New Roman" w:hAnsi="Times New Roman" w:cs="Times New Roman"/>
          <w:szCs w:val="24"/>
        </w:rPr>
        <w:t>研究进度目标及指标</w:t>
      </w:r>
    </w:p>
    <w:p>
      <w:pPr>
        <w:ind w:firstLine="480"/>
        <w:rPr>
          <w:rFonts w:ascii="Times New Roman" w:hAnsi="Times New Roman" w:cs="Times New Roman"/>
          <w:szCs w:val="24"/>
        </w:rPr>
      </w:pPr>
      <w:r>
        <w:rPr>
          <w:rFonts w:hint="eastAsia" w:ascii="Times New Roman" w:hAnsi="Times New Roman" w:cs="Times New Roman"/>
          <w:szCs w:val="24"/>
        </w:rPr>
        <w:t>描述项目各项工作的进展计划，并明确标出完成各项工作预计所需时间及达到的阶段目标及项目结束时所要达到的总目标。</w:t>
      </w:r>
    </w:p>
    <w:p>
      <w:pPr>
        <w:ind w:firstLine="480"/>
        <w:rPr>
          <w:rFonts w:ascii="Times New Roman" w:hAnsi="Times New Roman" w:cs="Times New Roman"/>
          <w:szCs w:val="24"/>
        </w:rPr>
      </w:pPr>
      <w:r>
        <w:rPr>
          <w:rFonts w:hint="eastAsia" w:ascii="Times New Roman" w:hAnsi="Times New Roman" w:cs="Times New Roman"/>
          <w:szCs w:val="24"/>
        </w:rPr>
        <w:t>指标：与招标方提出的功能要求、主要技术经济指标的响应情况。</w:t>
      </w:r>
    </w:p>
    <w:p>
      <w:pPr>
        <w:spacing w:before="156" w:beforeLines="50" w:line="300" w:lineRule="auto"/>
        <w:ind w:firstLine="480"/>
        <w:jc w:val="center"/>
        <w:rPr>
          <w:rFonts w:ascii="宋体" w:hAnsi="宋体"/>
          <w:szCs w:val="21"/>
        </w:rPr>
      </w:pPr>
      <w:r>
        <w:rPr>
          <w:rFonts w:hint="eastAsia" w:ascii="宋体" w:hAnsi="宋体"/>
          <w:szCs w:val="21"/>
        </w:rPr>
        <w:t>技术参数响应表</w:t>
      </w:r>
    </w:p>
    <w:tbl>
      <w:tblPr>
        <w:tblStyle w:val="13"/>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3"/>
        <w:gridCol w:w="2345"/>
        <w:gridCol w:w="1704"/>
        <w:gridCol w:w="1705"/>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3" w:type="dxa"/>
          </w:tcPr>
          <w:p>
            <w:pPr>
              <w:spacing w:before="44" w:after="44"/>
              <w:ind w:firstLine="360"/>
              <w:jc w:val="left"/>
              <w:rPr>
                <w:rFonts w:ascii="宋体" w:hAnsi="宋体"/>
                <w:szCs w:val="21"/>
              </w:rPr>
            </w:pPr>
            <w:r>
              <w:rPr>
                <w:rFonts w:hint="eastAsia" w:ascii="宋体" w:hAnsi="宋体" w:cs="宋体"/>
                <w:kern w:val="1"/>
                <w:sz w:val="18"/>
                <w:szCs w:val="18"/>
              </w:rPr>
              <w:t>序号</w:t>
            </w:r>
          </w:p>
        </w:tc>
        <w:tc>
          <w:tcPr>
            <w:tcW w:w="2345" w:type="dxa"/>
          </w:tcPr>
          <w:p>
            <w:pPr>
              <w:spacing w:before="44" w:after="44"/>
              <w:ind w:firstLine="360"/>
              <w:jc w:val="left"/>
              <w:rPr>
                <w:rFonts w:ascii="宋体" w:hAnsi="宋体"/>
                <w:szCs w:val="21"/>
              </w:rPr>
            </w:pPr>
            <w:r>
              <w:rPr>
                <w:rFonts w:hint="eastAsia" w:ascii="宋体" w:hAnsi="宋体" w:cs="宋体"/>
                <w:kern w:val="1"/>
                <w:sz w:val="18"/>
                <w:szCs w:val="18"/>
              </w:rPr>
              <w:t>交付成果名称</w:t>
            </w:r>
          </w:p>
        </w:tc>
        <w:tc>
          <w:tcPr>
            <w:tcW w:w="1704" w:type="dxa"/>
          </w:tcPr>
          <w:p>
            <w:pPr>
              <w:ind w:firstLine="360"/>
              <w:jc w:val="left"/>
              <w:rPr>
                <w:rFonts w:ascii="宋体" w:hAnsi="宋体"/>
                <w:szCs w:val="21"/>
              </w:rPr>
            </w:pPr>
            <w:r>
              <w:rPr>
                <w:rFonts w:hint="eastAsia" w:ascii="宋体" w:hAnsi="宋体" w:cs="宋体"/>
                <w:kern w:val="1"/>
                <w:sz w:val="18"/>
                <w:szCs w:val="18"/>
              </w:rPr>
              <w:t>招标人要求值</w:t>
            </w:r>
          </w:p>
        </w:tc>
        <w:tc>
          <w:tcPr>
            <w:tcW w:w="1705" w:type="dxa"/>
          </w:tcPr>
          <w:p>
            <w:pPr>
              <w:spacing w:before="44" w:after="44"/>
              <w:ind w:firstLine="360"/>
              <w:jc w:val="left"/>
              <w:rPr>
                <w:rFonts w:ascii="宋体" w:hAnsi="宋体"/>
                <w:szCs w:val="21"/>
              </w:rPr>
            </w:pPr>
            <w:r>
              <w:rPr>
                <w:rFonts w:hint="eastAsia" w:ascii="宋体" w:hAnsi="宋体" w:cs="宋体"/>
                <w:kern w:val="1"/>
                <w:sz w:val="18"/>
                <w:szCs w:val="18"/>
              </w:rPr>
              <w:t>投标人</w:t>
            </w:r>
            <w:r>
              <w:rPr>
                <w:rFonts w:ascii="宋体" w:hAnsi="宋体" w:cs="宋体"/>
                <w:kern w:val="1"/>
                <w:sz w:val="18"/>
                <w:szCs w:val="18"/>
              </w:rPr>
              <w:t>保证值</w:t>
            </w:r>
          </w:p>
        </w:tc>
        <w:tc>
          <w:tcPr>
            <w:tcW w:w="1705" w:type="dxa"/>
          </w:tcPr>
          <w:p>
            <w:pPr>
              <w:spacing w:before="44" w:after="44"/>
              <w:ind w:firstLine="360"/>
              <w:jc w:val="left"/>
              <w:rPr>
                <w:rFonts w:ascii="宋体" w:hAnsi="宋体"/>
                <w:szCs w:val="21"/>
              </w:rPr>
            </w:pPr>
            <w:r>
              <w:rPr>
                <w:rFonts w:hint="eastAsia" w:ascii="宋体" w:hAnsi="宋体" w:cs="宋体"/>
                <w:kern w:val="1"/>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3" w:type="dxa"/>
          </w:tcPr>
          <w:p>
            <w:pPr>
              <w:spacing w:before="156" w:beforeLines="50" w:line="300" w:lineRule="auto"/>
              <w:ind w:firstLine="480"/>
              <w:rPr>
                <w:rFonts w:ascii="宋体" w:hAnsi="宋体"/>
                <w:szCs w:val="21"/>
              </w:rPr>
            </w:pPr>
            <w:r>
              <w:rPr>
                <w:rFonts w:hint="eastAsia" w:ascii="宋体" w:hAnsi="宋体"/>
                <w:szCs w:val="21"/>
              </w:rPr>
              <w:t>1</w:t>
            </w:r>
          </w:p>
        </w:tc>
        <w:tc>
          <w:tcPr>
            <w:tcW w:w="2345" w:type="dxa"/>
          </w:tcPr>
          <w:p>
            <w:pPr>
              <w:spacing w:before="156" w:beforeLines="50" w:line="240" w:lineRule="auto"/>
              <w:ind w:firstLine="0" w:firstLineChars="0"/>
              <w:rPr>
                <w:rFonts w:ascii="宋体" w:hAnsi="宋体"/>
                <w:szCs w:val="21"/>
              </w:rPr>
            </w:pPr>
            <w:r>
              <w:rPr>
                <w:rFonts w:hint="eastAsia" w:ascii="宋体" w:hAnsi="宋体"/>
              </w:rPr>
              <w:t>一种</w:t>
            </w:r>
            <w:r>
              <w:rPr>
                <w:rFonts w:hint="eastAsia" w:ascii="宋体" w:hAnsi="宋体"/>
                <w:lang w:val="en-US" w:eastAsia="zh-CN"/>
              </w:rPr>
              <w:t>针对500kV绝缘架空地线放电间隙的通用型工具</w:t>
            </w:r>
          </w:p>
        </w:tc>
        <w:tc>
          <w:tcPr>
            <w:tcW w:w="1704" w:type="dxa"/>
          </w:tcPr>
          <w:p>
            <w:pPr>
              <w:spacing w:before="156" w:beforeLines="50" w:line="240" w:lineRule="auto"/>
              <w:ind w:firstLine="0" w:firstLineChars="0"/>
              <w:rPr>
                <w:rFonts w:ascii="宋体" w:hAnsi="宋体"/>
                <w:szCs w:val="21"/>
              </w:rPr>
            </w:pPr>
            <w:r>
              <w:rPr>
                <w:rFonts w:hint="eastAsia" w:ascii="宋体" w:hAnsi="宋体"/>
                <w:szCs w:val="21"/>
              </w:rPr>
              <w:t>达到技术指标要求</w:t>
            </w:r>
          </w:p>
        </w:tc>
        <w:tc>
          <w:tcPr>
            <w:tcW w:w="1705" w:type="dxa"/>
          </w:tcPr>
          <w:p>
            <w:pPr>
              <w:spacing w:before="156" w:beforeLines="50" w:line="300" w:lineRule="auto"/>
              <w:ind w:firstLine="480"/>
              <w:jc w:val="center"/>
              <w:rPr>
                <w:rFonts w:ascii="宋体" w:hAnsi="宋体"/>
                <w:szCs w:val="21"/>
              </w:rPr>
            </w:pPr>
          </w:p>
        </w:tc>
        <w:tc>
          <w:tcPr>
            <w:tcW w:w="1705" w:type="dxa"/>
          </w:tcPr>
          <w:p>
            <w:pPr>
              <w:spacing w:before="156" w:beforeLines="50" w:line="300" w:lineRule="auto"/>
              <w:ind w:firstLine="480"/>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3" w:type="dxa"/>
          </w:tcPr>
          <w:p>
            <w:pPr>
              <w:spacing w:before="156" w:beforeLines="50" w:line="300" w:lineRule="auto"/>
              <w:ind w:firstLine="480"/>
              <w:jc w:val="center"/>
              <w:rPr>
                <w:rFonts w:ascii="宋体" w:hAnsi="宋体"/>
                <w:szCs w:val="21"/>
              </w:rPr>
            </w:pPr>
          </w:p>
        </w:tc>
        <w:tc>
          <w:tcPr>
            <w:tcW w:w="2345" w:type="dxa"/>
          </w:tcPr>
          <w:p>
            <w:pPr>
              <w:spacing w:before="156" w:beforeLines="50" w:line="300" w:lineRule="auto"/>
              <w:ind w:firstLine="480"/>
              <w:jc w:val="center"/>
              <w:rPr>
                <w:rFonts w:ascii="宋体" w:hAnsi="宋体"/>
                <w:szCs w:val="21"/>
              </w:rPr>
            </w:pPr>
          </w:p>
        </w:tc>
        <w:tc>
          <w:tcPr>
            <w:tcW w:w="1704" w:type="dxa"/>
          </w:tcPr>
          <w:p>
            <w:pPr>
              <w:spacing w:before="156" w:beforeLines="50" w:line="300" w:lineRule="auto"/>
              <w:ind w:firstLine="480"/>
              <w:jc w:val="center"/>
              <w:rPr>
                <w:rFonts w:ascii="宋体" w:hAnsi="宋体"/>
                <w:szCs w:val="21"/>
              </w:rPr>
            </w:pPr>
          </w:p>
        </w:tc>
        <w:tc>
          <w:tcPr>
            <w:tcW w:w="1705" w:type="dxa"/>
          </w:tcPr>
          <w:p>
            <w:pPr>
              <w:spacing w:before="156" w:beforeLines="50" w:line="300" w:lineRule="auto"/>
              <w:ind w:firstLine="480"/>
              <w:jc w:val="center"/>
              <w:rPr>
                <w:rFonts w:ascii="宋体" w:hAnsi="宋体"/>
                <w:szCs w:val="21"/>
              </w:rPr>
            </w:pPr>
          </w:p>
        </w:tc>
        <w:tc>
          <w:tcPr>
            <w:tcW w:w="1705" w:type="dxa"/>
          </w:tcPr>
          <w:p>
            <w:pPr>
              <w:spacing w:before="156" w:beforeLines="50" w:line="300" w:lineRule="auto"/>
              <w:ind w:firstLine="480"/>
              <w:jc w:val="center"/>
              <w:rPr>
                <w:rFonts w:ascii="宋体" w:hAnsi="宋体"/>
                <w:szCs w:val="21"/>
              </w:rPr>
            </w:pPr>
          </w:p>
        </w:tc>
      </w:tr>
    </w:tbl>
    <w:p>
      <w:pPr>
        <w:ind w:firstLine="480"/>
        <w:rPr>
          <w:rFonts w:ascii="Times New Roman" w:hAnsi="Times New Roman" w:cs="Times New Roman"/>
          <w:szCs w:val="24"/>
        </w:rPr>
      </w:pPr>
    </w:p>
    <w:p>
      <w:pPr>
        <w:ind w:firstLine="480"/>
        <w:rPr>
          <w:rFonts w:ascii="Times New Roman" w:hAnsi="Times New Roman" w:cs="Times New Roman"/>
          <w:szCs w:val="24"/>
        </w:rPr>
      </w:pPr>
      <w:r>
        <w:rPr>
          <w:rFonts w:hint="eastAsia" w:ascii="Times New Roman" w:hAnsi="Times New Roman" w:cs="Times New Roman"/>
          <w:szCs w:val="24"/>
        </w:rPr>
        <w:t>5.</w:t>
      </w:r>
      <w:r>
        <w:rPr>
          <w:rFonts w:ascii="Times New Roman" w:hAnsi="Times New Roman" w:cs="Times New Roman"/>
          <w:szCs w:val="24"/>
        </w:rPr>
        <w:t xml:space="preserve">4 </w:t>
      </w:r>
      <w:r>
        <w:rPr>
          <w:rFonts w:hint="eastAsia" w:ascii="Times New Roman" w:hAnsi="Times New Roman" w:cs="Times New Roman"/>
          <w:szCs w:val="24"/>
        </w:rPr>
        <w:t>项目实施的组织、管理</w:t>
      </w:r>
    </w:p>
    <w:p>
      <w:pPr>
        <w:ind w:firstLine="480"/>
        <w:rPr>
          <w:rFonts w:ascii="Times New Roman" w:hAnsi="Times New Roman" w:cs="Times New Roman"/>
          <w:szCs w:val="24"/>
        </w:rPr>
      </w:pPr>
      <w:r>
        <w:rPr>
          <w:rFonts w:hint="eastAsia" w:ascii="Times New Roman" w:hAnsi="Times New Roman" w:cs="Times New Roman"/>
          <w:szCs w:val="24"/>
        </w:rPr>
        <w:t>描述保障项目的顺利实施的组织形式和管理措施。</w:t>
      </w:r>
    </w:p>
    <w:p>
      <w:pPr>
        <w:ind w:firstLine="480"/>
        <w:rPr>
          <w:rFonts w:ascii="Times New Roman" w:hAnsi="Times New Roman" w:cs="Times New Roman"/>
          <w:szCs w:val="24"/>
        </w:rPr>
      </w:pPr>
      <w:r>
        <w:rPr>
          <w:rFonts w:hint="eastAsia" w:ascii="Times New Roman" w:hAnsi="Times New Roman" w:cs="Times New Roman"/>
          <w:szCs w:val="24"/>
        </w:rPr>
        <w:t>5.</w:t>
      </w:r>
      <w:r>
        <w:rPr>
          <w:rFonts w:ascii="Times New Roman" w:hAnsi="Times New Roman" w:cs="Times New Roman"/>
          <w:szCs w:val="24"/>
        </w:rPr>
        <w:t xml:space="preserve">5 </w:t>
      </w:r>
      <w:r>
        <w:rPr>
          <w:rFonts w:hint="eastAsia" w:ascii="Times New Roman" w:hAnsi="Times New Roman" w:cs="Times New Roman"/>
          <w:szCs w:val="24"/>
        </w:rPr>
        <w:t>承担能力说明</w:t>
      </w:r>
    </w:p>
    <w:p>
      <w:pPr>
        <w:pStyle w:val="19"/>
        <w:numPr>
          <w:ilvl w:val="0"/>
          <w:numId w:val="4"/>
        </w:numPr>
        <w:ind w:left="0" w:firstLine="480"/>
        <w:rPr>
          <w:rFonts w:ascii="Times New Roman" w:hAnsi="Times New Roman" w:cs="Times New Roman"/>
          <w:szCs w:val="24"/>
        </w:rPr>
      </w:pPr>
      <w:r>
        <w:rPr>
          <w:rFonts w:hint="eastAsia" w:ascii="Times New Roman" w:hAnsi="Times New Roman" w:cs="Times New Roman"/>
          <w:szCs w:val="24"/>
        </w:rPr>
        <w:t>单位基本情况</w:t>
      </w:r>
    </w:p>
    <w:p>
      <w:pPr>
        <w:tabs>
          <w:tab w:val="left" w:pos="1145"/>
        </w:tabs>
        <w:ind w:firstLine="480"/>
        <w:rPr>
          <w:rFonts w:ascii="Times New Roman" w:hAnsi="Times New Roman" w:cs="Times New Roman"/>
          <w:szCs w:val="24"/>
        </w:rPr>
      </w:pPr>
      <w:r>
        <w:rPr>
          <w:rFonts w:hint="eastAsia" w:ascii="宋体" w:hAnsi="宋体" w:cs="宋体"/>
          <w:szCs w:val="24"/>
        </w:rPr>
        <w:t>①</w:t>
      </w:r>
      <w:r>
        <w:rPr>
          <w:rFonts w:hint="eastAsia" w:ascii="Times New Roman" w:hAnsi="Times New Roman" w:cs="Times New Roman"/>
          <w:szCs w:val="24"/>
        </w:rPr>
        <w:t>单位基本情况介绍情况</w:t>
      </w:r>
      <w:r>
        <w:rPr>
          <w:rFonts w:ascii="Times New Roman" w:hAnsi="Times New Roman" w:cs="Times New Roman"/>
          <w:szCs w:val="24"/>
        </w:rPr>
        <w:t>(</w:t>
      </w:r>
      <w:r>
        <w:rPr>
          <w:rFonts w:hint="eastAsia" w:ascii="Times New Roman" w:hAnsi="Times New Roman" w:cs="Times New Roman"/>
          <w:szCs w:val="24"/>
        </w:rPr>
        <w:t>包括资质、资信情况</w:t>
      </w:r>
      <w:r>
        <w:rPr>
          <w:rFonts w:ascii="Times New Roman" w:hAnsi="Times New Roman" w:cs="Times New Roman"/>
          <w:szCs w:val="24"/>
        </w:rPr>
        <w:t>)</w:t>
      </w:r>
    </w:p>
    <w:p>
      <w:pPr>
        <w:tabs>
          <w:tab w:val="left" w:pos="1145"/>
        </w:tabs>
        <w:ind w:firstLine="480"/>
        <w:rPr>
          <w:rFonts w:ascii="Times New Roman" w:hAnsi="Times New Roman" w:cs="Times New Roman"/>
          <w:szCs w:val="24"/>
        </w:rPr>
      </w:pPr>
      <w:r>
        <w:rPr>
          <w:rFonts w:hint="eastAsia" w:ascii="宋体" w:hAnsi="宋体" w:cs="宋体"/>
          <w:szCs w:val="24"/>
        </w:rPr>
        <w:t>②</w:t>
      </w:r>
      <w:r>
        <w:rPr>
          <w:rFonts w:hint="eastAsia" w:ascii="Times New Roman" w:hAnsi="Times New Roman" w:cs="Times New Roman"/>
          <w:szCs w:val="24"/>
        </w:rPr>
        <w:t>单位的财务状况</w:t>
      </w:r>
      <w:r>
        <w:rPr>
          <w:rFonts w:ascii="Times New Roman" w:hAnsi="Times New Roman" w:cs="Times New Roman"/>
          <w:szCs w:val="24"/>
        </w:rPr>
        <w:t>(</w:t>
      </w:r>
      <w:r>
        <w:rPr>
          <w:rFonts w:hint="eastAsia" w:ascii="Times New Roman" w:hAnsi="Times New Roman" w:cs="Times New Roman"/>
          <w:szCs w:val="24"/>
        </w:rPr>
        <w:t>限企业提供</w:t>
      </w:r>
      <w:r>
        <w:rPr>
          <w:rFonts w:ascii="Times New Roman" w:hAnsi="Times New Roman" w:cs="Times New Roman"/>
          <w:szCs w:val="24"/>
        </w:rPr>
        <w:t>)</w:t>
      </w:r>
    </w:p>
    <w:p>
      <w:pPr>
        <w:tabs>
          <w:tab w:val="left" w:pos="1145"/>
        </w:tabs>
        <w:ind w:firstLine="480"/>
        <w:rPr>
          <w:rFonts w:ascii="Times New Roman" w:hAnsi="Times New Roman" w:cs="Times New Roman"/>
          <w:szCs w:val="24"/>
        </w:rPr>
      </w:pPr>
      <w:r>
        <w:rPr>
          <w:rFonts w:hint="eastAsia" w:ascii="宋体" w:hAnsi="宋体" w:cs="宋体"/>
          <w:szCs w:val="24"/>
        </w:rPr>
        <w:t>③</w:t>
      </w:r>
      <w:r>
        <w:rPr>
          <w:rFonts w:hint="eastAsia" w:ascii="Times New Roman" w:hAnsi="Times New Roman" w:cs="Times New Roman"/>
          <w:szCs w:val="24"/>
        </w:rPr>
        <w:t>承担国家、省、市科技计划项目及其它项目的完成情况</w:t>
      </w:r>
    </w:p>
    <w:p>
      <w:pPr>
        <w:pStyle w:val="19"/>
        <w:numPr>
          <w:ilvl w:val="0"/>
          <w:numId w:val="4"/>
        </w:numPr>
        <w:ind w:left="0" w:firstLine="480"/>
        <w:rPr>
          <w:rFonts w:ascii="Times New Roman" w:hAnsi="Times New Roman" w:cs="Times New Roman"/>
          <w:szCs w:val="24"/>
        </w:rPr>
      </w:pPr>
      <w:r>
        <w:rPr>
          <w:rFonts w:hint="eastAsia" w:ascii="Times New Roman" w:hAnsi="Times New Roman" w:cs="Times New Roman"/>
          <w:szCs w:val="24"/>
        </w:rPr>
        <w:t>项目承担能力说明</w:t>
      </w:r>
    </w:p>
    <w:p>
      <w:pPr>
        <w:tabs>
          <w:tab w:val="left" w:pos="995"/>
        </w:tabs>
        <w:ind w:firstLine="480"/>
        <w:rPr>
          <w:rFonts w:ascii="Times New Roman" w:hAnsi="Times New Roman" w:cs="Times New Roman"/>
          <w:szCs w:val="24"/>
        </w:rPr>
      </w:pPr>
      <w:r>
        <w:rPr>
          <w:rFonts w:hint="eastAsia" w:ascii="宋体" w:hAnsi="宋体" w:cs="宋体"/>
          <w:szCs w:val="24"/>
        </w:rPr>
        <w:t>①</w:t>
      </w:r>
      <w:r>
        <w:rPr>
          <w:rFonts w:hint="eastAsia" w:ascii="Times New Roman" w:hAnsi="Times New Roman" w:cs="Times New Roman"/>
          <w:szCs w:val="24"/>
        </w:rPr>
        <w:t>从事与投标项目的背景基础</w:t>
      </w:r>
    </w:p>
    <w:p>
      <w:pPr>
        <w:tabs>
          <w:tab w:val="left" w:pos="995"/>
        </w:tabs>
        <w:ind w:firstLine="480"/>
        <w:rPr>
          <w:rFonts w:ascii="Times New Roman" w:hAnsi="Times New Roman" w:cs="Times New Roman"/>
          <w:szCs w:val="24"/>
        </w:rPr>
      </w:pPr>
      <w:r>
        <w:rPr>
          <w:rFonts w:hint="eastAsia" w:ascii="Times New Roman" w:hAnsi="Times New Roman" w:cs="Times New Roman"/>
          <w:szCs w:val="24"/>
        </w:rPr>
        <w:t>投标方有能力履行合同设备维护保养、修理及其他服务义务的文件。</w:t>
      </w:r>
    </w:p>
    <w:p>
      <w:pPr>
        <w:tabs>
          <w:tab w:val="left" w:pos="995"/>
        </w:tabs>
        <w:ind w:firstLine="480"/>
        <w:rPr>
          <w:rFonts w:ascii="Times New Roman" w:hAnsi="Times New Roman" w:cs="Times New Roman"/>
          <w:szCs w:val="24"/>
        </w:rPr>
      </w:pPr>
      <w:r>
        <w:rPr>
          <w:rFonts w:hint="eastAsia" w:ascii="Times New Roman" w:hAnsi="Times New Roman" w:cs="Times New Roman"/>
          <w:szCs w:val="24"/>
        </w:rPr>
        <w:t>投标方在与本项目研究方面开展的相关前期研究情况及研究成果介绍及证明。</w:t>
      </w:r>
    </w:p>
    <w:p>
      <w:pPr>
        <w:ind w:firstLine="480"/>
        <w:rPr>
          <w:rFonts w:ascii="Times New Roman" w:hAnsi="Times New Roman" w:cs="Times New Roman"/>
          <w:szCs w:val="24"/>
        </w:rPr>
      </w:pPr>
      <w:r>
        <w:rPr>
          <w:rFonts w:hint="eastAsia" w:ascii="宋体" w:hAnsi="宋体" w:cs="宋体"/>
          <w:szCs w:val="24"/>
        </w:rPr>
        <w:t>②</w:t>
      </w:r>
      <w:r>
        <w:rPr>
          <w:rFonts w:hint="eastAsia" w:ascii="Times New Roman" w:hAnsi="Times New Roman" w:cs="Times New Roman"/>
          <w:szCs w:val="24"/>
        </w:rPr>
        <w:t>项目开发人员总数、专业、职称、年龄构成，与本项目相关的技术储备等。</w:t>
      </w:r>
    </w:p>
    <w:p>
      <w:pPr>
        <w:ind w:firstLine="480"/>
        <w:rPr>
          <w:rFonts w:ascii="Times New Roman" w:hAnsi="Times New Roman" w:cs="Times New Roman"/>
          <w:szCs w:val="24"/>
        </w:rPr>
      </w:pPr>
      <w:r>
        <w:rPr>
          <w:rFonts w:hint="eastAsia" w:ascii="宋体" w:hAnsi="宋体" w:cs="宋体"/>
          <w:szCs w:val="24"/>
        </w:rPr>
        <w:t>③</w:t>
      </w:r>
      <w:r>
        <w:rPr>
          <w:rFonts w:hint="eastAsia" w:ascii="Times New Roman" w:hAnsi="Times New Roman" w:cs="Times New Roman"/>
          <w:szCs w:val="24"/>
        </w:rPr>
        <w:t>研究开发场地、现有科研设施与仪器和相关配套设备等情况。</w:t>
      </w:r>
    </w:p>
    <w:p>
      <w:pPr>
        <w:pStyle w:val="19"/>
        <w:numPr>
          <w:ilvl w:val="0"/>
          <w:numId w:val="4"/>
        </w:numPr>
        <w:ind w:left="0" w:firstLine="480"/>
        <w:rPr>
          <w:rFonts w:ascii="Times New Roman" w:hAnsi="Times New Roman" w:cs="Times New Roman"/>
          <w:szCs w:val="24"/>
        </w:rPr>
      </w:pPr>
      <w:r>
        <w:rPr>
          <w:rFonts w:hint="eastAsia" w:ascii="Times New Roman" w:hAnsi="Times New Roman" w:cs="Times New Roman"/>
          <w:szCs w:val="24"/>
        </w:rPr>
        <w:t>联合投标单位基本情况及配套条件、责任与义务</w:t>
      </w:r>
    </w:p>
    <w:p>
      <w:pPr>
        <w:pStyle w:val="19"/>
        <w:numPr>
          <w:ilvl w:val="0"/>
          <w:numId w:val="4"/>
        </w:numPr>
        <w:ind w:left="0" w:firstLine="480"/>
        <w:rPr>
          <w:rFonts w:ascii="Times New Roman" w:hAnsi="Times New Roman" w:cs="Times New Roman"/>
          <w:szCs w:val="24"/>
        </w:rPr>
      </w:pPr>
      <w:r>
        <w:rPr>
          <w:rFonts w:hint="eastAsia" w:ascii="Times New Roman" w:hAnsi="Times New Roman" w:cs="Times New Roman"/>
          <w:szCs w:val="24"/>
        </w:rPr>
        <w:t>其它需要说明的情况</w:t>
      </w:r>
    </w:p>
    <w:p>
      <w:pPr>
        <w:pStyle w:val="19"/>
        <w:ind w:firstLine="480"/>
        <w:rPr>
          <w:rFonts w:ascii="Times New Roman" w:hAnsi="Times New Roman" w:cs="Times New Roman"/>
          <w:szCs w:val="24"/>
        </w:rPr>
      </w:pPr>
      <w:r>
        <w:rPr>
          <w:rFonts w:hint="eastAsia" w:ascii="Times New Roman" w:hAnsi="Times New Roman" w:cs="Times New Roman"/>
          <w:szCs w:val="24"/>
        </w:rPr>
        <w:t>5.6</w:t>
      </w:r>
      <w:r>
        <w:rPr>
          <w:rFonts w:ascii="Times New Roman" w:hAnsi="Times New Roman" w:cs="Times New Roman"/>
          <w:szCs w:val="24"/>
        </w:rPr>
        <w:t xml:space="preserve"> </w:t>
      </w:r>
      <w:r>
        <w:rPr>
          <w:rFonts w:hint="eastAsia" w:ascii="Times New Roman" w:hAnsi="Times New Roman" w:cs="Times New Roman"/>
          <w:szCs w:val="24"/>
        </w:rPr>
        <w:t>成果产生的数量、形式</w:t>
      </w:r>
    </w:p>
    <w:p>
      <w:pPr>
        <w:pStyle w:val="19"/>
        <w:numPr>
          <w:ilvl w:val="0"/>
          <w:numId w:val="5"/>
        </w:numPr>
        <w:ind w:left="0" w:firstLine="480"/>
        <w:rPr>
          <w:rFonts w:ascii="Times New Roman" w:hAnsi="Times New Roman" w:cs="Times New Roman"/>
          <w:szCs w:val="24"/>
        </w:rPr>
      </w:pPr>
      <w:r>
        <w:rPr>
          <w:rFonts w:hint="eastAsia" w:ascii="Times New Roman" w:hAnsi="Times New Roman" w:cs="Times New Roman"/>
          <w:szCs w:val="24"/>
        </w:rPr>
        <w:t>成果获得的可能性</w:t>
      </w:r>
    </w:p>
    <w:p>
      <w:pPr>
        <w:pStyle w:val="19"/>
        <w:numPr>
          <w:ilvl w:val="0"/>
          <w:numId w:val="5"/>
        </w:numPr>
        <w:ind w:left="0" w:firstLine="480"/>
        <w:rPr>
          <w:rFonts w:ascii="Times New Roman" w:hAnsi="Times New Roman" w:cs="Times New Roman"/>
          <w:szCs w:val="24"/>
        </w:rPr>
      </w:pPr>
      <w:r>
        <w:rPr>
          <w:rFonts w:hint="eastAsia" w:ascii="Times New Roman" w:hAnsi="Times New Roman" w:cs="Times New Roman"/>
          <w:szCs w:val="24"/>
        </w:rPr>
        <w:t>成果的形式</w:t>
      </w:r>
      <w:r>
        <w:rPr>
          <w:rFonts w:ascii="Times New Roman" w:hAnsi="Times New Roman" w:cs="Times New Roman"/>
          <w:szCs w:val="24"/>
        </w:rPr>
        <w:t>(</w:t>
      </w:r>
      <w:r>
        <w:rPr>
          <w:rFonts w:hint="eastAsia" w:ascii="Times New Roman" w:hAnsi="Times New Roman" w:cs="Times New Roman"/>
          <w:szCs w:val="24"/>
        </w:rPr>
        <w:t>如专利、软件著作权、论文等</w:t>
      </w:r>
      <w:r>
        <w:rPr>
          <w:rFonts w:ascii="Times New Roman" w:hAnsi="Times New Roman" w:cs="Times New Roman"/>
          <w:szCs w:val="24"/>
        </w:rPr>
        <w:t>)</w:t>
      </w:r>
      <w:r>
        <w:rPr>
          <w:rFonts w:hint="eastAsia" w:ascii="Times New Roman" w:hAnsi="Times New Roman" w:cs="Times New Roman"/>
          <w:szCs w:val="24"/>
        </w:rPr>
        <w:t>和数量</w:t>
      </w:r>
    </w:p>
    <w:p>
      <w:pPr>
        <w:pStyle w:val="19"/>
        <w:numPr>
          <w:ilvl w:val="0"/>
          <w:numId w:val="5"/>
        </w:numPr>
        <w:ind w:left="0" w:firstLine="480"/>
        <w:rPr>
          <w:rFonts w:ascii="Times New Roman" w:hAnsi="Times New Roman" w:cs="Times New Roman"/>
          <w:szCs w:val="24"/>
        </w:rPr>
      </w:pPr>
      <w:r>
        <w:rPr>
          <w:rFonts w:hint="eastAsia" w:ascii="Times New Roman" w:hAnsi="Times New Roman" w:cs="Times New Roman"/>
          <w:szCs w:val="24"/>
        </w:rPr>
        <w:t>职务技术成果权益承诺、成果向社会转化方式</w:t>
      </w:r>
    </w:p>
    <w:p>
      <w:pPr>
        <w:ind w:firstLine="480"/>
        <w:rPr>
          <w:rFonts w:ascii="Times New Roman" w:hAnsi="Times New Roman" w:cs="Times New Roman"/>
          <w:szCs w:val="24"/>
        </w:rPr>
      </w:pPr>
      <w:r>
        <w:rPr>
          <w:rFonts w:hint="eastAsia" w:ascii="Times New Roman" w:hAnsi="Times New Roman" w:cs="Times New Roman"/>
          <w:szCs w:val="24"/>
        </w:rPr>
        <w:t>5</w:t>
      </w:r>
      <w:r>
        <w:rPr>
          <w:rFonts w:ascii="Times New Roman" w:hAnsi="Times New Roman" w:cs="Times New Roman"/>
          <w:szCs w:val="24"/>
        </w:rPr>
        <w:t xml:space="preserve"> </w:t>
      </w:r>
      <w:r>
        <w:rPr>
          <w:rFonts w:hint="eastAsia" w:ascii="Times New Roman" w:hAnsi="Times New Roman" w:cs="Times New Roman"/>
          <w:szCs w:val="24"/>
        </w:rPr>
        <w:t>.7技术方案中涉及技术秘密的申明</w:t>
      </w:r>
    </w:p>
    <w:p>
      <w:pPr>
        <w:ind w:firstLine="480"/>
        <w:rPr>
          <w:rFonts w:ascii="Times New Roman" w:hAnsi="Times New Roman" w:cs="Times New Roman"/>
          <w:szCs w:val="24"/>
        </w:rPr>
      </w:pPr>
      <w:r>
        <w:rPr>
          <w:rFonts w:hint="eastAsia" w:ascii="Times New Roman" w:hAnsi="Times New Roman" w:cs="Times New Roman"/>
          <w:szCs w:val="24"/>
        </w:rPr>
        <w:t>5.8 售后服务承诺</w:t>
      </w:r>
    </w:p>
    <w:p>
      <w:pPr>
        <w:ind w:firstLine="480"/>
        <w:rPr>
          <w:rFonts w:ascii="宋体" w:hAnsi="宋体"/>
        </w:rPr>
      </w:pPr>
      <w:r>
        <w:rPr>
          <w:rFonts w:hint="eastAsia" w:ascii="宋体" w:hAnsi="宋体"/>
        </w:rPr>
        <w:t>1）投标方维护服务管理体系，须在招标方当地有专业维护人员，能按要求及时响应。</w:t>
      </w:r>
    </w:p>
    <w:p>
      <w:pPr>
        <w:ind w:firstLine="480"/>
        <w:rPr>
          <w:rFonts w:ascii="宋体" w:hAnsi="宋体"/>
        </w:rPr>
      </w:pPr>
      <w:r>
        <w:rPr>
          <w:rFonts w:hint="eastAsia" w:ascii="宋体" w:hAnsi="宋体"/>
        </w:rPr>
        <w:t>2）提出保修期后每年的收费维修、维护内容，费用和服务方式、范围（产品、技术、模块、部件），供招标方选择。</w:t>
      </w:r>
    </w:p>
    <w:p>
      <w:pPr>
        <w:pStyle w:val="4"/>
        <w:numPr>
          <w:ilvl w:val="0"/>
          <w:numId w:val="0"/>
        </w:numPr>
        <w:spacing w:before="0" w:after="0" w:line="360" w:lineRule="auto"/>
        <w:ind w:left="432"/>
        <w:rPr>
          <w:rFonts w:ascii="Times New Roman" w:hAnsi="Times New Roman" w:cs="Times New Roman"/>
          <w:sz w:val="32"/>
          <w:szCs w:val="24"/>
        </w:rPr>
      </w:pPr>
      <w:bookmarkStart w:id="40" w:name="_Toc12972"/>
      <w:r>
        <w:rPr>
          <w:rFonts w:hint="eastAsia" w:ascii="Times New Roman" w:hAnsi="Times New Roman" w:cs="Times New Roman"/>
          <w:sz w:val="32"/>
          <w:szCs w:val="24"/>
          <w:lang w:val="en-US" w:eastAsia="zh-CN"/>
        </w:rPr>
        <w:t>六</w:t>
      </w:r>
      <w:r>
        <w:rPr>
          <w:rFonts w:hint="eastAsia" w:ascii="Times New Roman" w:hAnsi="Times New Roman" w:cs="Times New Roman"/>
          <w:sz w:val="32"/>
          <w:szCs w:val="24"/>
        </w:rPr>
        <w:t>、项目联络</w:t>
      </w:r>
      <w:bookmarkEnd w:id="40"/>
    </w:p>
    <w:p>
      <w:pPr>
        <w:ind w:firstLine="480"/>
        <w:rPr>
          <w:rFonts w:ascii="宋体" w:hAnsi="宋体"/>
        </w:rPr>
      </w:pPr>
      <w:r>
        <w:rPr>
          <w:rFonts w:hint="eastAsia" w:ascii="宋体" w:hAnsi="宋体"/>
          <w:lang w:val="en-US" w:eastAsia="zh-CN"/>
        </w:rPr>
        <w:t>6</w:t>
      </w:r>
      <w:r>
        <w:rPr>
          <w:rFonts w:hint="eastAsia" w:ascii="宋体" w:hAnsi="宋体"/>
        </w:rPr>
        <w:t>.1 为审查和确认本项目的工作方案，便于合同按期执行，在项目开发、建设过程中需召开多次联络会。根据项目实际需要，招标方与投标方均可向对方提出要求召开项目联络会，时间和地点由双方商量决定。</w:t>
      </w:r>
    </w:p>
    <w:p>
      <w:pPr>
        <w:ind w:firstLine="480"/>
        <w:rPr>
          <w:rFonts w:ascii="宋体" w:hAnsi="宋体"/>
        </w:rPr>
      </w:pPr>
      <w:r>
        <w:rPr>
          <w:rFonts w:hint="eastAsia" w:ascii="宋体" w:hAnsi="宋体"/>
          <w:lang w:val="en-US" w:eastAsia="zh-CN"/>
        </w:rPr>
        <w:t>6</w:t>
      </w:r>
      <w:r>
        <w:rPr>
          <w:rFonts w:hint="eastAsia" w:ascii="宋体" w:hAnsi="宋体"/>
        </w:rPr>
        <w:t>.2 联络会的内容如下：</w:t>
      </w:r>
    </w:p>
    <w:p>
      <w:pPr>
        <w:numPr>
          <w:ilvl w:val="0"/>
          <w:numId w:val="6"/>
        </w:numPr>
        <w:tabs>
          <w:tab w:val="left" w:pos="900"/>
          <w:tab w:val="clear" w:pos="420"/>
        </w:tabs>
        <w:ind w:left="480" w:leftChars="200" w:firstLine="480"/>
        <w:rPr>
          <w:rFonts w:ascii="宋体" w:hAnsi="宋体"/>
        </w:rPr>
      </w:pPr>
      <w:r>
        <w:rPr>
          <w:rFonts w:hint="eastAsia" w:ascii="宋体" w:hAnsi="宋体"/>
        </w:rPr>
        <w:t>确认服务、工作产品的性能是否满足规范书要求。</w:t>
      </w:r>
    </w:p>
    <w:p>
      <w:pPr>
        <w:numPr>
          <w:ilvl w:val="0"/>
          <w:numId w:val="6"/>
        </w:numPr>
        <w:tabs>
          <w:tab w:val="left" w:pos="900"/>
          <w:tab w:val="clear" w:pos="420"/>
        </w:tabs>
        <w:ind w:left="480" w:leftChars="200" w:firstLine="480"/>
        <w:rPr>
          <w:rFonts w:ascii="宋体" w:hAnsi="宋体"/>
        </w:rPr>
      </w:pPr>
      <w:r>
        <w:rPr>
          <w:rFonts w:hint="eastAsia" w:ascii="宋体" w:hAnsi="宋体"/>
        </w:rPr>
        <w:t>确认服务、工作产品的实施方案。</w:t>
      </w:r>
    </w:p>
    <w:p>
      <w:pPr>
        <w:numPr>
          <w:ilvl w:val="0"/>
          <w:numId w:val="6"/>
        </w:numPr>
        <w:tabs>
          <w:tab w:val="left" w:pos="900"/>
          <w:tab w:val="clear" w:pos="420"/>
        </w:tabs>
        <w:ind w:left="480" w:leftChars="200" w:firstLine="480"/>
        <w:rPr>
          <w:rFonts w:ascii="宋体" w:hAnsi="宋体"/>
        </w:rPr>
      </w:pPr>
      <w:r>
        <w:rPr>
          <w:rFonts w:hint="eastAsia" w:ascii="宋体" w:hAnsi="宋体"/>
        </w:rPr>
        <w:t>检查、确认投标方提供的技术文件和图纸。</w:t>
      </w:r>
    </w:p>
    <w:p>
      <w:pPr>
        <w:numPr>
          <w:ilvl w:val="0"/>
          <w:numId w:val="6"/>
        </w:numPr>
        <w:tabs>
          <w:tab w:val="left" w:pos="900"/>
          <w:tab w:val="clear" w:pos="420"/>
        </w:tabs>
        <w:ind w:left="480" w:leftChars="200" w:firstLine="480"/>
        <w:rPr>
          <w:rFonts w:ascii="宋体" w:hAnsi="宋体"/>
        </w:rPr>
      </w:pPr>
      <w:r>
        <w:rPr>
          <w:rFonts w:hint="eastAsia" w:ascii="宋体" w:hAnsi="宋体"/>
        </w:rPr>
        <w:t>讨论、确定培训计划（包括课程安排、教材、进度）。</w:t>
      </w:r>
    </w:p>
    <w:p>
      <w:pPr>
        <w:numPr>
          <w:ilvl w:val="0"/>
          <w:numId w:val="6"/>
        </w:numPr>
        <w:tabs>
          <w:tab w:val="left" w:pos="900"/>
          <w:tab w:val="clear" w:pos="420"/>
        </w:tabs>
        <w:ind w:left="480" w:leftChars="200" w:firstLine="480"/>
        <w:rPr>
          <w:rFonts w:ascii="宋体" w:hAnsi="宋体"/>
        </w:rPr>
      </w:pPr>
      <w:r>
        <w:rPr>
          <w:rFonts w:hint="eastAsia" w:ascii="宋体" w:hAnsi="宋体"/>
        </w:rPr>
        <w:t>其他有关事项。</w:t>
      </w:r>
    </w:p>
    <w:p>
      <w:pPr>
        <w:pStyle w:val="4"/>
        <w:numPr>
          <w:ilvl w:val="0"/>
          <w:numId w:val="0"/>
        </w:numPr>
        <w:spacing w:before="0" w:after="0" w:line="360" w:lineRule="auto"/>
        <w:ind w:left="432"/>
        <w:rPr>
          <w:rFonts w:ascii="Times New Roman" w:hAnsi="Times New Roman" w:cs="Times New Roman"/>
          <w:sz w:val="32"/>
          <w:szCs w:val="24"/>
        </w:rPr>
      </w:pPr>
      <w:bookmarkStart w:id="41" w:name="_Toc16564"/>
      <w:r>
        <w:rPr>
          <w:rFonts w:hint="eastAsia" w:ascii="Times New Roman" w:hAnsi="Times New Roman" w:cs="Times New Roman"/>
          <w:sz w:val="32"/>
          <w:szCs w:val="24"/>
          <w:lang w:val="en-US" w:eastAsia="zh-CN"/>
        </w:rPr>
        <w:t>七</w:t>
      </w:r>
      <w:r>
        <w:rPr>
          <w:rFonts w:hint="eastAsia" w:ascii="Times New Roman" w:hAnsi="Times New Roman" w:cs="Times New Roman"/>
          <w:sz w:val="32"/>
          <w:szCs w:val="24"/>
        </w:rPr>
        <w:t>、评审与验收</w:t>
      </w:r>
      <w:bookmarkEnd w:id="41"/>
    </w:p>
    <w:p>
      <w:pPr>
        <w:ind w:firstLine="480"/>
      </w:pPr>
      <w:r>
        <w:rPr>
          <w:rFonts w:hint="eastAsia"/>
          <w:color w:val="000000"/>
          <w:kern w:val="21"/>
          <w:lang w:val="en-US" w:eastAsia="zh-CN"/>
        </w:rPr>
        <w:t>7</w:t>
      </w:r>
      <w:r>
        <w:rPr>
          <w:rFonts w:hint="eastAsia"/>
          <w:color w:val="000000"/>
          <w:kern w:val="21"/>
        </w:rPr>
        <w:t>.1</w:t>
      </w:r>
      <w:r>
        <w:rPr>
          <w:rFonts w:hint="eastAsia" w:ascii="宋体" w:hAnsi="宋体"/>
        </w:rPr>
        <w:t>投标方应负责在项目验收前完成</w:t>
      </w:r>
      <w:r>
        <w:t>本规范列技术资料（数据）、文件</w:t>
      </w:r>
      <w:r>
        <w:rPr>
          <w:rFonts w:hint="eastAsia"/>
        </w:rPr>
        <w:t>，</w:t>
      </w:r>
      <w:r>
        <w:rPr>
          <w:rFonts w:hint="eastAsia" w:ascii="宋体" w:hAnsi="宋体"/>
        </w:rPr>
        <w:t>将项目的全部有关技术文件、资料、测试、验收报告等文档汇集成册交付给招标方。</w:t>
      </w:r>
      <w:r>
        <w:rPr>
          <w:rFonts w:ascii="宋体" w:hAnsi="宋体"/>
        </w:rPr>
        <w:t>招标方可根据合同及招标书和招标方的有关规定进行修改和补充, 经双方确认后形成验收文件。</w:t>
      </w:r>
    </w:p>
    <w:p>
      <w:pPr>
        <w:topLinePunct/>
        <w:ind w:firstLine="480"/>
        <w:rPr>
          <w:color w:val="000000"/>
          <w:kern w:val="21"/>
        </w:rPr>
      </w:pPr>
      <w:r>
        <w:rPr>
          <w:rFonts w:hint="eastAsia"/>
          <w:color w:val="000000"/>
          <w:kern w:val="21"/>
          <w:lang w:val="en-US" w:eastAsia="zh-CN"/>
        </w:rPr>
        <w:t>7</w:t>
      </w:r>
      <w:r>
        <w:rPr>
          <w:rFonts w:hint="eastAsia"/>
          <w:color w:val="000000"/>
          <w:kern w:val="21"/>
        </w:rPr>
        <w:t>.2</w:t>
      </w:r>
      <w:r>
        <w:rPr>
          <w:color w:val="000000"/>
          <w:kern w:val="21"/>
        </w:rPr>
        <w:t>验收方式</w:t>
      </w:r>
    </w:p>
    <w:p>
      <w:pPr>
        <w:topLinePunct/>
        <w:ind w:firstLine="480"/>
      </w:pPr>
      <w:r>
        <w:t>(1)</w:t>
      </w:r>
      <w:r>
        <w:rPr>
          <w:rFonts w:hint="eastAsia"/>
        </w:rPr>
        <w:t xml:space="preserve"> </w:t>
      </w:r>
      <w:r>
        <w:t>项目成果经招标方和中标方共同确认满足验收条件后，由招标方组织专家对所有项目材料和相关成果进行评审，开展</w:t>
      </w:r>
      <w:r>
        <w:rPr>
          <w:rFonts w:hint="eastAsia"/>
        </w:rPr>
        <w:t>合同</w:t>
      </w:r>
      <w:r>
        <w:t>验收。</w:t>
      </w:r>
    </w:p>
    <w:p>
      <w:pPr>
        <w:ind w:firstLine="480"/>
      </w:pPr>
      <w:r>
        <w:t>(</w:t>
      </w:r>
      <w:r>
        <w:rPr>
          <w:rFonts w:hint="eastAsia"/>
        </w:rPr>
        <w:t>2</w:t>
      </w:r>
      <w:r>
        <w:t>)</w:t>
      </w:r>
      <w:r>
        <w:rPr>
          <w:rFonts w:hint="eastAsia"/>
        </w:rPr>
        <w:t xml:space="preserve"> 项目</w:t>
      </w:r>
      <w:r>
        <w:t>验收按照招标方制定的验收方案具体实施，方案将包括验收内容、验收标准、验收人员等；项目验收后，验收人员将根据实际情况提出验收报告</w:t>
      </w:r>
      <w:r>
        <w:rPr>
          <w:rFonts w:hint="eastAsia"/>
        </w:rPr>
        <w:t>。</w:t>
      </w:r>
      <w:r>
        <w:t>如若有需要整改的内容，中标方在</w:t>
      </w:r>
      <w:r>
        <w:rPr>
          <w:rFonts w:hint="eastAsia"/>
        </w:rPr>
        <w:t>项目</w:t>
      </w:r>
      <w:r>
        <w:t>验收后应主动配合招标方严格按照整改意见进行整改完善。</w:t>
      </w:r>
    </w:p>
    <w:p>
      <w:pPr>
        <w:ind w:firstLine="480"/>
        <w:rPr>
          <w:rFonts w:ascii="宋体" w:hAnsi="宋体"/>
        </w:rPr>
      </w:pPr>
      <w:r>
        <w:rPr>
          <w:rFonts w:hint="eastAsia" w:ascii="宋体" w:hAnsi="宋体"/>
          <w:lang w:val="en-US" w:eastAsia="zh-CN"/>
        </w:rPr>
        <w:t>7.</w:t>
      </w:r>
      <w:r>
        <w:rPr>
          <w:rFonts w:hint="eastAsia" w:ascii="宋体" w:hAnsi="宋体"/>
        </w:rPr>
        <w:t>3如果在签</w:t>
      </w:r>
      <w:r>
        <w:rPr>
          <w:rFonts w:ascii="宋体" w:hAnsi="宋体"/>
        </w:rPr>
        <w:t>署最终验收文件</w:t>
      </w:r>
      <w:r>
        <w:rPr>
          <w:rFonts w:hint="eastAsia" w:ascii="宋体" w:hAnsi="宋体"/>
        </w:rPr>
        <w:t>后12周内，由于投标方的原因，该项目有一条或多条达不到规定的技术要求时，投标方应在附加的4周内采取有效措施，使该项目完全达到规定的技术要求，在此期间的一切费用由投标方承担，如在此期间内仍达不到规定的技术性能要求时，将按合同中相应商务条款执行。</w:t>
      </w:r>
    </w:p>
    <w:p>
      <w:pPr>
        <w:pStyle w:val="4"/>
        <w:numPr>
          <w:ilvl w:val="0"/>
          <w:numId w:val="0"/>
        </w:numPr>
        <w:spacing w:before="0" w:after="0" w:line="360" w:lineRule="auto"/>
        <w:ind w:left="432"/>
        <w:rPr>
          <w:rFonts w:ascii="Times New Roman" w:hAnsi="Times New Roman" w:cs="Times New Roman"/>
          <w:sz w:val="32"/>
          <w:szCs w:val="24"/>
        </w:rPr>
      </w:pPr>
      <w:bookmarkStart w:id="42" w:name="_Toc16927"/>
      <w:r>
        <w:rPr>
          <w:rFonts w:hint="eastAsia" w:ascii="Times New Roman" w:hAnsi="Times New Roman" w:cs="Times New Roman"/>
          <w:sz w:val="32"/>
          <w:szCs w:val="24"/>
          <w:lang w:val="en-US" w:eastAsia="zh-CN"/>
        </w:rPr>
        <w:t>八</w:t>
      </w:r>
      <w:r>
        <w:rPr>
          <w:rFonts w:hint="eastAsia" w:ascii="Times New Roman" w:hAnsi="Times New Roman" w:cs="Times New Roman"/>
          <w:sz w:val="32"/>
          <w:szCs w:val="24"/>
        </w:rPr>
        <w:t>、售后服务</w:t>
      </w:r>
      <w:bookmarkEnd w:id="42"/>
      <w:r>
        <w:rPr>
          <w:rFonts w:hint="eastAsia" w:ascii="Times New Roman" w:hAnsi="Times New Roman" w:cs="Times New Roman"/>
          <w:sz w:val="32"/>
          <w:szCs w:val="24"/>
        </w:rPr>
        <w:t xml:space="preserve"> </w:t>
      </w:r>
    </w:p>
    <w:p>
      <w:pPr>
        <w:ind w:firstLine="480"/>
        <w:rPr>
          <w:rFonts w:ascii="宋体" w:hAnsi="宋体"/>
        </w:rPr>
      </w:pPr>
      <w:r>
        <w:rPr>
          <w:rFonts w:hint="eastAsia" w:ascii="宋体" w:hAnsi="宋体"/>
          <w:lang w:val="en-US" w:eastAsia="zh-CN"/>
        </w:rPr>
        <w:t>8</w:t>
      </w:r>
      <w:r>
        <w:rPr>
          <w:rFonts w:hint="eastAsia" w:ascii="宋体" w:hAnsi="宋体"/>
        </w:rPr>
        <w:t>.1 所有工作产品均须由投标方提供壹年以上的免费维护、保修服务，自项目验收签字之日起计算。</w:t>
      </w:r>
    </w:p>
    <w:p>
      <w:pPr>
        <w:ind w:firstLine="480"/>
        <w:rPr>
          <w:rFonts w:ascii="宋体" w:hAnsi="宋体"/>
        </w:rPr>
      </w:pPr>
      <w:r>
        <w:rPr>
          <w:rFonts w:hint="eastAsia" w:ascii="宋体" w:hAnsi="宋体"/>
          <w:lang w:val="en-US" w:eastAsia="zh-CN"/>
        </w:rPr>
        <w:t>8</w:t>
      </w:r>
      <w:r>
        <w:rPr>
          <w:rFonts w:ascii="宋体" w:hAnsi="宋体"/>
        </w:rPr>
        <w:t xml:space="preserve">.2 </w:t>
      </w:r>
      <w:r>
        <w:rPr>
          <w:rFonts w:hint="eastAsia" w:ascii="宋体" w:hAnsi="宋体"/>
        </w:rPr>
        <w:t>投标方必须提出保修期内的维护、保修内容和范围（产品、技术、模块、部件）。</w:t>
      </w:r>
    </w:p>
    <w:p>
      <w:pPr>
        <w:ind w:firstLine="480"/>
        <w:rPr>
          <w:rFonts w:ascii="宋体" w:hAnsi="宋体"/>
        </w:rPr>
      </w:pPr>
      <w:r>
        <w:rPr>
          <w:rFonts w:hint="eastAsia" w:ascii="宋体" w:hAnsi="宋体"/>
          <w:lang w:val="en-US" w:eastAsia="zh-CN"/>
        </w:rPr>
        <w:t>8</w:t>
      </w:r>
      <w:r>
        <w:rPr>
          <w:rFonts w:ascii="宋体" w:hAnsi="宋体"/>
        </w:rPr>
        <w:t xml:space="preserve">.3 </w:t>
      </w:r>
      <w:r>
        <w:rPr>
          <w:rFonts w:hint="eastAsia" w:ascii="宋体" w:hAnsi="宋体"/>
        </w:rPr>
        <w:t>服务响应时间：</w:t>
      </w:r>
      <w:r>
        <w:rPr>
          <w:rFonts w:hint="eastAsia"/>
          <w:szCs w:val="21"/>
          <w:lang w:val="zh-CN"/>
        </w:rPr>
        <w:t>中标方对售后服务的需求必须在</w:t>
      </w:r>
      <w:r>
        <w:rPr>
          <w:szCs w:val="21"/>
          <w:lang w:val="zh-CN"/>
        </w:rPr>
        <w:t>24</w:t>
      </w:r>
      <w:r>
        <w:rPr>
          <w:rFonts w:hint="eastAsia"/>
          <w:szCs w:val="21"/>
          <w:lang w:val="zh-CN"/>
        </w:rPr>
        <w:t>小时答复，在</w:t>
      </w:r>
      <w:r>
        <w:rPr>
          <w:szCs w:val="21"/>
          <w:lang w:val="zh-CN"/>
        </w:rPr>
        <w:t>48</w:t>
      </w:r>
      <w:r>
        <w:rPr>
          <w:rFonts w:hint="eastAsia"/>
          <w:szCs w:val="21"/>
          <w:lang w:val="zh-CN"/>
        </w:rPr>
        <w:t>小时内提供技术服务，对有疑问的检测结果应能够免费提供检测分析报告</w:t>
      </w:r>
      <w:r>
        <w:rPr>
          <w:rFonts w:hint="eastAsia" w:ascii="宋体" w:hAnsi="宋体"/>
        </w:rPr>
        <w:t>。</w:t>
      </w:r>
    </w:p>
    <w:p>
      <w:pPr>
        <w:ind w:firstLine="480"/>
        <w:rPr>
          <w:rFonts w:ascii="宋体" w:hAnsi="宋体"/>
        </w:rPr>
      </w:pPr>
      <w:r>
        <w:rPr>
          <w:rFonts w:hint="eastAsia" w:ascii="宋体" w:hAnsi="宋体"/>
          <w:lang w:val="en-US" w:eastAsia="zh-CN"/>
        </w:rPr>
        <w:t>8</w:t>
      </w:r>
      <w:r>
        <w:rPr>
          <w:rFonts w:ascii="宋体" w:hAnsi="宋体"/>
        </w:rPr>
        <w:t xml:space="preserve">.4 </w:t>
      </w:r>
      <w:r>
        <w:rPr>
          <w:rFonts w:hint="eastAsia" w:ascii="宋体" w:hAnsi="宋体"/>
        </w:rPr>
        <w:t>如果故障在检修8小时后仍无法排除，投标方应在2天内提供解决方案，经招标方批准后负责实施，直至故障修复。</w:t>
      </w:r>
    </w:p>
    <w:p>
      <w:pPr>
        <w:ind w:firstLine="480"/>
        <w:rPr>
          <w:rFonts w:ascii="宋体" w:hAnsi="宋体"/>
        </w:rPr>
      </w:pPr>
      <w:r>
        <w:rPr>
          <w:rFonts w:hint="eastAsia" w:ascii="宋体" w:hAnsi="宋体"/>
          <w:lang w:val="en-US" w:eastAsia="zh-CN"/>
        </w:rPr>
        <w:t>8</w:t>
      </w:r>
      <w:r>
        <w:rPr>
          <w:rFonts w:ascii="宋体" w:hAnsi="宋体"/>
        </w:rPr>
        <w:t xml:space="preserve">.5 </w:t>
      </w:r>
      <w:r>
        <w:rPr>
          <w:rFonts w:hint="eastAsia" w:ascii="宋体" w:hAnsi="宋体"/>
        </w:rPr>
        <w:t>所有售后服务方式均为投标方上门，即由投标方或原厂商派员到用户使用现场。由此产生的一切费用均由投标方承担。</w:t>
      </w:r>
    </w:p>
    <w:p>
      <w:pPr>
        <w:ind w:firstLine="480"/>
        <w:rPr>
          <w:rFonts w:ascii="宋体" w:hAnsi="宋体"/>
        </w:rPr>
      </w:pPr>
      <w:r>
        <w:rPr>
          <w:rFonts w:hint="eastAsia" w:ascii="宋体" w:hAnsi="宋体"/>
          <w:lang w:val="en-US" w:eastAsia="zh-CN"/>
        </w:rPr>
        <w:t>8</w:t>
      </w:r>
      <w:r>
        <w:rPr>
          <w:rFonts w:ascii="宋体" w:hAnsi="宋体"/>
        </w:rPr>
        <w:t>.</w:t>
      </w:r>
      <w:r>
        <w:rPr>
          <w:rFonts w:hint="eastAsia" w:ascii="宋体" w:hAnsi="宋体"/>
        </w:rPr>
        <w:t>6 对于不能明确是否是投标方工作产品出现故障时，投标方应尽力配合招标方和其他供应商进行检查，在必要时，能在上述响应时间内到达现场协助排除问题。</w:t>
      </w:r>
    </w:p>
    <w:p>
      <w:pPr>
        <w:ind w:firstLine="480"/>
        <w:rPr>
          <w:rFonts w:ascii="宋体" w:hAnsi="宋体"/>
        </w:rPr>
      </w:pPr>
      <w:r>
        <w:rPr>
          <w:rFonts w:hint="eastAsia" w:ascii="宋体" w:hAnsi="宋体"/>
          <w:lang w:val="en-US" w:eastAsia="zh-CN"/>
        </w:rPr>
        <w:t>8</w:t>
      </w:r>
      <w:r>
        <w:rPr>
          <w:rFonts w:ascii="宋体" w:hAnsi="宋体"/>
        </w:rPr>
        <w:t xml:space="preserve">.7 </w:t>
      </w:r>
      <w:r>
        <w:rPr>
          <w:rFonts w:hint="eastAsia" w:ascii="宋体" w:hAnsi="宋体"/>
        </w:rPr>
        <w:t>投标方必须有专门的维护部门及规范的维护服务管理体系，须在招标方当地有专业维护人员，能按要求及时响应。</w:t>
      </w:r>
    </w:p>
    <w:p>
      <w:pPr>
        <w:ind w:firstLine="480"/>
        <w:rPr>
          <w:rFonts w:ascii="宋体" w:hAnsi="宋体"/>
        </w:rPr>
      </w:pPr>
      <w:r>
        <w:rPr>
          <w:rFonts w:hint="eastAsia" w:ascii="宋体" w:hAnsi="宋体"/>
          <w:lang w:val="en-US" w:eastAsia="zh-CN"/>
        </w:rPr>
        <w:t>8</w:t>
      </w:r>
      <w:r>
        <w:rPr>
          <w:rFonts w:ascii="宋体" w:hAnsi="宋体"/>
        </w:rPr>
        <w:t xml:space="preserve">.8 </w:t>
      </w:r>
      <w:r>
        <w:rPr>
          <w:rFonts w:hint="eastAsia" w:ascii="宋体" w:hAnsi="宋体"/>
        </w:rPr>
        <w:t>投标方需要提出保修期后每年的收费维修、维护内容，费用和服务方式、范围（产品、技术、模块、部件），供招标方选择。</w:t>
      </w:r>
    </w:p>
    <w:p>
      <w:pPr>
        <w:pStyle w:val="4"/>
        <w:numPr>
          <w:ilvl w:val="0"/>
          <w:numId w:val="0"/>
        </w:numPr>
        <w:spacing w:before="0" w:after="0" w:line="360" w:lineRule="auto"/>
        <w:ind w:left="432"/>
        <w:rPr>
          <w:rFonts w:ascii="Times New Roman" w:hAnsi="Times New Roman" w:cs="Times New Roman"/>
          <w:sz w:val="32"/>
          <w:szCs w:val="24"/>
        </w:rPr>
      </w:pPr>
      <w:bookmarkStart w:id="43" w:name="_Toc26629"/>
      <w:r>
        <w:rPr>
          <w:rFonts w:hint="eastAsia" w:ascii="Times New Roman" w:hAnsi="Times New Roman" w:cs="Times New Roman"/>
          <w:sz w:val="32"/>
          <w:szCs w:val="24"/>
          <w:lang w:val="en-US" w:eastAsia="zh-CN"/>
        </w:rPr>
        <w:t>九</w:t>
      </w:r>
      <w:r>
        <w:rPr>
          <w:rFonts w:hint="eastAsia" w:ascii="Times New Roman" w:hAnsi="Times New Roman" w:cs="Times New Roman"/>
          <w:sz w:val="32"/>
          <w:szCs w:val="24"/>
        </w:rPr>
        <w:t>、其他相关要求</w:t>
      </w:r>
      <w:bookmarkEnd w:id="43"/>
      <w:r>
        <w:rPr>
          <w:rFonts w:hint="eastAsia" w:ascii="Times New Roman" w:hAnsi="Times New Roman" w:cs="Times New Roman"/>
          <w:sz w:val="32"/>
          <w:szCs w:val="24"/>
        </w:rPr>
        <w:t xml:space="preserve"> </w:t>
      </w:r>
    </w:p>
    <w:p>
      <w:pPr>
        <w:ind w:firstLine="480"/>
        <w:rPr>
          <w:rFonts w:ascii="Times New Roman" w:hAnsi="Times New Roman" w:cs="Times New Roman"/>
        </w:rPr>
      </w:pPr>
      <w:r>
        <w:rPr>
          <w:rFonts w:hint="eastAsia" w:ascii="Times New Roman" w:hAnsi="Times New Roman" w:cs="Times New Roman"/>
        </w:rPr>
        <w:t xml:space="preserve"> </w:t>
      </w:r>
      <w:r>
        <w:rPr>
          <w:rFonts w:hint="eastAsia" w:ascii="Times New Roman" w:hAnsi="Times New Roman" w:cs="Times New Roman"/>
          <w:lang w:val="en-US" w:eastAsia="zh-CN"/>
        </w:rPr>
        <w:t>9</w:t>
      </w:r>
      <w:r>
        <w:rPr>
          <w:rFonts w:ascii="Times New Roman" w:hAnsi="Times New Roman" w:cs="Times New Roman"/>
        </w:rPr>
        <w:t xml:space="preserve">.1 </w:t>
      </w:r>
      <w:r>
        <w:rPr>
          <w:rFonts w:hint="eastAsia" w:ascii="Times New Roman" w:hAnsi="Times New Roman" w:cs="Times New Roman"/>
        </w:rPr>
        <w:t>技术配合</w:t>
      </w:r>
    </w:p>
    <w:p>
      <w:pPr>
        <w:ind w:firstLine="480"/>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合同签订后，中标方应指定负责本项目的项目经理，负责中标方在项目全过程的各项工作。</w:t>
      </w:r>
    </w:p>
    <w:p>
      <w:pPr>
        <w:ind w:firstLine="480"/>
        <w:rPr>
          <w:rFonts w:ascii="Times New Roman" w:hAnsi="Times New Roman" w:cs="Times New Roman"/>
        </w:rPr>
      </w:pPr>
      <w:r>
        <w:rPr>
          <w:rFonts w:hint="eastAsia" w:ascii="Times New Roman" w:hAnsi="Times New Roman" w:cs="Times New Roman"/>
        </w:rPr>
        <w:t>（2）</w:t>
      </w:r>
      <w:r>
        <w:rPr>
          <w:rFonts w:ascii="Times New Roman" w:hAnsi="Times New Roman" w:cs="Times New Roman"/>
        </w:rPr>
        <w:t>中标方须结合当次系统开发的目标、指标和任务要求，编制并向</w:t>
      </w:r>
      <w:r>
        <w:rPr>
          <w:rFonts w:hint="eastAsia" w:ascii="Times New Roman" w:hAnsi="Times New Roman" w:cs="Times New Roman"/>
        </w:rPr>
        <w:t>招标</w:t>
      </w:r>
      <w:r>
        <w:rPr>
          <w:rFonts w:ascii="Times New Roman" w:hAnsi="Times New Roman" w:cs="Times New Roman"/>
        </w:rPr>
        <w:t>方提交系统需求分析报告；招标方对中标方提交的需求分析报告进行会议评审，评审通过后中标方才能开展系统设计。</w:t>
      </w:r>
    </w:p>
    <w:p>
      <w:pPr>
        <w:ind w:firstLine="480"/>
        <w:rPr>
          <w:rFonts w:ascii="Times New Roman" w:hAnsi="Times New Roman" w:cs="Times New Roman"/>
        </w:rPr>
      </w:pPr>
      <w:r>
        <w:rPr>
          <w:rFonts w:hint="eastAsia" w:ascii="Times New Roman" w:hAnsi="Times New Roman" w:cs="Times New Roman"/>
        </w:rPr>
        <w:t>（3）</w:t>
      </w:r>
      <w:r>
        <w:rPr>
          <w:rFonts w:ascii="Times New Roman" w:hAnsi="Times New Roman" w:cs="Times New Roman"/>
        </w:rPr>
        <w:t xml:space="preserve"> 中标方须编制并向招标方提交系统设计报告。</w:t>
      </w:r>
    </w:p>
    <w:p>
      <w:pPr>
        <w:ind w:firstLine="480"/>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招标方对当次系统开发框架内的功能澄清、细化、完善、纠偏，中标方有义务予以响应并即时实施。</w:t>
      </w:r>
    </w:p>
    <w:p>
      <w:pPr>
        <w:ind w:firstLine="480"/>
        <w:rPr>
          <w:rFonts w:ascii="Times New Roman" w:hAnsi="Times New Roman" w:cs="Times New Roman"/>
        </w:rPr>
      </w:pPr>
      <w:r>
        <w:rPr>
          <w:rFonts w:hint="eastAsia" w:ascii="Times New Roman" w:hAnsi="Times New Roman" w:cs="Times New Roman"/>
        </w:rPr>
        <w:t>（5）</w:t>
      </w:r>
      <w:r>
        <w:rPr>
          <w:rFonts w:ascii="Times New Roman" w:hAnsi="Times New Roman" w:cs="Times New Roman"/>
        </w:rPr>
        <w:t>中标方有责任协助招标方做好企业研发费用税前加计扣除工作，并在合同签订后3个月内，办理本合同在科技行政主管部门的认证登记手续。</w:t>
      </w:r>
    </w:p>
    <w:p>
      <w:pPr>
        <w:ind w:firstLine="480"/>
        <w:rPr>
          <w:rFonts w:ascii="Times New Roman" w:hAnsi="Times New Roman" w:cs="Times New Roman"/>
        </w:rPr>
      </w:pPr>
      <w:r>
        <w:rPr>
          <w:rFonts w:hint="eastAsia" w:ascii="Times New Roman" w:hAnsi="Times New Roman" w:cs="Times New Roman"/>
          <w:lang w:val="en-US" w:eastAsia="zh-CN"/>
        </w:rPr>
        <w:t>9</w:t>
      </w:r>
      <w:r>
        <w:rPr>
          <w:rFonts w:ascii="Times New Roman" w:hAnsi="Times New Roman" w:cs="Times New Roman"/>
        </w:rPr>
        <w:t xml:space="preserve">.2 </w:t>
      </w:r>
      <w:r>
        <w:rPr>
          <w:rFonts w:hint="eastAsia" w:ascii="Times New Roman" w:hAnsi="Times New Roman" w:cs="Times New Roman"/>
        </w:rPr>
        <w:t>现场服务</w:t>
      </w:r>
    </w:p>
    <w:p>
      <w:pPr>
        <w:ind w:firstLine="480"/>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 xml:space="preserve"> 当招标方对监测结果存在疑问时，中标方应按合同规定及时派工程技术人员到达现场服务。</w:t>
      </w:r>
    </w:p>
    <w:p>
      <w:pPr>
        <w:ind w:firstLine="480"/>
        <w:rPr>
          <w:rFonts w:ascii="Times New Roman" w:hAnsi="Times New Roman" w:cs="Times New Roman"/>
        </w:rPr>
      </w:pPr>
      <w:r>
        <w:rPr>
          <w:rFonts w:hint="eastAsia" w:ascii="Times New Roman" w:hAnsi="Times New Roman" w:cs="Times New Roman"/>
        </w:rPr>
        <w:t>（2）</w:t>
      </w:r>
      <w:r>
        <w:rPr>
          <w:rFonts w:ascii="Times New Roman" w:hAnsi="Times New Roman" w:cs="Times New Roman"/>
        </w:rPr>
        <w:t xml:space="preserve"> 中标方在项目实施过程中应至少为招标方免费提供一次技术指导和培训讲座，在不涉及机密资料泄露的情况下，中标方应尽最大可能将本单位相关算法、其他类似项目的研究结论等向招标方公开。</w:t>
      </w:r>
    </w:p>
    <w:p>
      <w:pPr>
        <w:pStyle w:val="4"/>
        <w:numPr>
          <w:ilvl w:val="0"/>
          <w:numId w:val="0"/>
        </w:numPr>
        <w:tabs>
          <w:tab w:val="clear" w:pos="432"/>
        </w:tabs>
        <w:ind w:left="432"/>
        <w:rPr>
          <w:rFonts w:hint="eastAsia"/>
        </w:rPr>
      </w:pPr>
      <w:bookmarkStart w:id="44" w:name="_Toc506186791"/>
      <w:bookmarkStart w:id="45" w:name="_Toc351129176"/>
      <w:bookmarkStart w:id="46" w:name="_Toc137397828"/>
      <w:bookmarkStart w:id="47" w:name="_Toc93490801"/>
      <w:bookmarkStart w:id="48" w:name="_Toc12753"/>
      <w:bookmarkStart w:id="49" w:name="_Toc93490630"/>
      <w:bookmarkStart w:id="50" w:name="_Toc93490580"/>
      <w:bookmarkStart w:id="51" w:name="_Toc167003829"/>
      <w:r>
        <w:rPr>
          <w:rFonts w:hint="eastAsia"/>
        </w:rPr>
        <w:t>附件</w:t>
      </w:r>
      <w:bookmarkEnd w:id="44"/>
      <w:bookmarkEnd w:id="45"/>
      <w:bookmarkEnd w:id="46"/>
      <w:bookmarkEnd w:id="47"/>
      <w:bookmarkEnd w:id="48"/>
      <w:bookmarkEnd w:id="49"/>
      <w:bookmarkEnd w:id="50"/>
      <w:bookmarkEnd w:id="51"/>
    </w:p>
    <w:p>
      <w:pPr>
        <w:pStyle w:val="5"/>
      </w:pPr>
      <w:bookmarkStart w:id="52" w:name="_Toc13345"/>
      <w:r>
        <w:rPr>
          <w:rFonts w:hint="eastAsia"/>
        </w:rPr>
        <w:t>1、差异表</w:t>
      </w:r>
      <w:bookmarkEnd w:id="52"/>
    </w:p>
    <w:tbl>
      <w:tblPr>
        <w:tblStyle w:val="12"/>
        <w:tblW w:w="88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020"/>
        <w:gridCol w:w="2835"/>
        <w:gridCol w:w="1605"/>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restart"/>
            <w:tcBorders>
              <w:top w:val="single" w:color="auto" w:sz="4" w:space="0"/>
              <w:left w:val="single" w:color="auto" w:sz="4" w:space="0"/>
              <w:bottom w:val="single" w:color="auto" w:sz="4" w:space="0"/>
              <w:right w:val="single" w:color="auto" w:sz="4" w:space="0"/>
            </w:tcBorders>
            <w:vAlign w:val="center"/>
          </w:tcPr>
          <w:p>
            <w:pPr>
              <w:ind w:firstLine="0" w:firstLineChars="0"/>
              <w:rPr>
                <w:rFonts w:ascii="宋体" w:hAnsi="宋体"/>
              </w:rPr>
            </w:pPr>
            <w:r>
              <w:rPr>
                <w:rFonts w:hint="eastAsia" w:ascii="宋体" w:hAnsi="宋体"/>
              </w:rPr>
              <w:t>序号</w:t>
            </w:r>
          </w:p>
        </w:tc>
        <w:tc>
          <w:tcPr>
            <w:tcW w:w="3855" w:type="dxa"/>
            <w:gridSpan w:val="2"/>
            <w:tcBorders>
              <w:top w:val="single" w:color="auto" w:sz="4" w:space="0"/>
              <w:left w:val="single" w:color="auto" w:sz="4" w:space="0"/>
              <w:bottom w:val="single" w:color="auto" w:sz="4" w:space="0"/>
              <w:right w:val="single" w:color="auto" w:sz="4" w:space="0"/>
            </w:tcBorders>
            <w:vAlign w:val="center"/>
          </w:tcPr>
          <w:p>
            <w:pPr>
              <w:ind w:firstLine="480"/>
              <w:jc w:val="center"/>
              <w:rPr>
                <w:rFonts w:ascii="宋体" w:hAnsi="宋体"/>
              </w:rPr>
            </w:pPr>
            <w:r>
              <w:rPr>
                <w:rFonts w:hint="eastAsia" w:ascii="宋体" w:hAnsi="宋体"/>
              </w:rPr>
              <w:t>招标文件</w:t>
            </w:r>
          </w:p>
        </w:tc>
        <w:tc>
          <w:tcPr>
            <w:tcW w:w="4299" w:type="dxa"/>
            <w:gridSpan w:val="2"/>
            <w:tcBorders>
              <w:top w:val="single" w:color="auto" w:sz="4" w:space="0"/>
              <w:left w:val="single" w:color="auto" w:sz="4" w:space="0"/>
              <w:bottom w:val="single" w:color="auto" w:sz="4" w:space="0"/>
              <w:right w:val="single" w:color="auto" w:sz="4" w:space="0"/>
            </w:tcBorders>
            <w:vAlign w:val="center"/>
          </w:tcPr>
          <w:p>
            <w:pPr>
              <w:ind w:firstLine="480"/>
              <w:jc w:val="center"/>
              <w:rPr>
                <w:rFonts w:ascii="宋体" w:hAnsi="宋体"/>
              </w:rPr>
            </w:pPr>
            <w:r>
              <w:rPr>
                <w:rFonts w:hint="eastAsia" w:ascii="宋体" w:hAnsi="宋体"/>
              </w:rPr>
              <w:t>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continue"/>
            <w:tcBorders>
              <w:top w:val="single" w:color="auto" w:sz="4" w:space="0"/>
              <w:left w:val="single" w:color="auto" w:sz="4" w:space="0"/>
              <w:bottom w:val="single" w:color="auto" w:sz="4" w:space="0"/>
              <w:right w:val="single" w:color="auto" w:sz="4" w:space="0"/>
            </w:tcBorders>
            <w:vAlign w:val="center"/>
          </w:tcPr>
          <w:p>
            <w:pPr>
              <w:ind w:firstLine="480"/>
              <w:rPr>
                <w:rFonts w:ascii="宋体" w:hAnsi="宋体"/>
              </w:rPr>
            </w:pPr>
          </w:p>
        </w:tc>
        <w:tc>
          <w:tcPr>
            <w:tcW w:w="1020" w:type="dxa"/>
            <w:tcBorders>
              <w:top w:val="single" w:color="auto" w:sz="4" w:space="0"/>
              <w:left w:val="single" w:color="auto" w:sz="4" w:space="0"/>
              <w:bottom w:val="single" w:color="auto" w:sz="4" w:space="0"/>
              <w:right w:val="single" w:color="auto" w:sz="4" w:space="0"/>
            </w:tcBorders>
            <w:vAlign w:val="center"/>
          </w:tcPr>
          <w:p>
            <w:pPr>
              <w:ind w:firstLine="0" w:firstLineChars="0"/>
              <w:rPr>
                <w:rFonts w:ascii="宋体" w:hAnsi="宋体"/>
              </w:rPr>
            </w:pPr>
            <w:r>
              <w:rPr>
                <w:rFonts w:hint="eastAsia" w:ascii="宋体" w:hAnsi="宋体"/>
              </w:rPr>
              <w:t>条目</w:t>
            </w:r>
          </w:p>
        </w:tc>
        <w:tc>
          <w:tcPr>
            <w:tcW w:w="2835" w:type="dxa"/>
            <w:tcBorders>
              <w:top w:val="single" w:color="auto" w:sz="4" w:space="0"/>
              <w:left w:val="single" w:color="auto" w:sz="4" w:space="0"/>
              <w:bottom w:val="single" w:color="auto" w:sz="4" w:space="0"/>
              <w:right w:val="single" w:color="auto" w:sz="4" w:space="0"/>
            </w:tcBorders>
            <w:vAlign w:val="center"/>
          </w:tcPr>
          <w:p>
            <w:pPr>
              <w:ind w:firstLine="480"/>
              <w:rPr>
                <w:rFonts w:ascii="宋体" w:hAnsi="宋体"/>
              </w:rPr>
            </w:pPr>
            <w:r>
              <w:rPr>
                <w:rFonts w:hint="eastAsia" w:ascii="宋体" w:hAnsi="宋体"/>
              </w:rPr>
              <w:t>简要内容</w:t>
            </w:r>
          </w:p>
        </w:tc>
        <w:tc>
          <w:tcPr>
            <w:tcW w:w="1605" w:type="dxa"/>
            <w:tcBorders>
              <w:top w:val="single" w:color="auto" w:sz="4" w:space="0"/>
              <w:left w:val="single" w:color="auto" w:sz="4" w:space="0"/>
              <w:bottom w:val="single" w:color="auto" w:sz="4" w:space="0"/>
              <w:right w:val="single" w:color="auto" w:sz="4" w:space="0"/>
            </w:tcBorders>
            <w:vAlign w:val="center"/>
          </w:tcPr>
          <w:p>
            <w:pPr>
              <w:ind w:firstLine="480"/>
              <w:rPr>
                <w:rFonts w:ascii="宋体" w:hAnsi="宋体"/>
              </w:rPr>
            </w:pPr>
            <w:r>
              <w:rPr>
                <w:rFonts w:hint="eastAsia" w:ascii="宋体" w:hAnsi="宋体"/>
              </w:rPr>
              <w:t>条目</w:t>
            </w:r>
          </w:p>
        </w:tc>
        <w:tc>
          <w:tcPr>
            <w:tcW w:w="2694" w:type="dxa"/>
            <w:tcBorders>
              <w:top w:val="single" w:color="auto" w:sz="4" w:space="0"/>
              <w:left w:val="single" w:color="auto" w:sz="4" w:space="0"/>
              <w:bottom w:val="single" w:color="auto" w:sz="4" w:space="0"/>
              <w:right w:val="single" w:color="auto" w:sz="4" w:space="0"/>
            </w:tcBorders>
            <w:vAlign w:val="center"/>
          </w:tcPr>
          <w:p>
            <w:pPr>
              <w:ind w:firstLine="480"/>
              <w:rPr>
                <w:rFonts w:ascii="宋体" w:hAnsi="宋体"/>
              </w:rPr>
            </w:pPr>
            <w:r>
              <w:rPr>
                <w:rFonts w:hint="eastAsia" w:ascii="宋体" w:hAnsi="宋体"/>
              </w:rPr>
              <w:t>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1020"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2835"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1605"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2694"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09"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1020"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2835"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1605"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2694"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r>
    </w:tbl>
    <w:p>
      <w:pPr>
        <w:pStyle w:val="5"/>
      </w:pPr>
      <w:bookmarkStart w:id="53" w:name="_Toc6022"/>
      <w:r>
        <w:rPr>
          <w:rFonts w:hint="eastAsia"/>
        </w:rPr>
        <w:t>2、投标方需要说明的其它问题</w:t>
      </w:r>
      <w:bookmarkEnd w:id="53"/>
    </w:p>
    <w:p>
      <w:pPr>
        <w:pStyle w:val="5"/>
      </w:pPr>
    </w:p>
    <w:sectPr>
      <w:headerReference r:id="rId7" w:type="default"/>
      <w:footerReference r:id="rId8" w:type="default"/>
      <w:pgSz w:w="11906" w:h="16838"/>
      <w:pgMar w:top="1440" w:right="1800" w:bottom="1440" w:left="1800" w:header="851" w:footer="992"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r>
      <w:rPr>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8"/>
                            <w:ind w:firstLine="360"/>
                          </w:pP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8zq8sIBAACN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GfM6vLCAQAAjQMAAA4AAAAAAAAAAQAgAAAAHgEAAGRycy9lMm9Eb2MueG1sUEsF&#10;BgAAAAAGAAYAWQEAAFIFAAAAAA==&#10;">
              <v:fill on="f" focussize="0,0"/>
              <v:stroke on="f"/>
              <v:imagedata o:title=""/>
              <o:lock v:ext="edit" aspectratio="f"/>
              <v:textbox inset="0mm,0mm,0mm,0mm" style="mso-fit-shape-to-text:t;">
                <w:txbxContent>
                  <w:p>
                    <w:pPr>
                      <w:pStyle w:val="8"/>
                      <w:ind w:firstLine="360"/>
                    </w:pP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p>
                </w:txbxContent>
              </v:textbox>
            </v:shape>
          </w:pict>
        </mc:Fallback>
      </mc:AlternateContent>
    </w:r>
    <w:r>
      <w:rPr>
        <w:rFonts w:hint="eastAsia"/>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D517F0"/>
    <w:multiLevelType w:val="multilevel"/>
    <w:tmpl w:val="30D517F0"/>
    <w:lvl w:ilvl="0" w:tentative="0">
      <w:start w:val="1"/>
      <w:numFmt w:val="decimal"/>
      <w:lvlText w:val="%1)"/>
      <w:lvlJc w:val="left"/>
      <w:pPr>
        <w:ind w:left="900" w:hanging="420"/>
      </w:pPr>
      <w:rPr>
        <w:rFonts w:hint="eastAsia" w:cs="Times New Roman"/>
      </w:rPr>
    </w:lvl>
    <w:lvl w:ilvl="1" w:tentative="0">
      <w:start w:val="1"/>
      <w:numFmt w:val="lowerLetter"/>
      <w:lvlText w:val="%2)"/>
      <w:lvlJc w:val="left"/>
      <w:pPr>
        <w:ind w:left="1320" w:hanging="420"/>
      </w:pPr>
      <w:rPr>
        <w:rFonts w:cs="Times New Roman"/>
      </w:rPr>
    </w:lvl>
    <w:lvl w:ilvl="2" w:tentative="0">
      <w:start w:val="1"/>
      <w:numFmt w:val="lowerRoman"/>
      <w:lvlText w:val="%3."/>
      <w:lvlJc w:val="right"/>
      <w:pPr>
        <w:ind w:left="1740" w:hanging="420"/>
      </w:pPr>
      <w:rPr>
        <w:rFonts w:cs="Times New Roman"/>
      </w:rPr>
    </w:lvl>
    <w:lvl w:ilvl="3" w:tentative="0">
      <w:start w:val="1"/>
      <w:numFmt w:val="decimal"/>
      <w:lvlText w:val="%4."/>
      <w:lvlJc w:val="left"/>
      <w:pPr>
        <w:ind w:left="2160" w:hanging="420"/>
      </w:pPr>
      <w:rPr>
        <w:rFonts w:cs="Times New Roman"/>
      </w:rPr>
    </w:lvl>
    <w:lvl w:ilvl="4" w:tentative="0">
      <w:start w:val="1"/>
      <w:numFmt w:val="lowerLetter"/>
      <w:lvlText w:val="%5)"/>
      <w:lvlJc w:val="left"/>
      <w:pPr>
        <w:ind w:left="2580" w:hanging="420"/>
      </w:pPr>
      <w:rPr>
        <w:rFonts w:cs="Times New Roman"/>
      </w:rPr>
    </w:lvl>
    <w:lvl w:ilvl="5" w:tentative="0">
      <w:start w:val="1"/>
      <w:numFmt w:val="lowerRoman"/>
      <w:lvlText w:val="%6."/>
      <w:lvlJc w:val="right"/>
      <w:pPr>
        <w:ind w:left="3000" w:hanging="420"/>
      </w:pPr>
      <w:rPr>
        <w:rFonts w:cs="Times New Roman"/>
      </w:rPr>
    </w:lvl>
    <w:lvl w:ilvl="6" w:tentative="0">
      <w:start w:val="1"/>
      <w:numFmt w:val="decimal"/>
      <w:lvlText w:val="%7."/>
      <w:lvlJc w:val="left"/>
      <w:pPr>
        <w:ind w:left="3420" w:hanging="420"/>
      </w:pPr>
      <w:rPr>
        <w:rFonts w:cs="Times New Roman"/>
      </w:rPr>
    </w:lvl>
    <w:lvl w:ilvl="7" w:tentative="0">
      <w:start w:val="1"/>
      <w:numFmt w:val="lowerLetter"/>
      <w:lvlText w:val="%8)"/>
      <w:lvlJc w:val="left"/>
      <w:pPr>
        <w:ind w:left="3840" w:hanging="420"/>
      </w:pPr>
      <w:rPr>
        <w:rFonts w:cs="Times New Roman"/>
      </w:rPr>
    </w:lvl>
    <w:lvl w:ilvl="8" w:tentative="0">
      <w:start w:val="1"/>
      <w:numFmt w:val="lowerRoman"/>
      <w:lvlText w:val="%9."/>
      <w:lvlJc w:val="right"/>
      <w:pPr>
        <w:ind w:left="4260" w:hanging="420"/>
      </w:pPr>
      <w:rPr>
        <w:rFonts w:cs="Times New Roman"/>
      </w:rPr>
    </w:lvl>
  </w:abstractNum>
  <w:abstractNum w:abstractNumId="1">
    <w:nsid w:val="3FB714FA"/>
    <w:multiLevelType w:val="multilevel"/>
    <w:tmpl w:val="3FB714FA"/>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
    <w:nsid w:val="46322E59"/>
    <w:multiLevelType w:val="multilevel"/>
    <w:tmpl w:val="46322E59"/>
    <w:lvl w:ilvl="0" w:tentative="0">
      <w:start w:val="1"/>
      <w:numFmt w:val="decimal"/>
      <w:lvlText w:val="%1)"/>
      <w:lvlJc w:val="left"/>
      <w:pPr>
        <w:ind w:left="900" w:hanging="420"/>
      </w:pPr>
      <w:rPr>
        <w:rFonts w:hint="eastAsia" w:cs="Times New Roman"/>
      </w:rPr>
    </w:lvl>
    <w:lvl w:ilvl="1" w:tentative="0">
      <w:start w:val="1"/>
      <w:numFmt w:val="lowerLetter"/>
      <w:lvlText w:val="%2)"/>
      <w:lvlJc w:val="left"/>
      <w:pPr>
        <w:ind w:left="1320" w:hanging="420"/>
      </w:pPr>
      <w:rPr>
        <w:rFonts w:cs="Times New Roman"/>
      </w:rPr>
    </w:lvl>
    <w:lvl w:ilvl="2" w:tentative="0">
      <w:start w:val="1"/>
      <w:numFmt w:val="lowerRoman"/>
      <w:lvlText w:val="%3."/>
      <w:lvlJc w:val="right"/>
      <w:pPr>
        <w:ind w:left="1740" w:hanging="420"/>
      </w:pPr>
      <w:rPr>
        <w:rFonts w:cs="Times New Roman"/>
      </w:rPr>
    </w:lvl>
    <w:lvl w:ilvl="3" w:tentative="0">
      <w:start w:val="1"/>
      <w:numFmt w:val="decimal"/>
      <w:lvlText w:val="%4."/>
      <w:lvlJc w:val="left"/>
      <w:pPr>
        <w:ind w:left="2160" w:hanging="420"/>
      </w:pPr>
      <w:rPr>
        <w:rFonts w:cs="Times New Roman"/>
      </w:rPr>
    </w:lvl>
    <w:lvl w:ilvl="4" w:tentative="0">
      <w:start w:val="1"/>
      <w:numFmt w:val="lowerLetter"/>
      <w:lvlText w:val="%5)"/>
      <w:lvlJc w:val="left"/>
      <w:pPr>
        <w:ind w:left="2580" w:hanging="420"/>
      </w:pPr>
      <w:rPr>
        <w:rFonts w:cs="Times New Roman"/>
      </w:rPr>
    </w:lvl>
    <w:lvl w:ilvl="5" w:tentative="0">
      <w:start w:val="1"/>
      <w:numFmt w:val="lowerRoman"/>
      <w:lvlText w:val="%6."/>
      <w:lvlJc w:val="right"/>
      <w:pPr>
        <w:ind w:left="3000" w:hanging="420"/>
      </w:pPr>
      <w:rPr>
        <w:rFonts w:cs="Times New Roman"/>
      </w:rPr>
    </w:lvl>
    <w:lvl w:ilvl="6" w:tentative="0">
      <w:start w:val="1"/>
      <w:numFmt w:val="decimal"/>
      <w:lvlText w:val="%7."/>
      <w:lvlJc w:val="left"/>
      <w:pPr>
        <w:ind w:left="3420" w:hanging="420"/>
      </w:pPr>
      <w:rPr>
        <w:rFonts w:cs="Times New Roman"/>
      </w:rPr>
    </w:lvl>
    <w:lvl w:ilvl="7" w:tentative="0">
      <w:start w:val="1"/>
      <w:numFmt w:val="lowerLetter"/>
      <w:lvlText w:val="%8)"/>
      <w:lvlJc w:val="left"/>
      <w:pPr>
        <w:ind w:left="3840" w:hanging="420"/>
      </w:pPr>
      <w:rPr>
        <w:rFonts w:cs="Times New Roman"/>
      </w:rPr>
    </w:lvl>
    <w:lvl w:ilvl="8" w:tentative="0">
      <w:start w:val="1"/>
      <w:numFmt w:val="lowerRoman"/>
      <w:lvlText w:val="%9."/>
      <w:lvlJc w:val="right"/>
      <w:pPr>
        <w:ind w:left="4260" w:hanging="420"/>
      </w:pPr>
      <w:rPr>
        <w:rFonts w:cs="Times New Roman"/>
      </w:rPr>
    </w:lvl>
  </w:abstractNum>
  <w:abstractNum w:abstractNumId="3">
    <w:nsid w:val="63016E62"/>
    <w:multiLevelType w:val="multilevel"/>
    <w:tmpl w:val="63016E62"/>
    <w:lvl w:ilvl="0" w:tentative="0">
      <w:start w:val="1"/>
      <w:numFmt w:val="decimal"/>
      <w:lvlText w:val="%1)"/>
      <w:lvlJc w:val="left"/>
      <w:pPr>
        <w:ind w:left="900" w:hanging="420"/>
      </w:pPr>
      <w:rPr>
        <w:rFonts w:hint="eastAsia" w:cs="Times New Roman"/>
      </w:rPr>
    </w:lvl>
    <w:lvl w:ilvl="1" w:tentative="0">
      <w:start w:val="1"/>
      <w:numFmt w:val="lowerLetter"/>
      <w:lvlText w:val="%2)"/>
      <w:lvlJc w:val="left"/>
      <w:pPr>
        <w:ind w:left="1320" w:hanging="420"/>
      </w:pPr>
      <w:rPr>
        <w:rFonts w:cs="Times New Roman"/>
      </w:rPr>
    </w:lvl>
    <w:lvl w:ilvl="2" w:tentative="0">
      <w:start w:val="1"/>
      <w:numFmt w:val="lowerRoman"/>
      <w:lvlText w:val="%3."/>
      <w:lvlJc w:val="right"/>
      <w:pPr>
        <w:ind w:left="1740" w:hanging="420"/>
      </w:pPr>
      <w:rPr>
        <w:rFonts w:cs="Times New Roman"/>
      </w:rPr>
    </w:lvl>
    <w:lvl w:ilvl="3" w:tentative="0">
      <w:start w:val="1"/>
      <w:numFmt w:val="decimal"/>
      <w:lvlText w:val="%4."/>
      <w:lvlJc w:val="left"/>
      <w:pPr>
        <w:ind w:left="2160" w:hanging="420"/>
      </w:pPr>
      <w:rPr>
        <w:rFonts w:cs="Times New Roman"/>
      </w:rPr>
    </w:lvl>
    <w:lvl w:ilvl="4" w:tentative="0">
      <w:start w:val="1"/>
      <w:numFmt w:val="lowerLetter"/>
      <w:lvlText w:val="%5)"/>
      <w:lvlJc w:val="left"/>
      <w:pPr>
        <w:ind w:left="2580" w:hanging="420"/>
      </w:pPr>
      <w:rPr>
        <w:rFonts w:cs="Times New Roman"/>
      </w:rPr>
    </w:lvl>
    <w:lvl w:ilvl="5" w:tentative="0">
      <w:start w:val="1"/>
      <w:numFmt w:val="lowerRoman"/>
      <w:lvlText w:val="%6."/>
      <w:lvlJc w:val="right"/>
      <w:pPr>
        <w:ind w:left="3000" w:hanging="420"/>
      </w:pPr>
      <w:rPr>
        <w:rFonts w:cs="Times New Roman"/>
      </w:rPr>
    </w:lvl>
    <w:lvl w:ilvl="6" w:tentative="0">
      <w:start w:val="1"/>
      <w:numFmt w:val="decimal"/>
      <w:lvlText w:val="%7."/>
      <w:lvlJc w:val="left"/>
      <w:pPr>
        <w:ind w:left="3420" w:hanging="420"/>
      </w:pPr>
      <w:rPr>
        <w:rFonts w:cs="Times New Roman"/>
      </w:rPr>
    </w:lvl>
    <w:lvl w:ilvl="7" w:tentative="0">
      <w:start w:val="1"/>
      <w:numFmt w:val="lowerLetter"/>
      <w:lvlText w:val="%8)"/>
      <w:lvlJc w:val="left"/>
      <w:pPr>
        <w:ind w:left="3840" w:hanging="420"/>
      </w:pPr>
      <w:rPr>
        <w:rFonts w:cs="Times New Roman"/>
      </w:rPr>
    </w:lvl>
    <w:lvl w:ilvl="8" w:tentative="0">
      <w:start w:val="1"/>
      <w:numFmt w:val="lowerRoman"/>
      <w:lvlText w:val="%9."/>
      <w:lvlJc w:val="right"/>
      <w:pPr>
        <w:ind w:left="4260" w:hanging="420"/>
      </w:pPr>
      <w:rPr>
        <w:rFonts w:cs="Times New Roman"/>
      </w:rPr>
    </w:lvl>
  </w:abstractNum>
  <w:abstractNum w:abstractNumId="4">
    <w:nsid w:val="67B84CCD"/>
    <w:multiLevelType w:val="multilevel"/>
    <w:tmpl w:val="67B84CCD"/>
    <w:lvl w:ilvl="0" w:tentative="0">
      <w:start w:val="1"/>
      <w:numFmt w:val="decimal"/>
      <w:lvlText w:val="%1)"/>
      <w:lvlJc w:val="left"/>
      <w:pPr>
        <w:ind w:left="900" w:hanging="420"/>
      </w:pPr>
      <w:rPr>
        <w:rFonts w:hint="eastAsia" w:cs="Times New Roman"/>
      </w:rPr>
    </w:lvl>
    <w:lvl w:ilvl="1" w:tentative="0">
      <w:start w:val="1"/>
      <w:numFmt w:val="lowerLetter"/>
      <w:lvlText w:val="%2)"/>
      <w:lvlJc w:val="left"/>
      <w:pPr>
        <w:ind w:left="1320" w:hanging="420"/>
      </w:pPr>
      <w:rPr>
        <w:rFonts w:cs="Times New Roman"/>
      </w:rPr>
    </w:lvl>
    <w:lvl w:ilvl="2" w:tentative="0">
      <w:start w:val="1"/>
      <w:numFmt w:val="lowerRoman"/>
      <w:lvlText w:val="%3."/>
      <w:lvlJc w:val="right"/>
      <w:pPr>
        <w:ind w:left="1740" w:hanging="420"/>
      </w:pPr>
      <w:rPr>
        <w:rFonts w:cs="Times New Roman"/>
      </w:rPr>
    </w:lvl>
    <w:lvl w:ilvl="3" w:tentative="0">
      <w:start w:val="1"/>
      <w:numFmt w:val="decimal"/>
      <w:lvlText w:val="%4."/>
      <w:lvlJc w:val="left"/>
      <w:pPr>
        <w:ind w:left="2160" w:hanging="420"/>
      </w:pPr>
      <w:rPr>
        <w:rFonts w:cs="Times New Roman"/>
      </w:rPr>
    </w:lvl>
    <w:lvl w:ilvl="4" w:tentative="0">
      <w:start w:val="1"/>
      <w:numFmt w:val="lowerLetter"/>
      <w:lvlText w:val="%5)"/>
      <w:lvlJc w:val="left"/>
      <w:pPr>
        <w:ind w:left="2580" w:hanging="420"/>
      </w:pPr>
      <w:rPr>
        <w:rFonts w:cs="Times New Roman"/>
      </w:rPr>
    </w:lvl>
    <w:lvl w:ilvl="5" w:tentative="0">
      <w:start w:val="1"/>
      <w:numFmt w:val="lowerRoman"/>
      <w:lvlText w:val="%6."/>
      <w:lvlJc w:val="right"/>
      <w:pPr>
        <w:ind w:left="3000" w:hanging="420"/>
      </w:pPr>
      <w:rPr>
        <w:rFonts w:cs="Times New Roman"/>
      </w:rPr>
    </w:lvl>
    <w:lvl w:ilvl="6" w:tentative="0">
      <w:start w:val="1"/>
      <w:numFmt w:val="decimal"/>
      <w:lvlText w:val="%7."/>
      <w:lvlJc w:val="left"/>
      <w:pPr>
        <w:ind w:left="3420" w:hanging="420"/>
      </w:pPr>
      <w:rPr>
        <w:rFonts w:cs="Times New Roman"/>
      </w:rPr>
    </w:lvl>
    <w:lvl w:ilvl="7" w:tentative="0">
      <w:start w:val="1"/>
      <w:numFmt w:val="lowerLetter"/>
      <w:lvlText w:val="%8)"/>
      <w:lvlJc w:val="left"/>
      <w:pPr>
        <w:ind w:left="3840" w:hanging="420"/>
      </w:pPr>
      <w:rPr>
        <w:rFonts w:cs="Times New Roman"/>
      </w:rPr>
    </w:lvl>
    <w:lvl w:ilvl="8" w:tentative="0">
      <w:start w:val="1"/>
      <w:numFmt w:val="lowerRoman"/>
      <w:lvlText w:val="%9."/>
      <w:lvlJc w:val="right"/>
      <w:pPr>
        <w:ind w:left="4260" w:hanging="420"/>
      </w:pPr>
      <w:rPr>
        <w:rFonts w:cs="Times New Roman"/>
      </w:rPr>
    </w:lvl>
  </w:abstractNum>
  <w:abstractNum w:abstractNumId="5">
    <w:nsid w:val="73AA0C1F"/>
    <w:multiLevelType w:val="multilevel"/>
    <w:tmpl w:val="73AA0C1F"/>
    <w:lvl w:ilvl="0" w:tentative="0">
      <w:start w:val="1"/>
      <w:numFmt w:val="decimal"/>
      <w:pStyle w:val="4"/>
      <w:lvlText w:val="%1"/>
      <w:lvlJc w:val="left"/>
      <w:pPr>
        <w:tabs>
          <w:tab w:val="left" w:pos="432"/>
        </w:tabs>
        <w:ind w:left="432" w:hanging="432"/>
      </w:pPr>
      <w:rPr>
        <w:rFonts w:cs="Times New Roman"/>
      </w:rPr>
    </w:lvl>
    <w:lvl w:ilvl="1" w:tentative="0">
      <w:start w:val="1"/>
      <w:numFmt w:val="decimal"/>
      <w:lvlText w:val="%1.%2"/>
      <w:lvlJc w:val="left"/>
      <w:pPr>
        <w:tabs>
          <w:tab w:val="left" w:pos="1116"/>
        </w:tabs>
        <w:ind w:left="1116" w:hanging="576"/>
      </w:pPr>
      <w:rPr>
        <w:rFonts w:cs="Times New Roman"/>
      </w:rPr>
    </w:lvl>
    <w:lvl w:ilvl="2" w:tentative="0">
      <w:start w:val="1"/>
      <w:numFmt w:val="decimal"/>
      <w:lvlText w:val="%1.%2.%3"/>
      <w:lvlJc w:val="left"/>
      <w:pPr>
        <w:tabs>
          <w:tab w:val="left" w:pos="1200"/>
        </w:tabs>
        <w:ind w:left="1200" w:hanging="720"/>
      </w:pPr>
      <w:rPr>
        <w:rFonts w:cs="Times New Roman"/>
        <w:b w:val="0"/>
      </w:rPr>
    </w:lvl>
    <w:lvl w:ilvl="3" w:tentative="0">
      <w:start w:val="1"/>
      <w:numFmt w:val="decimal"/>
      <w:lvlText w:val="%1.%2.%3.%4"/>
      <w:lvlJc w:val="left"/>
      <w:pPr>
        <w:tabs>
          <w:tab w:val="left" w:pos="1006"/>
        </w:tabs>
        <w:ind w:left="1006" w:hanging="864"/>
      </w:pPr>
      <w:rPr>
        <w:rFonts w:hint="default" w:ascii="Times New Roman" w:hAnsi="Times New Roman" w:cs="Times New Roman"/>
      </w:rPr>
    </w:lvl>
    <w:lvl w:ilvl="4" w:tentative="0">
      <w:start w:val="1"/>
      <w:numFmt w:val="decimal"/>
      <w:lvlText w:val="%1.%2.%3.%4.%5"/>
      <w:lvlJc w:val="left"/>
      <w:pPr>
        <w:tabs>
          <w:tab w:val="left" w:pos="1008"/>
        </w:tabs>
        <w:ind w:left="1008" w:hanging="1008"/>
      </w:pPr>
      <w:rPr>
        <w:rFonts w:cs="Times New Roman"/>
      </w:rPr>
    </w:lvl>
    <w:lvl w:ilvl="5" w:tentative="0">
      <w:start w:val="1"/>
      <w:numFmt w:val="decimal"/>
      <w:lvlText w:val="%1.%2.%3.%4.%5.%6"/>
      <w:lvlJc w:val="left"/>
      <w:pPr>
        <w:tabs>
          <w:tab w:val="left" w:pos="1152"/>
        </w:tabs>
        <w:ind w:left="1152" w:hanging="1152"/>
      </w:pPr>
      <w:rPr>
        <w:rFonts w:cs="Times New Roman"/>
      </w:rPr>
    </w:lvl>
    <w:lvl w:ilvl="6" w:tentative="0">
      <w:start w:val="1"/>
      <w:numFmt w:val="decimal"/>
      <w:lvlText w:val="%1.%2.%3.%4.%5.%6.%7"/>
      <w:lvlJc w:val="left"/>
      <w:pPr>
        <w:tabs>
          <w:tab w:val="left" w:pos="1296"/>
        </w:tabs>
        <w:ind w:left="1296" w:hanging="1296"/>
      </w:pPr>
      <w:rPr>
        <w:rFonts w:cs="Times New Roman"/>
      </w:rPr>
    </w:lvl>
    <w:lvl w:ilvl="7" w:tentative="0">
      <w:start w:val="1"/>
      <w:numFmt w:val="decimal"/>
      <w:lvlText w:val="%1.%2.%3.%4.%5.%6.%7.%8"/>
      <w:lvlJc w:val="left"/>
      <w:pPr>
        <w:tabs>
          <w:tab w:val="left" w:pos="1440"/>
        </w:tabs>
        <w:ind w:left="1440" w:hanging="1440"/>
      </w:pPr>
      <w:rPr>
        <w:rFonts w:cs="Times New Roman"/>
      </w:rPr>
    </w:lvl>
    <w:lvl w:ilvl="8" w:tentative="0">
      <w:start w:val="1"/>
      <w:numFmt w:val="decimal"/>
      <w:lvlText w:val="%1.%2.%3.%4.%5.%6.%7.%8.%9"/>
      <w:lvlJc w:val="left"/>
      <w:pPr>
        <w:tabs>
          <w:tab w:val="left" w:pos="1584"/>
        </w:tabs>
        <w:ind w:left="1584" w:hanging="1584"/>
      </w:pPr>
      <w:rPr>
        <w:rFonts w:cs="Times New Roman"/>
      </w:rPr>
    </w:lvl>
  </w:abstractNum>
  <w:num w:numId="1">
    <w:abstractNumId w:val="5"/>
  </w:num>
  <w:num w:numId="2">
    <w:abstractNumId w:val="4"/>
  </w:num>
  <w:num w:numId="3">
    <w:abstractNumId w:val="0"/>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UwZThlNzcwZDVlN2I0ZTMzZDU3N2Y5OWY4OWFmZDkifQ=="/>
  </w:docVars>
  <w:rsids>
    <w:rsidRoot w:val="2F49686B"/>
    <w:rsid w:val="00080694"/>
    <w:rsid w:val="000A7E4C"/>
    <w:rsid w:val="002133A1"/>
    <w:rsid w:val="00221F99"/>
    <w:rsid w:val="00260E95"/>
    <w:rsid w:val="002647CA"/>
    <w:rsid w:val="00294B1B"/>
    <w:rsid w:val="003B6F75"/>
    <w:rsid w:val="004771A9"/>
    <w:rsid w:val="004E55E1"/>
    <w:rsid w:val="00527713"/>
    <w:rsid w:val="00586D85"/>
    <w:rsid w:val="00797050"/>
    <w:rsid w:val="00852CBC"/>
    <w:rsid w:val="00882644"/>
    <w:rsid w:val="0098141A"/>
    <w:rsid w:val="00B4230F"/>
    <w:rsid w:val="00BA5037"/>
    <w:rsid w:val="00C741BE"/>
    <w:rsid w:val="00D2099E"/>
    <w:rsid w:val="00D96A99"/>
    <w:rsid w:val="00D96B71"/>
    <w:rsid w:val="00D97C72"/>
    <w:rsid w:val="00ED31EF"/>
    <w:rsid w:val="024E4B4B"/>
    <w:rsid w:val="02D70A17"/>
    <w:rsid w:val="03CE411A"/>
    <w:rsid w:val="06BF6E23"/>
    <w:rsid w:val="075F5104"/>
    <w:rsid w:val="0ADF099A"/>
    <w:rsid w:val="0EE03777"/>
    <w:rsid w:val="10A73228"/>
    <w:rsid w:val="125A3CF3"/>
    <w:rsid w:val="12735A58"/>
    <w:rsid w:val="157601E9"/>
    <w:rsid w:val="15A51D7C"/>
    <w:rsid w:val="1706559C"/>
    <w:rsid w:val="1854104A"/>
    <w:rsid w:val="186950A5"/>
    <w:rsid w:val="196B729F"/>
    <w:rsid w:val="1A680ED3"/>
    <w:rsid w:val="1D443C03"/>
    <w:rsid w:val="1EB52C70"/>
    <w:rsid w:val="200D47E2"/>
    <w:rsid w:val="229E3314"/>
    <w:rsid w:val="2B474750"/>
    <w:rsid w:val="2F1124E0"/>
    <w:rsid w:val="2F49686B"/>
    <w:rsid w:val="35941976"/>
    <w:rsid w:val="42E12EC5"/>
    <w:rsid w:val="483F12A6"/>
    <w:rsid w:val="49A736BF"/>
    <w:rsid w:val="49EE2D52"/>
    <w:rsid w:val="4E0662AE"/>
    <w:rsid w:val="541D2EA8"/>
    <w:rsid w:val="57344239"/>
    <w:rsid w:val="5931729F"/>
    <w:rsid w:val="59A03F64"/>
    <w:rsid w:val="5BA8099C"/>
    <w:rsid w:val="5C411E86"/>
    <w:rsid w:val="5D1E0517"/>
    <w:rsid w:val="62570309"/>
    <w:rsid w:val="62B31701"/>
    <w:rsid w:val="648A46E4"/>
    <w:rsid w:val="662D1B30"/>
    <w:rsid w:val="67437BE6"/>
    <w:rsid w:val="6C0902EF"/>
    <w:rsid w:val="6C1A00FB"/>
    <w:rsid w:val="71E45665"/>
    <w:rsid w:val="72457288"/>
    <w:rsid w:val="7B9D4A8D"/>
    <w:rsid w:val="7BB945D5"/>
    <w:rsid w:val="7CAD6C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qFormat="1" w:uiPriority="99" w:semiHidden="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jc w:val="both"/>
    </w:pPr>
    <w:rPr>
      <w:rFonts w:ascii="Calibri" w:hAnsi="Calibri" w:eastAsia="宋体" w:cs="黑体"/>
      <w:kern w:val="2"/>
      <w:sz w:val="24"/>
      <w:szCs w:val="22"/>
      <w:lang w:val="en-US" w:eastAsia="zh-CN" w:bidi="ar-SA"/>
    </w:rPr>
  </w:style>
  <w:style w:type="paragraph" w:styleId="4">
    <w:name w:val="heading 1"/>
    <w:basedOn w:val="1"/>
    <w:next w:val="1"/>
    <w:qFormat/>
    <w:uiPriority w:val="9"/>
    <w:pPr>
      <w:keepNext/>
      <w:keepLines/>
      <w:numPr>
        <w:ilvl w:val="0"/>
        <w:numId w:val="1"/>
      </w:numPr>
      <w:spacing w:before="340" w:after="330" w:line="578" w:lineRule="auto"/>
      <w:ind w:firstLine="0" w:firstLineChars="0"/>
      <w:outlineLvl w:val="0"/>
    </w:pPr>
    <w:rPr>
      <w:b/>
      <w:bCs/>
      <w:kern w:val="44"/>
      <w:sz w:val="44"/>
      <w:szCs w:val="44"/>
    </w:rPr>
  </w:style>
  <w:style w:type="paragraph" w:styleId="5">
    <w:name w:val="heading 2"/>
    <w:basedOn w:val="1"/>
    <w:next w:val="1"/>
    <w:unhideWhenUsed/>
    <w:qFormat/>
    <w:uiPriority w:val="99"/>
    <w:pPr>
      <w:keepNext/>
      <w:keepLines/>
      <w:spacing w:before="260" w:after="260" w:line="416" w:lineRule="auto"/>
      <w:ind w:firstLine="0" w:firstLineChars="0"/>
      <w:outlineLvl w:val="1"/>
    </w:pPr>
    <w:rPr>
      <w:rFonts w:ascii="Calibri Light" w:hAnsi="Calibri Light"/>
      <w:b/>
      <w:bCs/>
      <w:sz w:val="32"/>
      <w:szCs w:val="32"/>
    </w:rPr>
  </w:style>
  <w:style w:type="paragraph" w:styleId="6">
    <w:name w:val="heading 3"/>
    <w:basedOn w:val="1"/>
    <w:next w:val="1"/>
    <w:semiHidden/>
    <w:unhideWhenUsed/>
    <w:qFormat/>
    <w:uiPriority w:val="0"/>
    <w:pPr>
      <w:spacing w:beforeAutospacing="1" w:afterAutospacing="1"/>
      <w:jc w:val="left"/>
      <w:outlineLvl w:val="2"/>
    </w:pPr>
    <w:rPr>
      <w:rFonts w:hint="eastAsia" w:ascii="宋体" w:hAnsi="宋体" w:cs="Times New Roman"/>
      <w:b/>
      <w:bCs/>
      <w:kern w:val="0"/>
      <w:sz w:val="27"/>
      <w:szCs w:val="27"/>
    </w:rPr>
  </w:style>
  <w:style w:type="character" w:default="1" w:styleId="15">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qFormat/>
    <w:uiPriority w:val="0"/>
    <w:pPr>
      <w:spacing w:after="120" w:line="240" w:lineRule="auto"/>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7">
    <w:name w:val="Plain Text"/>
    <w:basedOn w:val="1"/>
    <w:qFormat/>
    <w:uiPriority w:val="0"/>
    <w:rPr>
      <w:rFonts w:ascii="宋体" w:hAnsi="Courier New"/>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toc 1"/>
    <w:next w:val="1"/>
    <w:unhideWhenUsed/>
    <w:qFormat/>
    <w:uiPriority w:val="39"/>
    <w:pPr>
      <w:spacing w:beforeLines="38" w:afterLines="38"/>
    </w:pPr>
    <w:rPr>
      <w:rFonts w:ascii="Times New Roman" w:hAnsi="Times New Roman" w:eastAsia="宋体" w:cs="Times New Roman"/>
      <w:b/>
      <w:bCs/>
      <w:lang w:val="en-US" w:eastAsia="zh-CN" w:bidi="ar-SA"/>
    </w:rPr>
  </w:style>
  <w:style w:type="paragraph" w:styleId="11">
    <w:name w:val="toc 2"/>
    <w:basedOn w:val="1"/>
    <w:next w:val="1"/>
    <w:unhideWhenUsed/>
    <w:qFormat/>
    <w:uiPriority w:val="39"/>
    <w:pPr>
      <w:ind w:left="210"/>
      <w:jc w:val="left"/>
    </w:pPr>
    <w:rPr>
      <w:rFonts w:ascii="Times New Roman" w:hAnsi="Times New Roman" w:cs="Times New Roman"/>
      <w:smallCaps/>
      <w:sz w:val="20"/>
      <w:szCs w:val="20"/>
    </w:rPr>
  </w:style>
  <w:style w:type="table" w:styleId="13">
    <w:name w:val="Table Grid"/>
    <w:basedOn w:val="12"/>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4">
    <w:name w:val="Table Professional"/>
    <w:basedOn w:val="12"/>
    <w:unhideWhenUsed/>
    <w:qFormat/>
    <w:uiPriority w:val="99"/>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character" w:styleId="16">
    <w:name w:val="Strong"/>
    <w:basedOn w:val="15"/>
    <w:qFormat/>
    <w:uiPriority w:val="22"/>
    <w:rPr>
      <w:b/>
    </w:rPr>
  </w:style>
  <w:style w:type="character" w:styleId="17">
    <w:name w:val="Hyperlink"/>
    <w:basedOn w:val="15"/>
    <w:qFormat/>
    <w:uiPriority w:val="0"/>
    <w:rPr>
      <w:color w:val="0000FF"/>
      <w:u w:val="single"/>
    </w:rPr>
  </w:style>
  <w:style w:type="paragraph" w:customStyle="1" w:styleId="18">
    <w:name w:val="标准正文1 首行缩进:  0.85 厘米 + 首行缩进:  2 字符"/>
    <w:basedOn w:val="1"/>
    <w:qFormat/>
    <w:uiPriority w:val="0"/>
    <w:pPr>
      <w:spacing w:line="300" w:lineRule="auto"/>
      <w:jc w:val="left"/>
    </w:pPr>
    <w:rPr>
      <w:rFonts w:ascii="Times New Roman" w:hAnsi="Times New Roman" w:eastAsia="仿宋_GB2312" w:cs="宋体"/>
      <w:szCs w:val="20"/>
    </w:rPr>
  </w:style>
  <w:style w:type="paragraph" w:customStyle="1" w:styleId="19">
    <w:name w:val="List Paragraph1"/>
    <w:basedOn w:val="1"/>
    <w:qFormat/>
    <w:uiPriority w:val="99"/>
    <w:pPr>
      <w:ind w:firstLine="420"/>
    </w:pPr>
  </w:style>
  <w:style w:type="paragraph" w:customStyle="1" w:styleId="20">
    <w:name w:val="列出段落1"/>
    <w:basedOn w:val="1"/>
    <w:qFormat/>
    <w:uiPriority w:val="34"/>
    <w:pPr>
      <w:ind w:firstLine="42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Pages>
  <Words>4837</Words>
  <Characters>5142</Characters>
  <Lines>54</Lines>
  <Paragraphs>15</Paragraphs>
  <TotalTime>0</TotalTime>
  <ScaleCrop>false</ScaleCrop>
  <LinksUpToDate>false</LinksUpToDate>
  <CharactersWithSpaces>5270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2024-04-28T01:59:00Z</dcterms:created>
  <dc:creator>左边口袋</dc:creator>
  <cp:lastModifiedBy>李星煌</cp:lastModifiedBy>
  <dcterms:modified xsi:type="dcterms:W3CDTF">2025-11-13T11:38:11Z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669D96D4CC63486F99415AB3DD653C3F_13</vt:lpwstr>
  </property>
  <property fmtid="{D5CDD505-2E9C-101B-9397-08002B2CF9AE}" pid="4" name="KSOTemplateDocerSaveRecord">
    <vt:lpwstr>eyJoZGlkIjoiMWIzOWQxOTk5ZjMwZTQ1YzVlYWYwM2JlZmJlYWY1YzIiLCJ1c2VySWQiOiI1OTE4MjM4MTQifQ==</vt:lpwstr>
  </property>
</Properties>
</file>