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60288" behindDoc="0" locked="0" layoutInCell="1" allowOverlap="1">
                <wp:simplePos x="0" y="0"/>
                <wp:positionH relativeFrom="column">
                  <wp:posOffset>-52070</wp:posOffset>
                </wp:positionH>
                <wp:positionV relativeFrom="paragraph">
                  <wp:posOffset>636905</wp:posOffset>
                </wp:positionV>
                <wp:extent cx="5902960" cy="2216785"/>
                <wp:effectExtent l="0" t="0" r="0" b="0"/>
                <wp:wrapNone/>
                <wp:docPr id="4" name="文本框 4"/>
                <wp:cNvGraphicFramePr/>
                <a:graphic xmlns:a="http://schemas.openxmlformats.org/drawingml/2006/main">
                  <a:graphicData uri="http://schemas.microsoft.com/office/word/2010/wordprocessingShape">
                    <wps:wsp>
                      <wps:cNvSpPr txBox="1"/>
                      <wps:spPr>
                        <a:xfrm>
                          <a:off x="0" y="0"/>
                          <a:ext cx="5902960" cy="2216785"/>
                        </a:xfrm>
                        <a:prstGeom prst="rect">
                          <a:avLst/>
                        </a:prstGeom>
                        <a:noFill/>
                        <a:ln>
                          <a:noFill/>
                        </a:ln>
                      </wps:spPr>
                      <wps:txb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广西电网公司防城港供电局2025年职工创新项目加工服务（速通保电多功能便捷式接线端）零星采购项目</w:t>
                            </w:r>
                          </w:p>
                        </w:txbxContent>
                      </wps:txbx>
                      <wps:bodyPr upright="1">
                        <a:noAutofit/>
                      </wps:bodyPr>
                    </wps:wsp>
                  </a:graphicData>
                </a:graphic>
              </wp:anchor>
            </w:drawing>
          </mc:Choice>
          <mc:Fallback>
            <w:pict>
              <v:shape id="_x0000_s1026" o:spid="_x0000_s1026" o:spt="202" type="#_x0000_t202" style="position:absolute;left:0pt;margin-left:-4.1pt;margin-top:50.15pt;height:174.55pt;width:464.8pt;z-index:251660288;mso-width-relative:page;mso-height-relative:page;" filled="f" stroked="f" coordsize="21600,21600" o:gfxdata="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DyvIRU1gAAAAoBAAAPAAAAAAAAAAEAIAAAACIAAABkcnMvZG93bnJldi54bWxQSwECFAAU&#10;AAAACACHTuJAAL7n6boBAABpAwAADgAAAAAAAAABACAAAAAlAQAAZHJzL2Uyb0RvYy54bWxQSwUG&#10;AAAAAAYABgBZAQAAUQUAAAAA&#10;">
                <v:fill on="f" focussize="0,0"/>
                <v:stroke on="f"/>
                <v:imagedata o:title=""/>
                <o:lock v:ext="edit" aspectratio="f"/>
                <v:textbox>
                  <w:txbxContent>
                    <w:p>
                      <w:pPr>
                        <w:ind w:left="0" w:leftChars="0" w:firstLine="0" w:firstLineChars="0"/>
                        <w:jc w:val="center"/>
                        <w:rPr>
                          <w:rFonts w:hint="eastAsia" w:ascii="微软雅黑" w:hAnsi="微软雅黑" w:eastAsia="微软雅黑"/>
                          <w:sz w:val="52"/>
                          <w:szCs w:val="52"/>
                          <w:lang w:eastAsia="zh-CN"/>
                        </w:rPr>
                      </w:pPr>
                      <w:r>
                        <w:rPr>
                          <w:rFonts w:hint="eastAsia" w:ascii="微软雅黑" w:hAnsi="微软雅黑" w:eastAsia="微软雅黑"/>
                          <w:sz w:val="52"/>
                          <w:szCs w:val="52"/>
                          <w:lang w:eastAsia="zh-CN"/>
                        </w:rPr>
                        <w:t>广西电网公司防城港供电局2025年职工创新项目加工服务（速通保电多功能便捷式接线端）零星采购项目</w:t>
                      </w:r>
                    </w:p>
                  </w:txbxContent>
                </v:textbox>
              </v:shape>
            </w:pict>
          </mc:Fallback>
        </mc:AlternateContent>
      </w:r>
      <w:r>
        <mc:AlternateContent>
          <mc:Choice Requires="wps">
            <w:drawing>
              <wp:anchor distT="0" distB="0" distL="114300" distR="114300" simplePos="0" relativeHeight="251662336" behindDoc="0" locked="0" layoutInCell="1" allowOverlap="1">
                <wp:simplePos x="0" y="0"/>
                <wp:positionH relativeFrom="column">
                  <wp:posOffset>1513840</wp:posOffset>
                </wp:positionH>
                <wp:positionV relativeFrom="paragraph">
                  <wp:posOffset>8010525</wp:posOffset>
                </wp:positionV>
                <wp:extent cx="2294890" cy="479425"/>
                <wp:effectExtent l="0" t="0" r="0" b="0"/>
                <wp:wrapNone/>
                <wp:docPr id="1" name="文本框 1"/>
                <wp:cNvGraphicFramePr/>
                <a:graphic xmlns:a="http://schemas.openxmlformats.org/drawingml/2006/main">
                  <a:graphicData uri="http://schemas.microsoft.com/office/word/2010/wordprocessingShape">
                    <wps:wsp>
                      <wps:cNvSpPr txBox="1"/>
                      <wps:spPr>
                        <a:xfrm>
                          <a:off x="0" y="0"/>
                          <a:ext cx="2294890" cy="479425"/>
                        </a:xfrm>
                        <a:prstGeom prst="rect">
                          <a:avLst/>
                        </a:prstGeom>
                        <a:noFill/>
                        <a:ln>
                          <a:noFill/>
                        </a:ln>
                      </wps:spPr>
                      <wps:txb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wps:txbx>
                      <wps:bodyPr upright="1"/>
                    </wps:wsp>
                  </a:graphicData>
                </a:graphic>
              </wp:anchor>
            </w:drawing>
          </mc:Choice>
          <mc:Fallback>
            <w:pict>
              <v:shape id="_x0000_s1026" o:spid="_x0000_s1026" o:spt="202" type="#_x0000_t202" style="position:absolute;left:0pt;margin-left:119.2pt;margin-top:630.75pt;height:37.75pt;width:180.7pt;z-index:251662336;mso-width-relative:page;mso-height-relative:page;" filled="f" stroked="f" coordsize="21600,21600" o:gfxdata="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AN3v13Z&#10;AAAADQEAAA8AAAAAAAAAAQAgAAAAIgAAAGRycy9kb3ducmV2LnhtbFBLAQIUABQAAAAIAIdO4kAk&#10;LKE+rQEAAE4DAAAOAAAAAAAAAAEAIAAAACg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202</w:t>
                      </w:r>
                      <w:r>
                        <w:rPr>
                          <w:rFonts w:hint="eastAsia"/>
                          <w:sz w:val="28"/>
                          <w:szCs w:val="28"/>
                          <w:lang w:val="en-US" w:eastAsia="zh-CN"/>
                        </w:rPr>
                        <w:t>5</w:t>
                      </w:r>
                      <w:r>
                        <w:rPr>
                          <w:rFonts w:hint="eastAsia"/>
                          <w:sz w:val="28"/>
                          <w:szCs w:val="28"/>
                        </w:rPr>
                        <w:t>年</w:t>
                      </w:r>
                      <w:r>
                        <w:rPr>
                          <w:rFonts w:hint="eastAsia"/>
                          <w:sz w:val="28"/>
                          <w:szCs w:val="28"/>
                          <w:lang w:val="en-US" w:eastAsia="zh-CN"/>
                        </w:rPr>
                        <w:t>11</w:t>
                      </w:r>
                      <w:r>
                        <w:rPr>
                          <w:rFonts w:hint="eastAsia"/>
                          <w:sz w:val="28"/>
                          <w:szCs w:val="28"/>
                        </w:rPr>
                        <w:t>月</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mc:AlternateContent>
          <mc:Choice Requires="wps">
            <w:drawing>
              <wp:anchor distT="0" distB="0" distL="114300" distR="114300" simplePos="0" relativeHeight="251659264" behindDoc="0" locked="0" layoutInCell="1" allowOverlap="1">
                <wp:simplePos x="0" y="0"/>
                <wp:positionH relativeFrom="column">
                  <wp:posOffset>331470</wp:posOffset>
                </wp:positionH>
                <wp:positionV relativeFrom="paragraph">
                  <wp:posOffset>862965</wp:posOffset>
                </wp:positionV>
                <wp:extent cx="4848225" cy="934085"/>
                <wp:effectExtent l="0" t="0" r="0" b="0"/>
                <wp:wrapNone/>
                <wp:docPr id="2" name="文本框 2"/>
                <wp:cNvGraphicFramePr/>
                <a:graphic xmlns:a="http://schemas.openxmlformats.org/drawingml/2006/main">
                  <a:graphicData uri="http://schemas.microsoft.com/office/word/2010/wordprocessingShape">
                    <wps:wsp>
                      <wps:cNvSpPr txBox="1"/>
                      <wps:spPr>
                        <a:xfrm>
                          <a:off x="0" y="0"/>
                          <a:ext cx="4848225" cy="934085"/>
                        </a:xfrm>
                        <a:prstGeom prst="rect">
                          <a:avLst/>
                        </a:prstGeom>
                        <a:noFill/>
                        <a:ln>
                          <a:noFill/>
                        </a:ln>
                      </wps:spPr>
                      <wps:txb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wps:txbx>
                      <wps:bodyPr upright="1"/>
                    </wps:wsp>
                  </a:graphicData>
                </a:graphic>
              </wp:anchor>
            </w:drawing>
          </mc:Choice>
          <mc:Fallback>
            <w:pict>
              <v:shape id="_x0000_s1026" o:spid="_x0000_s1026" o:spt="202" type="#_x0000_t202" style="position:absolute;left:0pt;margin-left:26.1pt;margin-top:67.95pt;height:73.55pt;width:381.75pt;z-index:251659264;mso-width-relative:page;mso-height-relative:page;" filled="f" stroked="f" coordsize="21600,21600" o:gfxdata="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IyXu8fY&#10;AAAACgEAAA8AAAAAAAAAAQAgAAAAIgAAAGRycy9kb3ducmV2LnhtbFBLAQIUABQAAAAIAIdO4kA/&#10;BmG6rgEAAE4DAAAOAAAAAAAAAAEAIAAAACcBAABkcnMvZTJvRG9jLnhtbFBLBQYAAAAABgAGAFkB&#10;AABHBQAAAAA=&#10;">
                <v:fill on="f" focussize="0,0"/>
                <v:stroke on="f"/>
                <v:imagedata o:title=""/>
                <o:lock v:ext="edit" aspectratio="f"/>
                <v:textbox>
                  <w:txbxContent>
                    <w:p>
                      <w:pPr>
                        <w:ind w:firstLine="0" w:firstLineChars="0"/>
                        <w:jc w:val="center"/>
                        <w:rPr>
                          <w:rFonts w:hint="eastAsia" w:eastAsia="黑体"/>
                          <w:sz w:val="52"/>
                          <w:szCs w:val="52"/>
                          <w:lang w:eastAsia="zh-CN"/>
                        </w:rPr>
                      </w:pPr>
                      <w:r>
                        <w:rPr>
                          <w:rFonts w:hint="eastAsia" w:ascii="黑体" w:hAnsi="黑体" w:eastAsia="黑体"/>
                          <w:sz w:val="52"/>
                          <w:szCs w:val="52"/>
                        </w:rPr>
                        <w:t>技术规范书</w:t>
                      </w:r>
                    </w:p>
                  </w:txbxContent>
                </v:textbox>
              </v:shape>
            </w:pict>
          </mc:Fallback>
        </mc:AlternateContent>
      </w: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p>
    <w:p>
      <w:pPr>
        <w:spacing w:before="1560" w:beforeLines="500" w:line="240" w:lineRule="auto"/>
        <w:ind w:firstLine="0" w:firstLineChars="0"/>
        <w:jc w:val="left"/>
        <w:rPr>
          <w:rFonts w:ascii="Times New Roman" w:hAnsi="Times New Roman" w:eastAsia="仿宋_GB2312" w:cs="Times New Roman"/>
          <w:b/>
          <w:color w:val="000000"/>
          <w:sz w:val="36"/>
          <w:szCs w:val="20"/>
          <w:highlight w:val="yellow"/>
        </w:rPr>
      </w:pPr>
      <w:r>
        <w:rPr>
          <w:highlight w:val="yellow"/>
        </w:rPr>
        <mc:AlternateContent>
          <mc:Choice Requires="wps">
            <w:drawing>
              <wp:anchor distT="0" distB="0" distL="114300" distR="114300" simplePos="0" relativeHeight="251661312" behindDoc="0" locked="0" layoutInCell="1" allowOverlap="1">
                <wp:simplePos x="0" y="0"/>
                <wp:positionH relativeFrom="column">
                  <wp:posOffset>1029335</wp:posOffset>
                </wp:positionH>
                <wp:positionV relativeFrom="paragraph">
                  <wp:posOffset>810260</wp:posOffset>
                </wp:positionV>
                <wp:extent cx="3361055" cy="472440"/>
                <wp:effectExtent l="0" t="0" r="0" b="0"/>
                <wp:wrapNone/>
                <wp:docPr id="3" name="文本框 3"/>
                <wp:cNvGraphicFramePr/>
                <a:graphic xmlns:a="http://schemas.openxmlformats.org/drawingml/2006/main">
                  <a:graphicData uri="http://schemas.microsoft.com/office/word/2010/wordprocessingShape">
                    <wps:wsp>
                      <wps:cNvSpPr txBox="1"/>
                      <wps:spPr>
                        <a:xfrm>
                          <a:off x="0" y="0"/>
                          <a:ext cx="3361055" cy="472440"/>
                        </a:xfrm>
                        <a:prstGeom prst="rect">
                          <a:avLst/>
                        </a:prstGeom>
                        <a:noFill/>
                        <a:ln>
                          <a:noFill/>
                        </a:ln>
                      </wps:spPr>
                      <wps:txb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wps:txbx>
                      <wps:bodyPr upright="1"/>
                    </wps:wsp>
                  </a:graphicData>
                </a:graphic>
              </wp:anchor>
            </w:drawing>
          </mc:Choice>
          <mc:Fallback>
            <w:pict>
              <v:shape id="_x0000_s1026" o:spid="_x0000_s1026" o:spt="202" type="#_x0000_t202" style="position:absolute;left:0pt;margin-left:81.05pt;margin-top:63.8pt;height:37.2pt;width:264.65pt;z-index:251661312;mso-width-relative:page;mso-height-relative:page;" filled="f" stroked="f" coordsize="21600,21600" o:gfxdata="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L4PpKvX&#10;AAAACwEAAA8AAAAAAAAAAQAgAAAAIgAAAGRycy9kb3ducmV2LnhtbFBLAQIUABQAAAAIAIdO4kAM&#10;1I5srwEAAE4DAAAOAAAAAAAAAAEAIAAAACYBAABkcnMvZTJvRG9jLnhtbFBLBQYAAAAABgAGAFkB&#10;AABHBQAAAAA=&#10;">
                <v:fill on="f" focussize="0,0"/>
                <v:stroke on="f"/>
                <v:imagedata o:title=""/>
                <o:lock v:ext="edit" aspectratio="f"/>
                <v:textbox>
                  <w:txbxContent>
                    <w:p>
                      <w:pPr>
                        <w:ind w:firstLine="0" w:firstLineChars="0"/>
                        <w:jc w:val="center"/>
                        <w:rPr>
                          <w:sz w:val="28"/>
                          <w:szCs w:val="28"/>
                        </w:rPr>
                      </w:pPr>
                      <w:r>
                        <w:rPr>
                          <w:rFonts w:hint="eastAsia"/>
                          <w:sz w:val="28"/>
                          <w:szCs w:val="28"/>
                        </w:rPr>
                        <w:t>广西电网</w:t>
                      </w:r>
                      <w:r>
                        <w:rPr>
                          <w:rFonts w:hint="eastAsia"/>
                          <w:sz w:val="28"/>
                          <w:szCs w:val="28"/>
                          <w:lang w:eastAsia="zh-CN"/>
                        </w:rPr>
                        <w:t>有限责任</w:t>
                      </w:r>
                      <w:r>
                        <w:rPr>
                          <w:rFonts w:hint="eastAsia"/>
                          <w:sz w:val="28"/>
                          <w:szCs w:val="28"/>
                        </w:rPr>
                        <w:t>公司防城港供电局</w:t>
                      </w:r>
                    </w:p>
                    <w:p/>
                  </w:txbxContent>
                </v:textbox>
              </v:shape>
            </w:pict>
          </mc:Fallback>
        </mc:AlternateContent>
      </w:r>
    </w:p>
    <w:p>
      <w:pPr>
        <w:spacing w:before="1560" w:beforeLines="500" w:line="240" w:lineRule="auto"/>
        <w:ind w:firstLine="0" w:firstLineChars="0"/>
        <w:jc w:val="center"/>
        <w:rPr>
          <w:rFonts w:ascii="Times New Roman" w:hAnsi="Times New Roman" w:eastAsia="仿宋_GB2312" w:cs="Times New Roman"/>
          <w:b/>
          <w:color w:val="000000"/>
          <w:sz w:val="36"/>
          <w:szCs w:val="20"/>
        </w:rPr>
      </w:pPr>
    </w:p>
    <w:p>
      <w:pPr>
        <w:spacing w:before="1560" w:beforeLines="500" w:line="240" w:lineRule="auto"/>
        <w:ind w:firstLine="0" w:firstLineChars="0"/>
        <w:jc w:val="center"/>
        <w:rPr>
          <w:rFonts w:ascii="Times New Roman" w:hAnsi="Times New Roman" w:eastAsia="仿宋_GB2312" w:cs="Times New Roman"/>
          <w:b/>
          <w:color w:val="000000"/>
          <w:sz w:val="36"/>
          <w:szCs w:val="20"/>
        </w:rPr>
      </w:pPr>
      <w:r>
        <w:rPr>
          <w:rFonts w:hint="eastAsia" w:ascii="Times New Roman" w:hAnsi="Times New Roman" w:eastAsia="仿宋_GB2312" w:cs="Times New Roman"/>
          <w:b/>
          <w:color w:val="000000"/>
          <w:sz w:val="36"/>
          <w:szCs w:val="20"/>
        </w:rPr>
        <w:t>目录</w:t>
      </w:r>
    </w:p>
    <w:p>
      <w:pPr>
        <w:pStyle w:val="11"/>
        <w:tabs>
          <w:tab w:val="right" w:leader="dot" w:pos="8306"/>
        </w:tabs>
      </w:pPr>
      <w:r>
        <w:rPr>
          <w:rFonts w:eastAsia="仿宋_GB2312"/>
          <w:color w:val="000000"/>
          <w:sz w:val="36"/>
        </w:rPr>
        <w:fldChar w:fldCharType="begin"/>
      </w:r>
      <w:r>
        <w:rPr>
          <w:rFonts w:eastAsia="仿宋_GB2312"/>
          <w:color w:val="000000"/>
          <w:sz w:val="36"/>
        </w:rPr>
        <w:instrText xml:space="preserve">TOC \o "1-3" \t "" \h \z \u </w:instrText>
      </w:r>
      <w:r>
        <w:rPr>
          <w:rFonts w:eastAsia="仿宋_GB2312"/>
          <w:color w:val="000000"/>
          <w:sz w:val="36"/>
        </w:rPr>
        <w:fldChar w:fldCharType="separate"/>
      </w:r>
      <w:r>
        <w:rPr>
          <w:rFonts w:eastAsia="仿宋_GB2312"/>
          <w:color w:val="000000"/>
        </w:rPr>
        <w:fldChar w:fldCharType="begin"/>
      </w:r>
      <w:r>
        <w:rPr>
          <w:rFonts w:eastAsia="仿宋_GB2312"/>
        </w:rPr>
        <w:instrText xml:space="preserve"> HYPERLINK \l _Toc18121 </w:instrText>
      </w:r>
      <w:r>
        <w:rPr>
          <w:rFonts w:eastAsia="仿宋_GB2312"/>
        </w:rPr>
        <w:fldChar w:fldCharType="separate"/>
      </w:r>
      <w:r>
        <w:rPr>
          <w:rFonts w:hint="eastAsia"/>
        </w:rPr>
        <w:t>一、总则</w:t>
      </w:r>
      <w:r>
        <w:tab/>
      </w:r>
      <w:r>
        <w:fldChar w:fldCharType="begin"/>
      </w:r>
      <w:r>
        <w:instrText xml:space="preserve"> PAGEREF _Toc18121 \h </w:instrText>
      </w:r>
      <w:r>
        <w:fldChar w:fldCharType="separate"/>
      </w:r>
      <w:r>
        <w:t>1</w:t>
      </w:r>
      <w:r>
        <w:fldChar w:fldCharType="end"/>
      </w:r>
      <w:r>
        <w:rPr>
          <w:rFonts w:eastAsia="仿宋_GB2312"/>
          <w:color w:val="000000"/>
        </w:rPr>
        <w:fldChar w:fldCharType="end"/>
      </w:r>
    </w:p>
    <w:p>
      <w:pPr>
        <w:pStyle w:val="12"/>
        <w:tabs>
          <w:tab w:val="right" w:leader="dot" w:pos="8306"/>
        </w:tabs>
      </w:pPr>
      <w:r>
        <w:fldChar w:fldCharType="begin"/>
      </w:r>
      <w:r>
        <w:instrText xml:space="preserve"> HYPERLINK \l _Toc6979 </w:instrText>
      </w:r>
      <w:r>
        <w:fldChar w:fldCharType="separate"/>
      </w:r>
      <w:r>
        <w:rPr>
          <w:rFonts w:hint="eastAsia"/>
        </w:rPr>
        <w:t>1.1</w:t>
      </w:r>
      <w:r>
        <w:t xml:space="preserve"> </w:t>
      </w:r>
      <w:r>
        <w:rPr>
          <w:rFonts w:hint="eastAsia"/>
        </w:rPr>
        <w:t>一般要求</w:t>
      </w:r>
      <w:r>
        <w:tab/>
      </w:r>
      <w:r>
        <w:fldChar w:fldCharType="begin"/>
      </w:r>
      <w:r>
        <w:instrText xml:space="preserve"> PAGEREF _Toc6979 \h </w:instrText>
      </w:r>
      <w:r>
        <w:fldChar w:fldCharType="separate"/>
      </w:r>
      <w:r>
        <w:t>1</w:t>
      </w:r>
      <w:r>
        <w:fldChar w:fldCharType="end"/>
      </w:r>
      <w:r>
        <w:fldChar w:fldCharType="end"/>
      </w:r>
    </w:p>
    <w:p>
      <w:pPr>
        <w:pStyle w:val="12"/>
        <w:tabs>
          <w:tab w:val="right" w:leader="dot" w:pos="8306"/>
        </w:tabs>
      </w:pPr>
      <w:r>
        <w:fldChar w:fldCharType="begin"/>
      </w:r>
      <w:r>
        <w:instrText xml:space="preserve"> HYPERLINK \l _Toc21511 </w:instrText>
      </w:r>
      <w:r>
        <w:fldChar w:fldCharType="separate"/>
      </w:r>
      <w:r>
        <w:rPr>
          <w:rFonts w:hint="eastAsia"/>
        </w:rPr>
        <w:t>1.2</w:t>
      </w:r>
      <w:r>
        <w:t>标准和规范</w:t>
      </w:r>
      <w:r>
        <w:tab/>
      </w:r>
      <w:r>
        <w:fldChar w:fldCharType="begin"/>
      </w:r>
      <w:r>
        <w:instrText xml:space="preserve"> PAGEREF _Toc21511 \h </w:instrText>
      </w:r>
      <w:r>
        <w:fldChar w:fldCharType="separate"/>
      </w:r>
      <w:r>
        <w:t>2</w:t>
      </w:r>
      <w:r>
        <w:fldChar w:fldCharType="end"/>
      </w:r>
      <w:r>
        <w:fldChar w:fldCharType="end"/>
      </w:r>
    </w:p>
    <w:p>
      <w:pPr>
        <w:pStyle w:val="11"/>
        <w:tabs>
          <w:tab w:val="right" w:leader="dot" w:pos="8306"/>
        </w:tabs>
      </w:pPr>
      <w:r>
        <w:fldChar w:fldCharType="begin"/>
      </w:r>
      <w:r>
        <w:instrText xml:space="preserve"> HYPERLINK \l _Toc6871 </w:instrText>
      </w:r>
      <w:r>
        <w:fldChar w:fldCharType="separate"/>
      </w:r>
      <w:r>
        <w:rPr>
          <w:rFonts w:hint="eastAsia"/>
        </w:rPr>
        <w:t>二、技术要求</w:t>
      </w:r>
      <w:r>
        <w:tab/>
      </w:r>
      <w:r>
        <w:fldChar w:fldCharType="begin"/>
      </w:r>
      <w:r>
        <w:instrText xml:space="preserve"> PAGEREF _Toc6871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_Toc30722 </w:instrText>
      </w:r>
      <w:r>
        <w:fldChar w:fldCharType="separate"/>
      </w:r>
      <w:r>
        <w:rPr>
          <w:rFonts w:hint="eastAsia" w:ascii="宋体" w:hAnsi="宋体" w:cs="宋体"/>
          <w:szCs w:val="24"/>
          <w:lang w:val="en-US" w:eastAsia="zh-CN"/>
        </w:rPr>
        <w:t>2</w:t>
      </w:r>
      <w:r>
        <w:rPr>
          <w:rFonts w:hint="eastAsia" w:ascii="宋体" w:hAnsi="宋体" w:cs="宋体"/>
          <w:szCs w:val="24"/>
        </w:rPr>
        <w:t>.1 项目研究对象</w:t>
      </w:r>
      <w:r>
        <w:tab/>
      </w:r>
      <w:r>
        <w:fldChar w:fldCharType="begin"/>
      </w:r>
      <w:r>
        <w:instrText xml:space="preserve"> PAGEREF _Toc30722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_Toc31968 </w:instrText>
      </w:r>
      <w:r>
        <w:fldChar w:fldCharType="separate"/>
      </w:r>
      <w:r>
        <w:rPr>
          <w:rFonts w:hint="eastAsia" w:ascii="宋体" w:hAnsi="宋体" w:cs="宋体"/>
          <w:szCs w:val="24"/>
          <w:lang w:val="en-US" w:eastAsia="zh-CN"/>
        </w:rPr>
        <w:t>2</w:t>
      </w:r>
      <w:r>
        <w:rPr>
          <w:rFonts w:hint="eastAsia" w:ascii="宋体" w:hAnsi="宋体" w:cs="宋体"/>
          <w:szCs w:val="24"/>
        </w:rPr>
        <w:t>.2</w:t>
      </w:r>
      <w:r>
        <w:rPr>
          <w:rFonts w:hint="eastAsia" w:ascii="宋体" w:hAnsi="宋体" w:cs="宋体"/>
          <w:szCs w:val="24"/>
          <w:lang w:val="en-US" w:eastAsia="zh-CN"/>
        </w:rPr>
        <w:t xml:space="preserve"> </w:t>
      </w:r>
      <w:r>
        <w:rPr>
          <w:rFonts w:hint="eastAsia" w:ascii="宋体" w:hAnsi="宋体" w:cs="宋体"/>
          <w:szCs w:val="24"/>
        </w:rPr>
        <w:t>项目研究内容</w:t>
      </w:r>
      <w:r>
        <w:tab/>
      </w:r>
      <w:r>
        <w:fldChar w:fldCharType="begin"/>
      </w:r>
      <w:r>
        <w:instrText xml:space="preserve"> PAGEREF _Toc31968 \h </w:instrText>
      </w:r>
      <w:r>
        <w:fldChar w:fldCharType="separate"/>
      </w:r>
      <w:r>
        <w:t>3</w:t>
      </w:r>
      <w:r>
        <w:fldChar w:fldCharType="end"/>
      </w:r>
      <w:r>
        <w:fldChar w:fldCharType="end"/>
      </w:r>
    </w:p>
    <w:p>
      <w:pPr>
        <w:pStyle w:val="12"/>
        <w:tabs>
          <w:tab w:val="right" w:leader="dot" w:pos="8306"/>
        </w:tabs>
      </w:pPr>
      <w:r>
        <w:fldChar w:fldCharType="begin"/>
      </w:r>
      <w:r>
        <w:instrText xml:space="preserve"> HYPERLINK \l _Toc17813 </w:instrText>
      </w:r>
      <w:r>
        <w:fldChar w:fldCharType="separate"/>
      </w:r>
      <w:r>
        <w:rPr>
          <w:rFonts w:hint="eastAsia" w:ascii="宋体" w:hAnsi="宋体" w:cs="宋体"/>
          <w:szCs w:val="24"/>
          <w:lang w:val="en-US" w:eastAsia="zh-CN"/>
        </w:rPr>
        <w:t>2</w:t>
      </w:r>
      <w:r>
        <w:rPr>
          <w:rFonts w:hint="eastAsia" w:ascii="宋体" w:hAnsi="宋体" w:cs="宋体"/>
          <w:szCs w:val="24"/>
        </w:rPr>
        <w:t>.3</w:t>
      </w:r>
      <w:r>
        <w:rPr>
          <w:rFonts w:hint="eastAsia" w:ascii="宋体" w:hAnsi="宋体" w:cs="宋体"/>
          <w:szCs w:val="24"/>
          <w:lang w:val="en-US" w:eastAsia="zh-CN"/>
        </w:rPr>
        <w:t xml:space="preserve"> </w:t>
      </w:r>
      <w:r>
        <w:rPr>
          <w:rFonts w:hint="eastAsia" w:ascii="宋体" w:hAnsi="宋体" w:cs="宋体"/>
          <w:szCs w:val="24"/>
        </w:rPr>
        <w:t>技术指标要求</w:t>
      </w:r>
      <w:r>
        <w:tab/>
      </w:r>
      <w:r>
        <w:fldChar w:fldCharType="begin"/>
      </w:r>
      <w:r>
        <w:instrText xml:space="preserve"> PAGEREF _Toc17813 \h </w:instrText>
      </w:r>
      <w:r>
        <w:fldChar w:fldCharType="separate"/>
      </w:r>
      <w:r>
        <w:t>4</w:t>
      </w:r>
      <w:r>
        <w:fldChar w:fldCharType="end"/>
      </w:r>
      <w:r>
        <w:fldChar w:fldCharType="end"/>
      </w:r>
    </w:p>
    <w:p>
      <w:pPr>
        <w:pStyle w:val="12"/>
        <w:tabs>
          <w:tab w:val="right" w:leader="dot" w:pos="8306"/>
        </w:tabs>
      </w:pPr>
      <w:r>
        <w:fldChar w:fldCharType="begin"/>
      </w:r>
      <w:r>
        <w:instrText xml:space="preserve"> HYPERLINK \l _Toc8248 </w:instrText>
      </w:r>
      <w:r>
        <w:fldChar w:fldCharType="separate"/>
      </w:r>
      <w:r>
        <w:rPr>
          <w:rFonts w:hint="eastAsia" w:ascii="宋体" w:hAnsi="宋体" w:cs="宋体"/>
          <w:szCs w:val="24"/>
          <w:lang w:val="en-US" w:eastAsia="zh-CN"/>
        </w:rPr>
        <w:t>2</w:t>
      </w:r>
      <w:r>
        <w:rPr>
          <w:rFonts w:hint="eastAsia" w:ascii="宋体" w:hAnsi="宋体" w:cs="宋体"/>
          <w:szCs w:val="24"/>
        </w:rPr>
        <w:t>.4</w:t>
      </w:r>
      <w:r>
        <w:rPr>
          <w:rFonts w:hint="eastAsia" w:ascii="宋体" w:hAnsi="宋体" w:cs="宋体"/>
          <w:szCs w:val="24"/>
          <w:lang w:val="en-US" w:eastAsia="zh-CN"/>
        </w:rPr>
        <w:t xml:space="preserve"> </w:t>
      </w:r>
      <w:r>
        <w:rPr>
          <w:rFonts w:hint="eastAsia" w:ascii="宋体" w:hAnsi="宋体" w:cs="宋体"/>
          <w:szCs w:val="24"/>
        </w:rPr>
        <w:t>设备研究所需材料</w:t>
      </w:r>
      <w:r>
        <w:tab/>
      </w:r>
      <w:r>
        <w:fldChar w:fldCharType="begin"/>
      </w:r>
      <w:r>
        <w:instrText xml:space="preserve"> PAGEREF _Toc8248 \h </w:instrText>
      </w:r>
      <w:r>
        <w:fldChar w:fldCharType="separate"/>
      </w:r>
      <w:r>
        <w:t>5</w:t>
      </w:r>
      <w:r>
        <w:fldChar w:fldCharType="end"/>
      </w:r>
      <w:r>
        <w:fldChar w:fldCharType="end"/>
      </w:r>
    </w:p>
    <w:p>
      <w:pPr>
        <w:pStyle w:val="12"/>
        <w:tabs>
          <w:tab w:val="right" w:leader="dot" w:pos="8306"/>
        </w:tabs>
      </w:pPr>
      <w:r>
        <w:fldChar w:fldCharType="begin"/>
      </w:r>
      <w:r>
        <w:instrText xml:space="preserve"> HYPERLINK \l _Toc502 </w:instrText>
      </w:r>
      <w:r>
        <w:fldChar w:fldCharType="separate"/>
      </w:r>
      <w:r>
        <w:rPr>
          <w:rFonts w:hint="eastAsia" w:ascii="宋体" w:hAnsi="宋体" w:cs="宋体"/>
          <w:szCs w:val="24"/>
          <w:lang w:val="en-US" w:eastAsia="zh-CN"/>
        </w:rPr>
        <w:t>2</w:t>
      </w:r>
      <w:r>
        <w:rPr>
          <w:rFonts w:hint="eastAsia" w:ascii="宋体" w:hAnsi="宋体" w:cs="宋体"/>
          <w:szCs w:val="24"/>
        </w:rPr>
        <w:t>.5</w:t>
      </w:r>
      <w:r>
        <w:rPr>
          <w:rFonts w:hint="eastAsia" w:ascii="宋体" w:hAnsi="宋体" w:cs="宋体"/>
          <w:szCs w:val="24"/>
          <w:lang w:val="en-US" w:eastAsia="zh-CN"/>
        </w:rPr>
        <w:t xml:space="preserve"> </w:t>
      </w:r>
      <w:r>
        <w:rPr>
          <w:rFonts w:hint="eastAsia" w:ascii="宋体" w:hAnsi="宋体" w:cs="宋体"/>
          <w:szCs w:val="24"/>
        </w:rPr>
        <w:t>加工服务地点和期限</w:t>
      </w:r>
      <w:r>
        <w:tab/>
      </w:r>
      <w:r>
        <w:fldChar w:fldCharType="begin"/>
      </w:r>
      <w:r>
        <w:instrText xml:space="preserve"> PAGEREF _Toc502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_Toc6137 </w:instrText>
      </w:r>
      <w:r>
        <w:fldChar w:fldCharType="separate"/>
      </w:r>
      <w:r>
        <w:rPr>
          <w:rFonts w:hint="eastAsia"/>
        </w:rPr>
        <w:t>三、研究开发成果交付物</w:t>
      </w:r>
      <w:r>
        <w:tab/>
      </w:r>
      <w:r>
        <w:fldChar w:fldCharType="begin"/>
      </w:r>
      <w:r>
        <w:instrText xml:space="preserve"> PAGEREF _Toc6137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_Toc13225 </w:instrText>
      </w:r>
      <w:r>
        <w:fldChar w:fldCharType="separate"/>
      </w:r>
      <w:r>
        <w:rPr>
          <w:rFonts w:hint="eastAsia"/>
        </w:rPr>
        <w:t>四、开发人员</w:t>
      </w:r>
      <w:r>
        <w:tab/>
      </w:r>
      <w:r>
        <w:fldChar w:fldCharType="begin"/>
      </w:r>
      <w:r>
        <w:instrText xml:space="preserve"> PAGEREF _Toc13225 \h </w:instrText>
      </w:r>
      <w:r>
        <w:fldChar w:fldCharType="separate"/>
      </w:r>
      <w:r>
        <w:t>6</w:t>
      </w:r>
      <w:r>
        <w:fldChar w:fldCharType="end"/>
      </w:r>
      <w:r>
        <w:fldChar w:fldCharType="end"/>
      </w:r>
    </w:p>
    <w:p>
      <w:pPr>
        <w:pStyle w:val="11"/>
        <w:tabs>
          <w:tab w:val="right" w:leader="dot" w:pos="8306"/>
        </w:tabs>
      </w:pPr>
      <w:r>
        <w:fldChar w:fldCharType="begin"/>
      </w:r>
      <w:r>
        <w:instrText xml:space="preserve"> HYPERLINK \l _Toc22815 </w:instrText>
      </w:r>
      <w:r>
        <w:fldChar w:fldCharType="separate"/>
      </w:r>
      <w:r>
        <w:rPr>
          <w:rFonts w:hint="eastAsia"/>
        </w:rPr>
        <w:t>五、投标技术文件编制要求</w:t>
      </w:r>
      <w:r>
        <w:tab/>
      </w:r>
      <w:r>
        <w:fldChar w:fldCharType="begin"/>
      </w:r>
      <w:r>
        <w:instrText xml:space="preserve"> PAGEREF _Toc22815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_Toc2588 </w:instrText>
      </w:r>
      <w:r>
        <w:fldChar w:fldCharType="separate"/>
      </w:r>
      <w:r>
        <w:rPr>
          <w:rFonts w:hint="eastAsia"/>
        </w:rPr>
        <w:t>5.1</w:t>
      </w:r>
      <w:r>
        <w:t xml:space="preserve"> </w:t>
      </w:r>
      <w:r>
        <w:rPr>
          <w:rFonts w:hint="eastAsia"/>
        </w:rPr>
        <w:t>研究内容</w:t>
      </w:r>
      <w:r>
        <w:tab/>
      </w:r>
      <w:r>
        <w:fldChar w:fldCharType="begin"/>
      </w:r>
      <w:r>
        <w:instrText xml:space="preserve"> PAGEREF _Toc2588 \h </w:instrText>
      </w:r>
      <w:r>
        <w:fldChar w:fldCharType="separate"/>
      </w:r>
      <w:r>
        <w:t>6</w:t>
      </w:r>
      <w:r>
        <w:fldChar w:fldCharType="end"/>
      </w:r>
      <w:r>
        <w:fldChar w:fldCharType="end"/>
      </w:r>
    </w:p>
    <w:p>
      <w:pPr>
        <w:pStyle w:val="12"/>
        <w:tabs>
          <w:tab w:val="right" w:leader="dot" w:pos="8306"/>
        </w:tabs>
      </w:pPr>
      <w:r>
        <w:fldChar w:fldCharType="begin"/>
      </w:r>
      <w:r>
        <w:instrText xml:space="preserve"> HYPERLINK \l _Toc12859 </w:instrText>
      </w:r>
      <w:r>
        <w:fldChar w:fldCharType="separate"/>
      </w:r>
      <w:r>
        <w:rPr>
          <w:rFonts w:hint="eastAsia"/>
        </w:rPr>
        <w:t>5.</w:t>
      </w:r>
      <w:r>
        <w:t xml:space="preserve">2 </w:t>
      </w:r>
      <w:r>
        <w:rPr>
          <w:rFonts w:hint="eastAsia"/>
        </w:rPr>
        <w:t>研究思路与技术路线</w:t>
      </w:r>
      <w:r>
        <w:tab/>
      </w:r>
      <w:r>
        <w:fldChar w:fldCharType="begin"/>
      </w:r>
      <w:r>
        <w:instrText xml:space="preserve"> PAGEREF _Toc12859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_Toc27403 </w:instrText>
      </w:r>
      <w:r>
        <w:fldChar w:fldCharType="separate"/>
      </w:r>
      <w:r>
        <w:rPr>
          <w:rFonts w:hint="eastAsia"/>
        </w:rPr>
        <w:t>5.</w:t>
      </w:r>
      <w:r>
        <w:t xml:space="preserve">3 </w:t>
      </w:r>
      <w:r>
        <w:rPr>
          <w:rFonts w:hint="eastAsia"/>
        </w:rPr>
        <w:t>研究进度目标及指标</w:t>
      </w:r>
      <w:r>
        <w:tab/>
      </w:r>
      <w:r>
        <w:fldChar w:fldCharType="begin"/>
      </w:r>
      <w:r>
        <w:instrText xml:space="preserve"> PAGEREF _Toc27403 \h </w:instrText>
      </w:r>
      <w:r>
        <w:fldChar w:fldCharType="separate"/>
      </w:r>
      <w:r>
        <w:t>7</w:t>
      </w:r>
      <w:r>
        <w:fldChar w:fldCharType="end"/>
      </w:r>
      <w:r>
        <w:fldChar w:fldCharType="end"/>
      </w:r>
    </w:p>
    <w:p>
      <w:pPr>
        <w:pStyle w:val="12"/>
        <w:tabs>
          <w:tab w:val="right" w:leader="dot" w:pos="8306"/>
        </w:tabs>
      </w:pPr>
      <w:r>
        <w:fldChar w:fldCharType="begin"/>
      </w:r>
      <w:r>
        <w:instrText xml:space="preserve"> HYPERLINK \l _Toc17858 </w:instrText>
      </w:r>
      <w:r>
        <w:fldChar w:fldCharType="separate"/>
      </w:r>
      <w:r>
        <w:rPr>
          <w:rFonts w:hint="eastAsia"/>
        </w:rPr>
        <w:t>5.</w:t>
      </w:r>
      <w:r>
        <w:t xml:space="preserve">4 </w:t>
      </w:r>
      <w:r>
        <w:rPr>
          <w:rFonts w:hint="eastAsia"/>
        </w:rPr>
        <w:t>项目实施的组织、管理</w:t>
      </w:r>
      <w:r>
        <w:tab/>
      </w:r>
      <w:r>
        <w:fldChar w:fldCharType="begin"/>
      </w:r>
      <w:r>
        <w:instrText xml:space="preserve"> PAGEREF _Toc17858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_Toc7198 </w:instrText>
      </w:r>
      <w:r>
        <w:fldChar w:fldCharType="separate"/>
      </w:r>
      <w:r>
        <w:rPr>
          <w:rFonts w:hint="eastAsia"/>
        </w:rPr>
        <w:t>5.</w:t>
      </w:r>
      <w:r>
        <w:t xml:space="preserve">5 </w:t>
      </w:r>
      <w:r>
        <w:rPr>
          <w:rFonts w:hint="eastAsia"/>
        </w:rPr>
        <w:t>承担能力说明</w:t>
      </w:r>
      <w:r>
        <w:tab/>
      </w:r>
      <w:r>
        <w:fldChar w:fldCharType="begin"/>
      </w:r>
      <w:r>
        <w:instrText xml:space="preserve"> PAGEREF _Toc7198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_Toc17332 </w:instrText>
      </w:r>
      <w:r>
        <w:fldChar w:fldCharType="separate"/>
      </w:r>
      <w:r>
        <w:rPr>
          <w:rFonts w:hint="eastAsia"/>
        </w:rPr>
        <w:t>5.6</w:t>
      </w:r>
      <w:r>
        <w:t xml:space="preserve"> </w:t>
      </w:r>
      <w:r>
        <w:rPr>
          <w:rFonts w:hint="eastAsia"/>
        </w:rPr>
        <w:t>成果产生的数量、形式</w:t>
      </w:r>
      <w:r>
        <w:tab/>
      </w:r>
      <w:r>
        <w:fldChar w:fldCharType="begin"/>
      </w:r>
      <w:r>
        <w:instrText xml:space="preserve"> PAGEREF _Toc17332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_Toc29281 </w:instrText>
      </w:r>
      <w:r>
        <w:fldChar w:fldCharType="separate"/>
      </w:r>
      <w:r>
        <w:rPr>
          <w:rFonts w:hint="eastAsia"/>
        </w:rPr>
        <w:t>5.7</w:t>
      </w:r>
      <w:r>
        <w:rPr>
          <w:rFonts w:hint="eastAsia"/>
          <w:lang w:val="en-US" w:eastAsia="zh-CN"/>
        </w:rPr>
        <w:t xml:space="preserve"> </w:t>
      </w:r>
      <w:r>
        <w:rPr>
          <w:rFonts w:hint="eastAsia"/>
        </w:rPr>
        <w:t>技术方案中涉及技术秘密的申明</w:t>
      </w:r>
      <w:r>
        <w:tab/>
      </w:r>
      <w:r>
        <w:fldChar w:fldCharType="begin"/>
      </w:r>
      <w:r>
        <w:instrText xml:space="preserve"> PAGEREF _Toc29281 \h </w:instrText>
      </w:r>
      <w:r>
        <w:fldChar w:fldCharType="separate"/>
      </w:r>
      <w:r>
        <w:t>8</w:t>
      </w:r>
      <w:r>
        <w:fldChar w:fldCharType="end"/>
      </w:r>
      <w:r>
        <w:fldChar w:fldCharType="end"/>
      </w:r>
    </w:p>
    <w:p>
      <w:pPr>
        <w:pStyle w:val="12"/>
        <w:tabs>
          <w:tab w:val="right" w:leader="dot" w:pos="8306"/>
        </w:tabs>
      </w:pPr>
      <w:r>
        <w:fldChar w:fldCharType="begin"/>
      </w:r>
      <w:r>
        <w:instrText xml:space="preserve"> HYPERLINK \l _Toc17850 </w:instrText>
      </w:r>
      <w:r>
        <w:fldChar w:fldCharType="separate"/>
      </w:r>
      <w:r>
        <w:rPr>
          <w:rFonts w:hint="eastAsia"/>
          <w:lang w:val="en-US" w:eastAsia="zh-CN"/>
        </w:rPr>
        <w:t>5.8 售后服务承诺</w:t>
      </w:r>
      <w:r>
        <w:tab/>
      </w:r>
      <w:r>
        <w:fldChar w:fldCharType="begin"/>
      </w:r>
      <w:r>
        <w:instrText xml:space="preserve"> PAGEREF _Toc17850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_Toc32386 </w:instrText>
      </w:r>
      <w:r>
        <w:fldChar w:fldCharType="separate"/>
      </w:r>
      <w:r>
        <w:rPr>
          <w:rFonts w:hint="eastAsia"/>
          <w:bCs/>
        </w:rPr>
        <w:t>六、技术资料和文件</w:t>
      </w:r>
      <w:r>
        <w:tab/>
      </w:r>
      <w:r>
        <w:fldChar w:fldCharType="begin"/>
      </w:r>
      <w:r>
        <w:instrText xml:space="preserve"> PAGEREF _Toc32386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_Toc2277 </w:instrText>
      </w:r>
      <w:r>
        <w:fldChar w:fldCharType="separate"/>
      </w:r>
      <w:r>
        <w:rPr>
          <w:rFonts w:hint="eastAsia"/>
        </w:rPr>
        <w:t>七、项目联络</w:t>
      </w:r>
      <w:r>
        <w:tab/>
      </w:r>
      <w:r>
        <w:fldChar w:fldCharType="begin"/>
      </w:r>
      <w:r>
        <w:instrText xml:space="preserve"> PAGEREF _Toc2277 \h </w:instrText>
      </w:r>
      <w:r>
        <w:fldChar w:fldCharType="separate"/>
      </w:r>
      <w:r>
        <w:t>10</w:t>
      </w:r>
      <w:r>
        <w:fldChar w:fldCharType="end"/>
      </w:r>
      <w:r>
        <w:fldChar w:fldCharType="end"/>
      </w:r>
    </w:p>
    <w:p>
      <w:pPr>
        <w:pStyle w:val="11"/>
        <w:tabs>
          <w:tab w:val="right" w:leader="dot" w:pos="8306"/>
        </w:tabs>
      </w:pPr>
      <w:r>
        <w:fldChar w:fldCharType="begin"/>
      </w:r>
      <w:r>
        <w:instrText xml:space="preserve"> HYPERLINK \l _Toc9208 </w:instrText>
      </w:r>
      <w:r>
        <w:fldChar w:fldCharType="separate"/>
      </w:r>
      <w:r>
        <w:rPr>
          <w:rFonts w:hint="eastAsia"/>
        </w:rPr>
        <w:t>八、评审与验收</w:t>
      </w:r>
      <w:r>
        <w:tab/>
      </w:r>
      <w:r>
        <w:fldChar w:fldCharType="begin"/>
      </w:r>
      <w:r>
        <w:instrText xml:space="preserve"> PAGEREF _Toc9208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_Toc23222 </w:instrText>
      </w:r>
      <w:r>
        <w:fldChar w:fldCharType="separate"/>
      </w:r>
      <w:r>
        <w:rPr>
          <w:rFonts w:hint="eastAsia"/>
        </w:rPr>
        <w:t>九、售后服务</w:t>
      </w:r>
      <w:r>
        <w:tab/>
      </w:r>
      <w:r>
        <w:fldChar w:fldCharType="begin"/>
      </w:r>
      <w:r>
        <w:instrText xml:space="preserve"> PAGEREF _Toc23222 \h </w:instrText>
      </w:r>
      <w:r>
        <w:fldChar w:fldCharType="separate"/>
      </w:r>
      <w:r>
        <w:t>11</w:t>
      </w:r>
      <w:r>
        <w:fldChar w:fldCharType="end"/>
      </w:r>
      <w:r>
        <w:fldChar w:fldCharType="end"/>
      </w:r>
    </w:p>
    <w:p>
      <w:pPr>
        <w:pStyle w:val="11"/>
        <w:tabs>
          <w:tab w:val="right" w:leader="dot" w:pos="8306"/>
        </w:tabs>
      </w:pPr>
      <w:r>
        <w:fldChar w:fldCharType="begin"/>
      </w:r>
      <w:r>
        <w:instrText xml:space="preserve"> HYPERLINK \l _Toc14985 </w:instrText>
      </w:r>
      <w:r>
        <w:fldChar w:fldCharType="separate"/>
      </w:r>
      <w:r>
        <w:rPr>
          <w:rFonts w:hint="eastAsia"/>
        </w:rPr>
        <w:t>十、其他相关要求</w:t>
      </w:r>
      <w:r>
        <w:tab/>
      </w:r>
      <w:r>
        <w:fldChar w:fldCharType="begin"/>
      </w:r>
      <w:r>
        <w:instrText xml:space="preserve"> PAGEREF _Toc14985 \h </w:instrText>
      </w:r>
      <w:r>
        <w:fldChar w:fldCharType="separate"/>
      </w:r>
      <w:r>
        <w:t>12</w:t>
      </w:r>
      <w:r>
        <w:fldChar w:fldCharType="end"/>
      </w:r>
      <w:r>
        <w:fldChar w:fldCharType="end"/>
      </w:r>
    </w:p>
    <w:p>
      <w:pPr>
        <w:pStyle w:val="11"/>
        <w:tabs>
          <w:tab w:val="right" w:leader="dot" w:pos="8306"/>
        </w:tabs>
      </w:pPr>
      <w:r>
        <w:fldChar w:fldCharType="begin"/>
      </w:r>
      <w:r>
        <w:instrText xml:space="preserve"> HYPERLINK \l _Toc31513 </w:instrText>
      </w:r>
      <w:r>
        <w:fldChar w:fldCharType="separate"/>
      </w:r>
      <w:r>
        <w:rPr>
          <w:bCs/>
        </w:rPr>
        <w:t>1</w:t>
      </w:r>
      <w:r>
        <w:rPr>
          <w:rFonts w:hint="eastAsia"/>
          <w:bCs/>
        </w:rPr>
        <w:t>0</w:t>
      </w:r>
      <w:r>
        <w:rPr>
          <w:bCs/>
        </w:rPr>
        <w:t>.1</w:t>
      </w:r>
      <w:r>
        <w:rPr>
          <w:rFonts w:hint="eastAsia"/>
          <w:bCs/>
          <w:lang w:val="en-US" w:eastAsia="zh-CN"/>
        </w:rPr>
        <w:t xml:space="preserve"> </w:t>
      </w:r>
      <w:r>
        <w:rPr>
          <w:rFonts w:hint="eastAsia"/>
          <w:bCs/>
        </w:rPr>
        <w:t>技术配合</w:t>
      </w:r>
      <w:r>
        <w:tab/>
      </w:r>
      <w:r>
        <w:fldChar w:fldCharType="begin"/>
      </w:r>
      <w:r>
        <w:instrText xml:space="preserve"> PAGEREF _Toc31513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_Toc5313 </w:instrText>
      </w:r>
      <w:r>
        <w:fldChar w:fldCharType="separate"/>
      </w:r>
      <w:r>
        <w:t>1</w:t>
      </w:r>
      <w:r>
        <w:rPr>
          <w:rFonts w:hint="eastAsia"/>
        </w:rPr>
        <w:t>0</w:t>
      </w:r>
      <w:r>
        <w:t>.2</w:t>
      </w:r>
      <w:r>
        <w:rPr>
          <w:rFonts w:hint="eastAsia"/>
          <w:lang w:val="en-US" w:eastAsia="zh-CN"/>
        </w:rPr>
        <w:t xml:space="preserve"> </w:t>
      </w:r>
      <w:r>
        <w:rPr>
          <w:rFonts w:hint="eastAsia"/>
        </w:rPr>
        <w:t>现场服务</w:t>
      </w:r>
      <w:r>
        <w:tab/>
      </w:r>
      <w:r>
        <w:fldChar w:fldCharType="begin"/>
      </w:r>
      <w:r>
        <w:instrText xml:space="preserve"> PAGEREF _Toc5313 \h </w:instrText>
      </w:r>
      <w:r>
        <w:fldChar w:fldCharType="separate"/>
      </w:r>
      <w:r>
        <w:t>12</w:t>
      </w:r>
      <w:r>
        <w:fldChar w:fldCharType="end"/>
      </w:r>
      <w:r>
        <w:fldChar w:fldCharType="end"/>
      </w:r>
    </w:p>
    <w:p>
      <w:pPr>
        <w:pStyle w:val="12"/>
        <w:tabs>
          <w:tab w:val="right" w:leader="dot" w:pos="8306"/>
        </w:tabs>
      </w:pPr>
      <w:r>
        <w:fldChar w:fldCharType="begin"/>
      </w:r>
      <w:r>
        <w:instrText xml:space="preserve"> HYPERLINK \l _Toc881 </w:instrText>
      </w:r>
      <w:r>
        <w:fldChar w:fldCharType="separate"/>
      </w:r>
      <w:r>
        <w:t>1</w:t>
      </w:r>
      <w:r>
        <w:rPr>
          <w:rFonts w:hint="eastAsia"/>
        </w:rPr>
        <w:t>0</w:t>
      </w:r>
      <w:r>
        <w:t>.3</w:t>
      </w:r>
      <w:r>
        <w:rPr>
          <w:rFonts w:hint="eastAsia"/>
          <w:lang w:val="en-US" w:eastAsia="zh-CN"/>
        </w:rPr>
        <w:t xml:space="preserve"> </w:t>
      </w:r>
      <w:r>
        <w:rPr>
          <w:rFonts w:hint="eastAsia"/>
        </w:rPr>
        <w:t>培训</w:t>
      </w:r>
      <w:r>
        <w:tab/>
      </w:r>
      <w:r>
        <w:fldChar w:fldCharType="begin"/>
      </w:r>
      <w:r>
        <w:instrText xml:space="preserve"> PAGEREF _Toc881 \h </w:instrText>
      </w:r>
      <w:r>
        <w:fldChar w:fldCharType="separate"/>
      </w:r>
      <w:r>
        <w:t>13</w:t>
      </w:r>
      <w:r>
        <w:fldChar w:fldCharType="end"/>
      </w:r>
      <w:r>
        <w:fldChar w:fldCharType="end"/>
      </w:r>
    </w:p>
    <w:p>
      <w:pPr>
        <w:pStyle w:val="12"/>
        <w:tabs>
          <w:tab w:val="right" w:leader="dot" w:pos="8306"/>
        </w:tabs>
      </w:pPr>
      <w:r>
        <w:fldChar w:fldCharType="begin"/>
      </w:r>
      <w:r>
        <w:instrText xml:space="preserve"> HYPERLINK \l _Toc23383 </w:instrText>
      </w:r>
      <w:r>
        <w:fldChar w:fldCharType="separate"/>
      </w:r>
      <w:r>
        <w:rPr>
          <w:rFonts w:hint="eastAsia"/>
        </w:rPr>
        <w:t>1</w:t>
      </w:r>
      <w:r>
        <w:rPr>
          <w:rFonts w:hint="eastAsia"/>
          <w:lang w:val="en-US" w:eastAsia="zh-CN"/>
        </w:rPr>
        <w:t>0</w:t>
      </w:r>
      <w:r>
        <w:rPr>
          <w:rFonts w:hint="eastAsia"/>
        </w:rPr>
        <w:t>.4 知识产权约定</w:t>
      </w:r>
      <w:r>
        <w:tab/>
      </w:r>
      <w:r>
        <w:fldChar w:fldCharType="begin"/>
      </w:r>
      <w:r>
        <w:instrText xml:space="preserve"> PAGEREF _Toc23383 \h </w:instrText>
      </w:r>
      <w:r>
        <w:fldChar w:fldCharType="separate"/>
      </w:r>
      <w:r>
        <w:t>13</w:t>
      </w:r>
      <w:r>
        <w:fldChar w:fldCharType="end"/>
      </w:r>
      <w:r>
        <w:fldChar w:fldCharType="end"/>
      </w:r>
    </w:p>
    <w:p>
      <w:pPr>
        <w:pStyle w:val="11"/>
        <w:tabs>
          <w:tab w:val="right" w:leader="dot" w:pos="8306"/>
        </w:tabs>
      </w:pPr>
      <w:r>
        <w:fldChar w:fldCharType="begin"/>
      </w:r>
      <w:r>
        <w:instrText xml:space="preserve"> HYPERLINK \l _Toc8949 </w:instrText>
      </w:r>
      <w:r>
        <w:fldChar w:fldCharType="separate"/>
      </w:r>
      <w:r>
        <w:rPr>
          <w:rFonts w:hint="eastAsia"/>
        </w:rPr>
        <w:t>附件</w:t>
      </w:r>
      <w:r>
        <w:tab/>
      </w:r>
      <w:r>
        <w:fldChar w:fldCharType="begin"/>
      </w:r>
      <w:r>
        <w:instrText xml:space="preserve"> PAGEREF _Toc8949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_Toc27802 </w:instrText>
      </w:r>
      <w:r>
        <w:fldChar w:fldCharType="separate"/>
      </w:r>
      <w:r>
        <w:rPr>
          <w:rFonts w:hint="eastAsia"/>
        </w:rPr>
        <w:t>1、差异表</w:t>
      </w:r>
      <w:r>
        <w:tab/>
      </w:r>
      <w:r>
        <w:fldChar w:fldCharType="begin"/>
      </w:r>
      <w:r>
        <w:instrText xml:space="preserve"> PAGEREF _Toc27802 \h </w:instrText>
      </w:r>
      <w:r>
        <w:fldChar w:fldCharType="separate"/>
      </w:r>
      <w:r>
        <w:t>14</w:t>
      </w:r>
      <w:r>
        <w:fldChar w:fldCharType="end"/>
      </w:r>
      <w:r>
        <w:fldChar w:fldCharType="end"/>
      </w:r>
    </w:p>
    <w:p>
      <w:pPr>
        <w:pStyle w:val="12"/>
        <w:tabs>
          <w:tab w:val="right" w:leader="dot" w:pos="8306"/>
        </w:tabs>
      </w:pPr>
      <w:r>
        <w:fldChar w:fldCharType="begin"/>
      </w:r>
      <w:r>
        <w:instrText xml:space="preserve"> HYPERLINK \l _Toc17121 </w:instrText>
      </w:r>
      <w:r>
        <w:fldChar w:fldCharType="separate"/>
      </w:r>
      <w:r>
        <w:rPr>
          <w:rFonts w:hint="eastAsia"/>
        </w:rPr>
        <w:t>2、投标方需要说明的其它问题</w:t>
      </w:r>
      <w:r>
        <w:tab/>
      </w:r>
      <w:r>
        <w:fldChar w:fldCharType="begin"/>
      </w:r>
      <w:r>
        <w:instrText xml:space="preserve"> PAGEREF _Toc17121 \h </w:instrText>
      </w:r>
      <w:r>
        <w:fldChar w:fldCharType="separate"/>
      </w:r>
      <w:r>
        <w:t>14</w:t>
      </w:r>
      <w:r>
        <w:fldChar w:fldCharType="end"/>
      </w:r>
      <w:r>
        <w:fldChar w:fldCharType="end"/>
      </w:r>
    </w:p>
    <w:p>
      <w:pPr>
        <w:ind w:firstLine="480"/>
        <w:sectPr>
          <w:headerReference r:id="rId5" w:type="default"/>
          <w:footerReference r:id="rId6" w:type="default"/>
          <w:pgSz w:w="11906" w:h="16838"/>
          <w:pgMar w:top="1440" w:right="1800" w:bottom="1440" w:left="1800" w:header="851" w:footer="992" w:gutter="0"/>
          <w:cols w:space="720" w:num="1"/>
          <w:docGrid w:type="lines" w:linePitch="312" w:charSpace="0"/>
        </w:sectPr>
      </w:pPr>
      <w:r>
        <w:fldChar w:fldCharType="end"/>
      </w:r>
      <w:bookmarkStart w:id="0" w:name="_Toc353940788"/>
      <w:bookmarkStart w:id="1" w:name="_Toc299606277"/>
      <w:bookmarkStart w:id="2" w:name="_Toc444945507"/>
      <w:bookmarkStart w:id="3" w:name="_Toc353939550"/>
    </w:p>
    <w:p>
      <w:pPr>
        <w:pStyle w:val="4"/>
        <w:numPr>
          <w:ilvl w:val="0"/>
          <w:numId w:val="0"/>
        </w:numPr>
        <w:bidi w:val="0"/>
        <w:ind w:left="432" w:leftChars="0"/>
      </w:pPr>
      <w:bookmarkStart w:id="4" w:name="_Toc18121"/>
      <w:r>
        <w:rPr>
          <w:rFonts w:hint="eastAsia"/>
        </w:rPr>
        <w:t>一、总则</w:t>
      </w:r>
      <w:bookmarkEnd w:id="0"/>
      <w:bookmarkEnd w:id="1"/>
      <w:bookmarkEnd w:id="2"/>
      <w:bookmarkEnd w:id="3"/>
      <w:bookmarkEnd w:id="4"/>
    </w:p>
    <w:p>
      <w:pPr>
        <w:pStyle w:val="5"/>
      </w:pPr>
      <w:bookmarkStart w:id="5" w:name="_Toc318799924"/>
      <w:bookmarkStart w:id="6" w:name="_Toc444945508"/>
      <w:bookmarkStart w:id="7" w:name="_Toc6979"/>
      <w:r>
        <w:rPr>
          <w:rFonts w:hint="eastAsia"/>
        </w:rPr>
        <w:t>1.1</w:t>
      </w:r>
      <w:r>
        <w:t xml:space="preserve"> </w:t>
      </w:r>
      <w:r>
        <w:rPr>
          <w:rFonts w:hint="eastAsia"/>
        </w:rPr>
        <w:t>一般要求</w:t>
      </w:r>
      <w:bookmarkEnd w:id="5"/>
      <w:bookmarkEnd w:id="6"/>
      <w:bookmarkEnd w:id="7"/>
    </w:p>
    <w:p>
      <w:pPr>
        <w:ind w:firstLine="480"/>
        <w:rPr>
          <w:rFonts w:ascii="宋体" w:hAnsi="宋体"/>
        </w:rPr>
      </w:pPr>
      <w:bookmarkStart w:id="8" w:name="_Toc299606280"/>
      <w:bookmarkStart w:id="9" w:name="_Toc353939553"/>
      <w:bookmarkStart w:id="10" w:name="_Toc353940791"/>
      <w:bookmarkStart w:id="11" w:name="_Toc444945511"/>
      <w:r>
        <w:rPr>
          <w:rFonts w:hint="eastAsia" w:ascii="宋体" w:hAnsi="宋体"/>
        </w:rPr>
        <w:t>1.1.1 本技术条款主要描述广西电网有限责任公司</w:t>
      </w:r>
      <w:r>
        <w:rPr>
          <w:rFonts w:hint="eastAsia" w:ascii="宋体" w:hAnsi="宋体"/>
          <w:lang w:eastAsia="zh-CN"/>
        </w:rPr>
        <w:t>防城港</w:t>
      </w:r>
      <w:r>
        <w:rPr>
          <w:rFonts w:hint="eastAsia" w:ascii="宋体" w:hAnsi="宋体"/>
        </w:rPr>
        <w:t>供电</w:t>
      </w:r>
      <w:r>
        <w:rPr>
          <w:rFonts w:hint="eastAsia" w:ascii="宋体" w:hAnsi="宋体"/>
          <w:lang w:eastAsia="zh-CN"/>
        </w:rPr>
        <w:t>局速通保电多功能便捷式接线端项目研究内容有关事项。投标方必须</w:t>
      </w:r>
      <w:r>
        <w:rPr>
          <w:rFonts w:hint="eastAsia" w:ascii="宋体" w:hAnsi="宋体"/>
        </w:rPr>
        <w:t>认真阅读本技术条款内容，以免造成投标失败。</w:t>
      </w:r>
    </w:p>
    <w:p>
      <w:pPr>
        <w:ind w:firstLine="480"/>
        <w:rPr>
          <w:rFonts w:ascii="宋体" w:hAnsi="宋体"/>
        </w:rPr>
      </w:pPr>
      <w:r>
        <w:rPr>
          <w:rFonts w:ascii="宋体" w:hAnsi="宋体"/>
        </w:rPr>
        <w:t xml:space="preserve">1.1.2 </w:t>
      </w:r>
      <w:r>
        <w:rPr>
          <w:rFonts w:hint="eastAsia" w:ascii="宋体" w:hAnsi="宋体"/>
        </w:rPr>
        <w:t>本技术规范书提出的是最低限度的技术要求,并未对一切技术细节作出规定，也未充分引述有关标准和规范的条文。投标方应提供符合本招标技术文件和工业标准的优质产品、服务，认真阅读，逐条准确回答和陈述，必须清楚地说明是否满足本技术规范书的每一项具体要求。如果不满足要求，除在逐条应答时予以说明外，还需以“差异表”的形式另外列出。</w:t>
      </w:r>
    </w:p>
    <w:p>
      <w:pPr>
        <w:ind w:firstLine="480"/>
        <w:jc w:val="center"/>
        <w:rPr>
          <w:rFonts w:ascii="宋体" w:hAnsi="宋体"/>
          <w:highlight w:val="yellow"/>
        </w:rPr>
      </w:pPr>
      <w:r>
        <w:rPr>
          <w:rFonts w:ascii="宋体" w:hAnsi="宋体"/>
        </w:rPr>
        <w:t xml:space="preserve">1.1.3 </w:t>
      </w:r>
      <w:r>
        <w:rPr>
          <w:rFonts w:hint="eastAsia" w:ascii="宋体" w:hAnsi="宋体"/>
        </w:rPr>
        <w:t>本规范书指标要求中，凡标有下划线或加“★”的地方均被视为重要的技术指标要求或性能要求。投标方要特别加以注意，必须完全满足这些要求。</w:t>
      </w:r>
    </w:p>
    <w:p>
      <w:pPr>
        <w:ind w:firstLine="480"/>
        <w:rPr>
          <w:rFonts w:ascii="宋体" w:hAnsi="宋体"/>
        </w:rPr>
      </w:pPr>
      <w:r>
        <w:rPr>
          <w:rFonts w:hint="eastAsia" w:ascii="宋体" w:hAnsi="宋体"/>
        </w:rPr>
        <w:t>1.1.4 投标方应提供满足本技术规范书要求的建议书、实施方案及报价，建议书、实施方案必须满足本技术规范的主要要求，否则将被认作没有回答。投标方认为需特殊说明的部分，应附详细的技术资料，否则因评标理解不同而产生的后果由投标方负责。</w:t>
      </w:r>
    </w:p>
    <w:p>
      <w:pPr>
        <w:ind w:firstLine="480"/>
        <w:rPr>
          <w:rFonts w:ascii="宋体" w:hAnsi="宋体"/>
        </w:rPr>
      </w:pPr>
      <w:r>
        <w:rPr>
          <w:rFonts w:hint="eastAsia" w:ascii="宋体" w:hAnsi="宋体"/>
        </w:rPr>
        <w:t>1.1.5 如果投标方认为本技术条款所描述技术要求等存在不合理性或不明白的，可在响应原要求后陈述相关建议。</w:t>
      </w:r>
    </w:p>
    <w:p>
      <w:pPr>
        <w:ind w:firstLine="480"/>
        <w:rPr>
          <w:rFonts w:ascii="宋体" w:hAnsi="宋体"/>
        </w:rPr>
      </w:pPr>
      <w:r>
        <w:rPr>
          <w:rFonts w:ascii="宋体" w:hAnsi="宋体"/>
        </w:rPr>
        <w:t xml:space="preserve">1.1.6 </w:t>
      </w:r>
      <w:r>
        <w:rPr>
          <w:rFonts w:hint="eastAsia" w:ascii="宋体" w:hAnsi="宋体"/>
        </w:rPr>
        <w:t>投标方也可提出满足本技术规范书要求，且技术先进、成熟、价格合理的其他建议，供招标方选择。</w:t>
      </w:r>
    </w:p>
    <w:p>
      <w:pPr>
        <w:ind w:firstLine="480"/>
        <w:rPr>
          <w:rFonts w:ascii="宋体" w:hAnsi="宋体"/>
        </w:rPr>
      </w:pPr>
      <w:r>
        <w:rPr>
          <w:rFonts w:ascii="宋体" w:hAnsi="宋体"/>
        </w:rPr>
        <w:t xml:space="preserve">1.1.7 </w:t>
      </w:r>
      <w:r>
        <w:rPr>
          <w:rFonts w:hint="eastAsia" w:ascii="宋体" w:hAnsi="宋体"/>
        </w:rPr>
        <w:t>投标方应提供满足本技术规范书要求的完整的服务、工作产品，满足国家及用户提出的有关质量标准要求。所有工作产品必须具有在中国境内的合法使用权。</w:t>
      </w:r>
    </w:p>
    <w:p>
      <w:pPr>
        <w:ind w:firstLine="480"/>
        <w:rPr>
          <w:rFonts w:ascii="宋体" w:hAnsi="宋体"/>
        </w:rPr>
      </w:pPr>
      <w:r>
        <w:rPr>
          <w:rFonts w:hint="eastAsia" w:ascii="宋体" w:hAnsi="宋体"/>
        </w:rPr>
        <w:t>1.1.8 本技术规范书所使用的标准如与投标方所执行的标准不一致，按较高标准执行。</w:t>
      </w:r>
    </w:p>
    <w:p>
      <w:pPr>
        <w:ind w:firstLine="480"/>
        <w:rPr>
          <w:rFonts w:ascii="宋体" w:hAnsi="宋体"/>
        </w:rPr>
      </w:pPr>
      <w:r>
        <w:rPr>
          <w:rFonts w:ascii="宋体" w:hAnsi="宋体"/>
        </w:rPr>
        <w:t xml:space="preserve">1.1.9 </w:t>
      </w:r>
      <w:r>
        <w:rPr>
          <w:rFonts w:hint="eastAsia" w:ascii="宋体" w:hAnsi="宋体"/>
        </w:rPr>
        <w:t>如果因为无法提供的原因而提供其他产品、服务，投标方应明确说明并提出质量保证承诺。</w:t>
      </w:r>
    </w:p>
    <w:p>
      <w:pPr>
        <w:ind w:firstLine="480"/>
        <w:rPr>
          <w:rFonts w:ascii="宋体" w:hAnsi="宋体"/>
        </w:rPr>
      </w:pPr>
      <w:r>
        <w:rPr>
          <w:rFonts w:ascii="宋体" w:hAnsi="宋体"/>
        </w:rPr>
        <w:t xml:space="preserve">1.1.10 </w:t>
      </w:r>
      <w:r>
        <w:rPr>
          <w:rFonts w:hint="eastAsia" w:ascii="宋体" w:hAnsi="宋体"/>
        </w:rPr>
        <w:t>投标方应保证为今后招标方开发的或招标方委托第三方开发的其他工作产品提供可靠的性能和兼容性。</w:t>
      </w:r>
    </w:p>
    <w:p>
      <w:pPr>
        <w:ind w:firstLine="480"/>
        <w:rPr>
          <w:rFonts w:ascii="宋体" w:hAnsi="宋体"/>
        </w:rPr>
      </w:pPr>
      <w:r>
        <w:rPr>
          <w:rFonts w:ascii="宋体" w:hAnsi="宋体"/>
        </w:rPr>
        <w:t xml:space="preserve">1.1.11 </w:t>
      </w:r>
      <w:r>
        <w:rPr>
          <w:rFonts w:hint="eastAsia" w:ascii="宋体" w:hAnsi="宋体"/>
        </w:rPr>
        <w:t>投标方应对本次投标所有文件保密，不得向其他单位公布或泄漏招标项目的有关信息。</w:t>
      </w:r>
    </w:p>
    <w:p>
      <w:pPr>
        <w:ind w:firstLine="480"/>
        <w:rPr>
          <w:rFonts w:ascii="宋体" w:hAnsi="宋体"/>
        </w:rPr>
      </w:pPr>
      <w:r>
        <w:rPr>
          <w:rFonts w:ascii="宋体" w:hAnsi="宋体"/>
        </w:rPr>
        <w:t xml:space="preserve">1.1.12 </w:t>
      </w:r>
      <w:r>
        <w:rPr>
          <w:rFonts w:hint="eastAsia" w:ascii="宋体" w:hAnsi="宋体"/>
        </w:rPr>
        <w:t>招标方保留技术规范书修改的权利，可以提出变更的意见和建议，最终签订的技术协议与合同具有同等效力。</w:t>
      </w:r>
    </w:p>
    <w:p>
      <w:pPr>
        <w:ind w:firstLine="480"/>
        <w:rPr>
          <w:rFonts w:ascii="宋体" w:hAnsi="宋体"/>
        </w:rPr>
      </w:pPr>
      <w:r>
        <w:rPr>
          <w:rFonts w:ascii="宋体" w:hAnsi="宋体"/>
        </w:rPr>
        <w:t xml:space="preserve">1.1.13 </w:t>
      </w:r>
      <w:r>
        <w:rPr>
          <w:rFonts w:hint="eastAsia" w:ascii="宋体" w:hAnsi="宋体"/>
        </w:rPr>
        <w:t>在不超出本技术规范书要求的情况下，投标方应对招标方提出的所有细化要求予以满足。</w:t>
      </w:r>
    </w:p>
    <w:p>
      <w:pPr>
        <w:ind w:firstLine="480"/>
        <w:rPr>
          <w:rFonts w:ascii="宋体" w:hAnsi="宋体"/>
        </w:rPr>
      </w:pPr>
      <w:r>
        <w:rPr>
          <w:rFonts w:ascii="宋体" w:hAnsi="宋体"/>
        </w:rPr>
        <w:t xml:space="preserve">1.1.14 </w:t>
      </w:r>
      <w:r>
        <w:rPr>
          <w:rFonts w:hint="eastAsia" w:ascii="宋体" w:hAnsi="宋体"/>
        </w:rPr>
        <w:t>投标方建议书的详细要求见招标书的商务部分。投标方必须随投标文件提供具有全部建议书的优盘文件壹份。文件格式要求为：文字部分用Microsoft WORD 200</w:t>
      </w:r>
      <w:r>
        <w:rPr>
          <w:rFonts w:ascii="宋体" w:hAnsi="宋体"/>
        </w:rPr>
        <w:t>7</w:t>
      </w:r>
      <w:r>
        <w:rPr>
          <w:rFonts w:hint="eastAsia" w:ascii="宋体" w:hAnsi="宋体"/>
        </w:rPr>
        <w:t>，表格部分用Microsoft EXCEL 200</w:t>
      </w:r>
      <w:r>
        <w:rPr>
          <w:rFonts w:ascii="宋体" w:hAnsi="宋体"/>
        </w:rPr>
        <w:t>7</w:t>
      </w:r>
      <w:r>
        <w:rPr>
          <w:rFonts w:hint="eastAsia" w:ascii="宋体" w:hAnsi="宋体"/>
        </w:rPr>
        <w:t>，图纸部分用Microsoft Visio 200</w:t>
      </w:r>
      <w:r>
        <w:rPr>
          <w:rFonts w:ascii="宋体" w:hAnsi="宋体"/>
        </w:rPr>
        <w:t>7</w:t>
      </w:r>
      <w:r>
        <w:rPr>
          <w:rFonts w:hint="eastAsia" w:ascii="宋体" w:hAnsi="宋体"/>
        </w:rPr>
        <w:t>。投标内容以印刷的投标文件正本为准。</w:t>
      </w:r>
    </w:p>
    <w:p>
      <w:pPr>
        <w:ind w:firstLine="480"/>
        <w:rPr>
          <w:rFonts w:ascii="宋体" w:hAnsi="宋体"/>
        </w:rPr>
      </w:pPr>
      <w:r>
        <w:rPr>
          <w:rFonts w:hint="eastAsia" w:ascii="宋体" w:hAnsi="宋体"/>
        </w:rPr>
        <w:t>1.1.15 有文件、图纸、通信的均使用中文。所有计算、说明、图纸文件、手册等使用国际单位制。</w:t>
      </w:r>
    </w:p>
    <w:p>
      <w:pPr>
        <w:pStyle w:val="5"/>
      </w:pPr>
      <w:bookmarkStart w:id="12" w:name="_Toc252485428"/>
      <w:bookmarkStart w:id="13" w:name="_Toc255894290"/>
      <w:bookmarkStart w:id="14" w:name="_Toc293665071"/>
      <w:bookmarkStart w:id="15" w:name="_Toc252486971"/>
      <w:bookmarkStart w:id="16" w:name="_Toc261810243"/>
      <w:bookmarkStart w:id="17" w:name="_Toc582"/>
      <w:bookmarkStart w:id="18" w:name="_Toc445194080"/>
      <w:bookmarkStart w:id="19" w:name="_Toc222711875"/>
      <w:bookmarkStart w:id="20" w:name="_Toc21511"/>
      <w:r>
        <w:rPr>
          <w:rFonts w:hint="eastAsia"/>
        </w:rPr>
        <w:t>1.2</w:t>
      </w:r>
      <w:r>
        <w:t>标准和规范</w:t>
      </w:r>
      <w:bookmarkEnd w:id="12"/>
      <w:bookmarkEnd w:id="13"/>
      <w:bookmarkEnd w:id="14"/>
      <w:bookmarkEnd w:id="15"/>
      <w:bookmarkEnd w:id="16"/>
      <w:bookmarkEnd w:id="17"/>
      <w:bookmarkEnd w:id="18"/>
      <w:bookmarkEnd w:id="19"/>
      <w:bookmarkEnd w:id="20"/>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rPr>
        <w:t>本规范书中涉及的所有规范、标准或材料规格均应为最新版本，即以招标方发出本定单之日作为采用最新版本的截止日期。若发现本规范书与所列标准之间有不一致之处，投标方应向招标方指明，并由招标方确定采用哪一个规范。</w:t>
      </w:r>
    </w:p>
    <w:p>
      <w:pPr>
        <w:autoSpaceDE w:val="0"/>
        <w:autoSpaceDN w:val="0"/>
        <w:adjustRightInd w:val="0"/>
        <w:ind w:firstLine="480"/>
        <w:rPr>
          <w:rFonts w:ascii="Times New Roman" w:hAnsi="Times New Roman" w:cs="Times New Roman"/>
          <w:color w:val="000000"/>
          <w:szCs w:val="21"/>
          <w:lang w:val="zh-CN"/>
        </w:rPr>
      </w:pPr>
      <w:r>
        <w:rPr>
          <w:rFonts w:ascii="Times New Roman" w:hAnsi="Times New Roman" w:cs="Times New Roman"/>
          <w:color w:val="000000"/>
          <w:szCs w:val="21"/>
          <w:lang w:val="zh-CN"/>
        </w:rPr>
        <w:t>投标方如果采用自己的标准或规范，必须向招标方提供中文复印件并经招标方同意后方可采用，但不能低于GB、JB有关规定。</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ascii="Times New Roman" w:hAnsi="Times New Roman" w:cs="Times New Roman"/>
          <w:color w:val="000000"/>
          <w:szCs w:val="21"/>
          <w:lang w:val="zh-CN"/>
        </w:rPr>
        <w:t>下列标准所包括的条文，通过在本规定中引用而构成本规定的条文。本标准出版时</w:t>
      </w:r>
      <w:r>
        <w:rPr>
          <w:rFonts w:ascii="Times New Roman" w:hAnsi="Times New Roman" w:cs="Times New Roman"/>
          <w:color w:val="000000" w:themeColor="text1"/>
          <w:szCs w:val="21"/>
          <w:lang w:val="zh-CN"/>
          <w14:textFill>
            <w14:solidFill>
              <w14:schemeClr w14:val="tx1"/>
            </w14:solidFill>
          </w14:textFill>
        </w:rPr>
        <w:t>，所示版本均为有效。所有标准都会被修订，使用本标准的各方应探讨使用下列标准最新版本的可能性。</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18857-20</w:t>
      </w:r>
      <w:r>
        <w:rPr>
          <w:rFonts w:hint="eastAsia" w:ascii="Times New Roman" w:hAnsi="Times New Roman" w:cs="Times New Roman"/>
          <w:color w:val="000000" w:themeColor="text1"/>
          <w:szCs w:val="21"/>
          <w14:textFill>
            <w14:solidFill>
              <w14:schemeClr w14:val="tx1"/>
            </w14:solidFill>
          </w14:textFill>
        </w:rPr>
        <w:t>19</w:t>
      </w:r>
      <w:r>
        <w:rPr>
          <w:rFonts w:hint="eastAsia" w:ascii="Times New Roman" w:hAnsi="Times New Roman" w:cs="Times New Roman"/>
          <w:color w:val="000000" w:themeColor="text1"/>
          <w:szCs w:val="21"/>
          <w:lang w:val="zh-CN"/>
          <w14:textFill>
            <w14:solidFill>
              <w14:schemeClr w14:val="tx1"/>
            </w14:solidFill>
          </w14:textFill>
        </w:rPr>
        <w:t xml:space="preserve"> 配电线路带电作业技术导则</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GB/T 18037-2008</w:t>
      </w:r>
      <w:r>
        <w:rPr>
          <w:rFonts w:hint="eastAsia" w:ascii="Times New Roman" w:hAnsi="Times New Roman" w:cs="Times New Roman"/>
          <w:color w:val="000000" w:themeColor="text1"/>
          <w:szCs w:val="21"/>
          <w14:textFill>
            <w14:solidFill>
              <w14:schemeClr w14:val="tx1"/>
            </w14:solidFill>
          </w14:textFill>
        </w:rPr>
        <w:t xml:space="preserve"> </w:t>
      </w:r>
      <w:r>
        <w:rPr>
          <w:rFonts w:hint="eastAsia" w:ascii="Times New Roman" w:hAnsi="Times New Roman" w:cs="Times New Roman"/>
          <w:color w:val="000000" w:themeColor="text1"/>
          <w:szCs w:val="21"/>
          <w:lang w:val="zh-CN"/>
          <w14:textFill>
            <w14:solidFill>
              <w14:schemeClr w14:val="tx1"/>
            </w14:solidFill>
          </w14:textFill>
        </w:rPr>
        <w:t>带电作业工具基本技术要求与设计导则</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DL/T878</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zh-CN"/>
          <w14:textFill>
            <w14:solidFill>
              <w14:schemeClr w14:val="tx1"/>
            </w14:solidFill>
          </w14:textFill>
        </w:rPr>
        <w:t>2004   带电作业用绝缘工具试验导则</w:t>
      </w:r>
    </w:p>
    <w:p>
      <w:pPr>
        <w:autoSpaceDE w:val="0"/>
        <w:autoSpaceDN w:val="0"/>
        <w:adjustRightInd w:val="0"/>
        <w:ind w:firstLine="480"/>
        <w:rPr>
          <w:rFonts w:ascii="Times New Roman" w:hAnsi="Times New Roman" w:cs="Times New Roman"/>
          <w:color w:val="000000" w:themeColor="text1"/>
          <w:szCs w:val="21"/>
          <w:lang w:val="zh-CN"/>
          <w14:textFill>
            <w14:solidFill>
              <w14:schemeClr w14:val="tx1"/>
            </w14:solidFill>
          </w14:textFill>
        </w:rPr>
      </w:pPr>
      <w:r>
        <w:rPr>
          <w:rFonts w:hint="eastAsia" w:ascii="Times New Roman" w:hAnsi="Times New Roman" w:cs="Times New Roman"/>
          <w:color w:val="000000" w:themeColor="text1"/>
          <w:szCs w:val="21"/>
          <w:lang w:val="zh-CN"/>
          <w14:textFill>
            <w14:solidFill>
              <w14:schemeClr w14:val="tx1"/>
            </w14:solidFill>
          </w14:textFill>
        </w:rPr>
        <w:t>DL/T976</w:t>
      </w:r>
      <w:r>
        <w:rPr>
          <w:rFonts w:hint="eastAsia" w:ascii="Times New Roman" w:hAnsi="Times New Roman" w:cs="Times New Roman"/>
          <w:color w:val="000000" w:themeColor="text1"/>
          <w:szCs w:val="21"/>
          <w14:textFill>
            <w14:solidFill>
              <w14:schemeClr w14:val="tx1"/>
            </w14:solidFill>
          </w14:textFill>
        </w:rPr>
        <w:t>-</w:t>
      </w:r>
      <w:r>
        <w:rPr>
          <w:rFonts w:hint="eastAsia" w:ascii="Times New Roman" w:hAnsi="Times New Roman" w:cs="Times New Roman"/>
          <w:color w:val="000000" w:themeColor="text1"/>
          <w:szCs w:val="21"/>
          <w:lang w:val="zh-CN"/>
          <w14:textFill>
            <w14:solidFill>
              <w14:schemeClr w14:val="tx1"/>
            </w14:solidFill>
          </w14:textFill>
        </w:rPr>
        <w:t>2017   带电作业工具、装置和设备预防性试验规程</w:t>
      </w:r>
    </w:p>
    <w:p>
      <w:pPr>
        <w:pStyle w:val="2"/>
        <w:ind w:firstLine="480"/>
        <w:rPr>
          <w:lang w:val="zh-CN"/>
        </w:rPr>
      </w:pPr>
    </w:p>
    <w:bookmarkEnd w:id="8"/>
    <w:bookmarkEnd w:id="9"/>
    <w:bookmarkEnd w:id="10"/>
    <w:bookmarkEnd w:id="11"/>
    <w:p>
      <w:pPr>
        <w:pStyle w:val="4"/>
        <w:numPr>
          <w:ilvl w:val="0"/>
          <w:numId w:val="0"/>
        </w:numPr>
        <w:tabs>
          <w:tab w:val="clear" w:pos="432"/>
        </w:tabs>
        <w:ind w:left="432"/>
        <w:rPr>
          <w:rFonts w:hint="eastAsia"/>
        </w:rPr>
      </w:pPr>
      <w:bookmarkStart w:id="21" w:name="_Toc444945516"/>
      <w:bookmarkStart w:id="22" w:name="_Toc6871"/>
      <w:r>
        <w:rPr>
          <w:rFonts w:hint="eastAsia"/>
        </w:rPr>
        <w:t>二、技术要求</w:t>
      </w:r>
      <w:bookmarkEnd w:id="21"/>
      <w:bookmarkEnd w:id="22"/>
    </w:p>
    <w:p>
      <w:pPr>
        <w:pStyle w:val="5"/>
        <w:tabs>
          <w:tab w:val="left" w:pos="0"/>
        </w:tabs>
        <w:spacing w:before="0" w:after="0" w:line="360" w:lineRule="auto"/>
        <w:rPr>
          <w:rFonts w:ascii="宋体" w:hAnsi="宋体" w:cs="宋体"/>
          <w:color w:val="auto"/>
          <w:sz w:val="28"/>
          <w:szCs w:val="24"/>
        </w:rPr>
      </w:pPr>
      <w:bookmarkStart w:id="23" w:name="_Toc437603900"/>
      <w:bookmarkStart w:id="24" w:name="_Toc444945517"/>
      <w:bookmarkStart w:id="25" w:name="_Toc30722"/>
      <w:r>
        <w:rPr>
          <w:rFonts w:hint="eastAsia" w:ascii="宋体" w:hAnsi="宋体" w:cs="宋体"/>
          <w:color w:val="auto"/>
          <w:sz w:val="28"/>
          <w:szCs w:val="24"/>
          <w:lang w:val="en-US" w:eastAsia="zh-CN"/>
        </w:rPr>
        <w:t>2</w:t>
      </w:r>
      <w:r>
        <w:rPr>
          <w:rFonts w:hint="eastAsia" w:ascii="宋体" w:hAnsi="宋体" w:cs="宋体"/>
          <w:color w:val="auto"/>
          <w:sz w:val="28"/>
          <w:szCs w:val="24"/>
        </w:rPr>
        <w:t>.1 项目</w:t>
      </w:r>
      <w:bookmarkEnd w:id="23"/>
      <w:bookmarkEnd w:id="24"/>
      <w:r>
        <w:rPr>
          <w:rFonts w:hint="eastAsia" w:ascii="宋体" w:hAnsi="宋体" w:cs="宋体"/>
          <w:color w:val="auto"/>
          <w:sz w:val="28"/>
          <w:szCs w:val="24"/>
        </w:rPr>
        <w:t>研究对象</w:t>
      </w:r>
      <w:bookmarkEnd w:id="25"/>
    </w:p>
    <w:p>
      <w:pPr>
        <w:ind w:firstLine="480"/>
        <w:rPr>
          <w:rFonts w:hint="default" w:ascii="宋体" w:hAnsi="宋体"/>
          <w:color w:val="auto"/>
          <w:highlight w:val="none"/>
          <w:lang w:val="en-US" w:eastAsia="zh-CN"/>
        </w:rPr>
      </w:pPr>
      <w:bookmarkStart w:id="26" w:name="_Toc444945518"/>
      <w:bookmarkStart w:id="27" w:name="_Toc437603901"/>
      <w:r>
        <w:rPr>
          <w:rFonts w:hint="eastAsia" w:ascii="宋体" w:hAnsi="宋体"/>
          <w:color w:val="auto"/>
          <w:highlight w:val="none"/>
          <w:lang w:val="en-US" w:eastAsia="zh-CN"/>
        </w:rPr>
        <w:t>随着电网</w:t>
      </w:r>
      <w:r>
        <w:rPr>
          <w:rFonts w:hint="default" w:ascii="宋体" w:hAnsi="宋体"/>
          <w:color w:val="auto"/>
          <w:highlight w:val="none"/>
          <w:lang w:val="en-US" w:eastAsia="zh-CN"/>
        </w:rPr>
        <w:t>电力应急保障，变压器低压侧带电作业因缺乏预装快速接入端口，普遍依赖临时电缆搭接，存在电弧放电、相间短路等安全隐患，传统接线需多次断电，导致停电时间延长、供电连续性差。发电车与配变系统接口适配性不足，接线耗时久、兼容性低，易引发接触不良故障。</w:t>
      </w:r>
    </w:p>
    <w:p>
      <w:pPr>
        <w:ind w:firstLine="480"/>
        <w:rPr>
          <w:rFonts w:hint="eastAsia" w:ascii="宋体" w:hAnsi="宋体"/>
          <w:color w:val="auto"/>
          <w:highlight w:val="none"/>
          <w:lang w:val="en-US" w:eastAsia="zh-CN"/>
        </w:rPr>
      </w:pPr>
      <w:r>
        <w:rPr>
          <w:rFonts w:hint="default" w:ascii="宋体" w:hAnsi="宋体"/>
          <w:color w:val="auto"/>
          <w:highlight w:val="none"/>
          <w:lang w:val="en-US" w:eastAsia="zh-CN"/>
        </w:rPr>
        <w:t>针对上述问题，研发一种快速且携带便捷式的接通发电车的多功能便捷式接线端装置，集成安全防护与快速适配功能，通过模块化快接结构、绝缘防护设计，实现非停电状态下发电车快速接入低压母排联络。大幅缩短发电车与受电端的连接时间，提升应急供电效率，降低带电作业过程中触电、电弧灼伤等事故风险。安全高效的应急供电接入，提升供电连续性、降低作业风险，提高社会效益与经济成本。</w:t>
      </w:r>
    </w:p>
    <w:p>
      <w:pPr>
        <w:pStyle w:val="5"/>
        <w:tabs>
          <w:tab w:val="left" w:pos="0"/>
        </w:tabs>
        <w:spacing w:before="0" w:after="0" w:line="360" w:lineRule="auto"/>
        <w:rPr>
          <w:rFonts w:ascii="宋体" w:hAnsi="宋体" w:cs="宋体"/>
          <w:color w:val="auto"/>
          <w:sz w:val="28"/>
          <w:szCs w:val="24"/>
          <w:highlight w:val="yellow"/>
        </w:rPr>
      </w:pPr>
      <w:bookmarkStart w:id="28" w:name="_Toc31968"/>
      <w:r>
        <w:rPr>
          <w:rFonts w:hint="eastAsia" w:ascii="宋体" w:hAnsi="宋体" w:cs="宋体"/>
          <w:color w:val="auto"/>
          <w:sz w:val="28"/>
          <w:szCs w:val="24"/>
          <w:lang w:val="en-US" w:eastAsia="zh-CN"/>
        </w:rPr>
        <w:t>2</w:t>
      </w:r>
      <w:r>
        <w:rPr>
          <w:rFonts w:hint="eastAsia" w:ascii="宋体" w:hAnsi="宋体" w:cs="宋体"/>
          <w:color w:val="auto"/>
          <w:sz w:val="28"/>
          <w:szCs w:val="24"/>
        </w:rPr>
        <w:t>.2</w:t>
      </w:r>
      <w:r>
        <w:rPr>
          <w:rFonts w:hint="eastAsia" w:ascii="宋体" w:hAnsi="宋体" w:cs="宋体"/>
          <w:color w:val="auto"/>
          <w:sz w:val="28"/>
          <w:szCs w:val="24"/>
          <w:lang w:val="en-US" w:eastAsia="zh-CN"/>
        </w:rPr>
        <w:t xml:space="preserve"> </w:t>
      </w:r>
      <w:r>
        <w:rPr>
          <w:rFonts w:hint="eastAsia" w:ascii="宋体" w:hAnsi="宋体" w:cs="宋体"/>
          <w:color w:val="auto"/>
          <w:sz w:val="28"/>
          <w:szCs w:val="24"/>
        </w:rPr>
        <w:t>项目研究内容</w:t>
      </w:r>
      <w:bookmarkEnd w:id="26"/>
      <w:bookmarkEnd w:id="27"/>
      <w:bookmarkEnd w:id="28"/>
    </w:p>
    <w:p>
      <w:pPr>
        <w:ind w:firstLine="480"/>
        <w:rPr>
          <w:rFonts w:hint="eastAsia" w:ascii="宋体" w:hAnsi="宋体"/>
          <w:color w:val="auto"/>
        </w:rPr>
      </w:pPr>
      <w:r>
        <w:rPr>
          <w:rFonts w:hint="eastAsia" w:ascii="宋体" w:hAnsi="宋体"/>
          <w:color w:val="auto"/>
          <w:lang w:val="en-US" w:eastAsia="zh-CN"/>
        </w:rPr>
        <w:t>2</w:t>
      </w:r>
      <w:r>
        <w:rPr>
          <w:rFonts w:hint="eastAsia" w:ascii="宋体" w:hAnsi="宋体"/>
          <w:color w:val="auto"/>
        </w:rPr>
        <w:t>.2.1</w:t>
      </w:r>
      <w:r>
        <w:rPr>
          <w:rFonts w:hint="eastAsia" w:ascii="宋体" w:hAnsi="宋体"/>
          <w:color w:val="auto"/>
          <w:lang w:val="en-US" w:eastAsia="zh-CN"/>
        </w:rPr>
        <w:t xml:space="preserve"> </w:t>
      </w:r>
      <w:r>
        <w:rPr>
          <w:rFonts w:hint="eastAsia" w:ascii="宋体" w:hAnsi="宋体"/>
          <w:color w:val="auto"/>
        </w:rPr>
        <w:t>现有作业问题分析</w:t>
      </w:r>
    </w:p>
    <w:p>
      <w:pPr>
        <w:ind w:firstLine="480"/>
        <w:rPr>
          <w:rFonts w:hint="eastAsia" w:ascii="宋体" w:hAnsi="宋体"/>
          <w:color w:val="auto"/>
        </w:rPr>
      </w:pPr>
      <w:r>
        <w:rPr>
          <w:rFonts w:hint="eastAsia" w:ascii="宋体" w:hAnsi="宋体"/>
          <w:color w:val="auto"/>
        </w:rPr>
        <w:t>（</w:t>
      </w:r>
      <w:r>
        <w:rPr>
          <w:rFonts w:hint="eastAsia" w:ascii="宋体" w:hAnsi="宋体"/>
          <w:color w:val="auto"/>
          <w:lang w:val="en-US" w:eastAsia="zh-CN"/>
        </w:rPr>
        <w:t>1</w:t>
      </w:r>
      <w:r>
        <w:rPr>
          <w:rFonts w:hint="eastAsia" w:ascii="宋体" w:hAnsi="宋体"/>
          <w:color w:val="auto"/>
        </w:rPr>
        <w:t>）安全隐患突出</w:t>
      </w:r>
      <w:r>
        <w:rPr>
          <w:rFonts w:hint="eastAsia" w:ascii="宋体" w:hAnsi="宋体"/>
          <w:color w:val="auto"/>
          <w:lang w:eastAsia="zh-CN"/>
        </w:rPr>
        <w:t>：</w:t>
      </w:r>
      <w:r>
        <w:rPr>
          <w:rFonts w:hint="eastAsia" w:ascii="宋体" w:hAnsi="宋体"/>
          <w:color w:val="auto"/>
        </w:rPr>
        <w:t>传统作业依赖临时电缆搭接，在变压器低压侧带电作业场景下，易引发电弧放电、相间短路等问题，直接威胁设备安全。带电作业过程中缺乏有效防护，作业人员面临触电、电弧灼伤等事故风险，且传统接线需多次断电操作，进一步增加了作业流程中的安全不确定性。</w:t>
      </w:r>
    </w:p>
    <w:p>
      <w:pPr>
        <w:ind w:firstLine="480"/>
        <w:rPr>
          <w:rFonts w:hint="default" w:ascii="宋体" w:hAnsi="宋体"/>
          <w:color w:val="auto"/>
        </w:rPr>
      </w:pPr>
      <w:r>
        <w:rPr>
          <w:rFonts w:hint="eastAsia" w:ascii="宋体" w:hAnsi="宋体"/>
          <w:color w:val="auto"/>
        </w:rPr>
        <w:t>（</w:t>
      </w:r>
      <w:r>
        <w:rPr>
          <w:rFonts w:hint="eastAsia" w:ascii="宋体" w:hAnsi="宋体"/>
          <w:color w:val="auto"/>
          <w:lang w:val="en-US" w:eastAsia="zh-CN"/>
        </w:rPr>
        <w:t>2</w:t>
      </w:r>
      <w:r>
        <w:rPr>
          <w:rFonts w:hint="eastAsia" w:ascii="宋体" w:hAnsi="宋体"/>
          <w:color w:val="auto"/>
        </w:rPr>
        <w:t>）便携性与适应性不足</w:t>
      </w:r>
      <w:r>
        <w:rPr>
          <w:rFonts w:hint="eastAsia" w:ascii="宋体" w:hAnsi="宋体"/>
          <w:color w:val="auto"/>
          <w:lang w:eastAsia="zh-CN"/>
        </w:rPr>
        <w:t>：</w:t>
      </w:r>
      <w:r>
        <w:rPr>
          <w:rFonts w:hint="eastAsia" w:ascii="宋体" w:hAnsi="宋体"/>
          <w:color w:val="auto"/>
        </w:rPr>
        <w:t>现有作业无预装快速接入端口，依赖临时搭建的接线方式，相关设备缺乏便携设计，搬运和现场部署不便。发电车与配变系统接口适配性差，兼容性低，无法灵活匹配不同型号的配变系统低压配电柜，导致接线耗时久，还易因接口不匹配引发接触不良故障，严重影响应急供电效率。</w:t>
      </w:r>
    </w:p>
    <w:p>
      <w:pPr>
        <w:ind w:firstLine="480"/>
        <w:rPr>
          <w:rFonts w:hint="eastAsia" w:ascii="宋体" w:hAnsi="宋体"/>
          <w:color w:val="auto"/>
          <w:lang w:eastAsia="zh-CN"/>
        </w:rPr>
      </w:pPr>
      <w:r>
        <w:rPr>
          <w:rFonts w:hint="eastAsia" w:ascii="宋体" w:hAnsi="宋体"/>
          <w:color w:val="auto"/>
          <w:lang w:val="en-US" w:eastAsia="zh-CN"/>
        </w:rPr>
        <w:t>2</w:t>
      </w:r>
      <w:r>
        <w:rPr>
          <w:rFonts w:hint="eastAsia" w:ascii="宋体" w:hAnsi="宋体"/>
          <w:color w:val="auto"/>
        </w:rPr>
        <w:t>.2.2</w:t>
      </w:r>
      <w:r>
        <w:rPr>
          <w:rFonts w:hint="eastAsia" w:ascii="宋体" w:hAnsi="宋体"/>
          <w:color w:val="auto"/>
          <w:lang w:val="en-US" w:eastAsia="zh-CN"/>
        </w:rPr>
        <w:t xml:space="preserve"> </w:t>
      </w:r>
      <w:r>
        <w:rPr>
          <w:rFonts w:hint="eastAsia" w:ascii="宋体" w:hAnsi="宋体"/>
          <w:color w:val="auto"/>
          <w:lang w:eastAsia="zh-CN"/>
        </w:rPr>
        <w:t>设计思路</w:t>
      </w:r>
    </w:p>
    <w:p>
      <w:pPr>
        <w:ind w:firstLine="480"/>
        <w:rPr>
          <w:rFonts w:hint="eastAsia" w:ascii="宋体" w:hAnsi="宋体"/>
          <w:color w:val="auto"/>
        </w:rPr>
      </w:pPr>
      <w:r>
        <w:rPr>
          <w:rFonts w:hint="eastAsia" w:ascii="宋体" w:hAnsi="宋体"/>
          <w:color w:val="auto"/>
        </w:rPr>
        <w:t>（</w:t>
      </w:r>
      <w:r>
        <w:rPr>
          <w:rFonts w:hint="eastAsia" w:ascii="宋体" w:hAnsi="宋体"/>
          <w:color w:val="auto"/>
          <w:lang w:val="en-US" w:eastAsia="zh-CN"/>
        </w:rPr>
        <w:t>1</w:t>
      </w:r>
      <w:r>
        <w:rPr>
          <w:rFonts w:hint="eastAsia" w:ascii="宋体" w:hAnsi="宋体"/>
          <w:color w:val="auto"/>
        </w:rPr>
        <w:t>）安全性设计</w:t>
      </w:r>
      <w:r>
        <w:rPr>
          <w:rFonts w:hint="eastAsia" w:ascii="宋体" w:hAnsi="宋体"/>
          <w:color w:val="auto"/>
          <w:lang w:eastAsia="zh-CN"/>
        </w:rPr>
        <w:t>：</w:t>
      </w:r>
      <w:r>
        <w:rPr>
          <w:rFonts w:hint="eastAsia" w:ascii="宋体" w:hAnsi="宋体"/>
          <w:color w:val="auto"/>
        </w:rPr>
        <w:t>以低压带电作业安全为核心，构建多层次安全防护体系。通过选用优异绝缘性能的材料制作装置外壳，阻隔电流传递，避免作业人员与带电部件直接接触；同时在装置内部增设专用灭弧装置，抑制接入操作时电弧的产生与发展，从 “物理隔离 + 电弧控制” 双维度保障作业安全。</w:t>
      </w:r>
    </w:p>
    <w:p>
      <w:pPr>
        <w:ind w:firstLine="480"/>
        <w:rPr>
          <w:rFonts w:hint="eastAsia" w:ascii="宋体" w:hAnsi="宋体"/>
          <w:color w:val="auto"/>
        </w:rPr>
      </w:pPr>
      <w:r>
        <w:rPr>
          <w:rFonts w:hint="eastAsia" w:ascii="宋体" w:hAnsi="宋体"/>
          <w:color w:val="auto"/>
        </w:rPr>
        <w:t>（</w:t>
      </w:r>
      <w:r>
        <w:rPr>
          <w:rFonts w:hint="eastAsia" w:ascii="宋体" w:hAnsi="宋体"/>
          <w:color w:val="auto"/>
          <w:lang w:val="en-US" w:eastAsia="zh-CN"/>
        </w:rPr>
        <w:t>2</w:t>
      </w:r>
      <w:r>
        <w:rPr>
          <w:rFonts w:hint="eastAsia" w:ascii="宋体" w:hAnsi="宋体"/>
          <w:color w:val="auto"/>
        </w:rPr>
        <w:t>）耐用性设计</w:t>
      </w:r>
      <w:r>
        <w:rPr>
          <w:rFonts w:hint="eastAsia" w:ascii="宋体" w:hAnsi="宋体"/>
          <w:color w:val="auto"/>
          <w:lang w:eastAsia="zh-CN"/>
        </w:rPr>
        <w:t>：</w:t>
      </w:r>
      <w:r>
        <w:rPr>
          <w:rFonts w:hint="eastAsia" w:ascii="宋体" w:hAnsi="宋体"/>
          <w:color w:val="auto"/>
        </w:rPr>
        <w:t>针对应急作业的复杂现场环境，装置外壳采用高强度绝缘材料，在保证绝缘性能的同时，提升外壳抗冲击、抗磨损能力。</w:t>
      </w:r>
    </w:p>
    <w:p>
      <w:pPr>
        <w:ind w:firstLine="480"/>
        <w:rPr>
          <w:rFonts w:hint="eastAsia" w:ascii="宋体" w:hAnsi="宋体"/>
          <w:color w:val="auto"/>
        </w:rPr>
      </w:pPr>
      <w:r>
        <w:rPr>
          <w:rFonts w:hint="eastAsia" w:ascii="宋体" w:hAnsi="宋体"/>
          <w:color w:val="auto"/>
        </w:rPr>
        <w:t>（</w:t>
      </w:r>
      <w:r>
        <w:rPr>
          <w:rFonts w:hint="eastAsia" w:ascii="宋体" w:hAnsi="宋体"/>
          <w:color w:val="auto"/>
          <w:lang w:val="en-US" w:eastAsia="zh-CN"/>
        </w:rPr>
        <w:t>3</w:t>
      </w:r>
      <w:r>
        <w:rPr>
          <w:rFonts w:hint="eastAsia" w:ascii="宋体" w:hAnsi="宋体"/>
          <w:color w:val="auto"/>
        </w:rPr>
        <w:t>）便携性与操作便捷性设计</w:t>
      </w:r>
      <w:r>
        <w:rPr>
          <w:rFonts w:hint="eastAsia" w:ascii="宋体" w:hAnsi="宋体"/>
          <w:color w:val="auto"/>
          <w:lang w:eastAsia="zh-CN"/>
        </w:rPr>
        <w:t>：</w:t>
      </w:r>
      <w:r>
        <w:rPr>
          <w:rFonts w:hint="eastAsia" w:ascii="宋体" w:hAnsi="宋体"/>
          <w:color w:val="auto"/>
        </w:rPr>
        <w:t>整体采用轻量化、紧凑化结构设计，缩小装置体积、减轻重量，提升携带和现场移动的便捷性，满足应急作业快速部署的需求。接口机械结构采用插拔式连接方式，搭配高精度导向结构，降低对接操作难度，让作业人员可快速完成接口对位与连接，减少现场操作时间。</w:t>
      </w:r>
    </w:p>
    <w:p>
      <w:pPr>
        <w:ind w:firstLine="480"/>
        <w:rPr>
          <w:rFonts w:hint="eastAsia" w:ascii="宋体" w:hAnsi="宋体"/>
          <w:color w:val="auto"/>
          <w:lang w:eastAsia="zh-CN"/>
        </w:rPr>
      </w:pPr>
      <w:r>
        <w:rPr>
          <w:rFonts w:hint="eastAsia" w:ascii="宋体" w:hAnsi="宋体"/>
          <w:color w:val="auto"/>
        </w:rPr>
        <w:t>（</w:t>
      </w:r>
      <w:r>
        <w:rPr>
          <w:rFonts w:hint="eastAsia" w:ascii="宋体" w:hAnsi="宋体"/>
          <w:color w:val="auto"/>
          <w:lang w:val="en-US" w:eastAsia="zh-CN"/>
        </w:rPr>
        <w:t>4</w:t>
      </w:r>
      <w:r>
        <w:rPr>
          <w:rFonts w:hint="eastAsia" w:ascii="宋体" w:hAnsi="宋体"/>
          <w:color w:val="auto"/>
        </w:rPr>
        <w:t>）模块化设计</w:t>
      </w:r>
      <w:r>
        <w:rPr>
          <w:rFonts w:hint="eastAsia" w:ascii="宋体" w:hAnsi="宋体"/>
          <w:color w:val="auto"/>
          <w:lang w:eastAsia="zh-CN"/>
        </w:rPr>
        <w:t>：</w:t>
      </w:r>
      <w:r>
        <w:rPr>
          <w:rFonts w:hint="eastAsia" w:ascii="宋体" w:hAnsi="宋体"/>
          <w:color w:val="auto"/>
        </w:rPr>
        <w:t>围绕 “兼容多型号</w:t>
      </w:r>
      <w:r>
        <w:rPr>
          <w:rFonts w:hint="eastAsia" w:ascii="宋体" w:hAnsi="宋体"/>
          <w:color w:val="auto"/>
          <w:lang w:val="en-US" w:eastAsia="zh-CN"/>
        </w:rPr>
        <w:t>低压配电系统</w:t>
      </w:r>
      <w:r>
        <w:rPr>
          <w:rFonts w:hint="eastAsia" w:ascii="宋体" w:hAnsi="宋体"/>
          <w:color w:val="auto"/>
        </w:rPr>
        <w:t>” 需求，采用模块化快速适配接口设计。将接口拆分为多个功能模块，每个模块对应一种配变系统低压配电柜接口规格，作业时可根据现场配变型号快速更换对应模块，无需改造装置主体，大幅提升装置对不同场景的适应性。</w:t>
      </w:r>
    </w:p>
    <w:p>
      <w:pPr>
        <w:rPr>
          <w:rFonts w:hint="default" w:ascii="宋体" w:hAnsi="宋体"/>
          <w:color w:val="auto"/>
          <w:lang w:val="en-US" w:eastAsia="zh-CN"/>
        </w:rPr>
      </w:pPr>
      <w:r>
        <w:rPr>
          <w:rFonts w:hint="eastAsia" w:ascii="宋体" w:hAnsi="宋体"/>
          <w:color w:val="auto"/>
          <w:lang w:val="en-US" w:eastAsia="zh-CN"/>
        </w:rPr>
        <w:t xml:space="preserve">2.2.3 </w:t>
      </w:r>
      <w:r>
        <w:rPr>
          <w:rFonts w:hint="default" w:ascii="宋体" w:hAnsi="宋体"/>
          <w:color w:val="auto"/>
          <w:lang w:val="en-US" w:eastAsia="zh-CN"/>
        </w:rPr>
        <w:t>工作原理</w:t>
      </w:r>
    </w:p>
    <w:p>
      <w:pPr>
        <w:ind w:firstLine="480"/>
        <w:rPr>
          <w:rFonts w:hint="default" w:ascii="宋体" w:hAnsi="宋体"/>
          <w:color w:val="auto"/>
          <w:lang w:val="en-US" w:eastAsia="zh-CN"/>
        </w:rPr>
      </w:pPr>
      <w:r>
        <w:rPr>
          <w:rFonts w:hint="eastAsia" w:ascii="宋体" w:hAnsi="宋体"/>
          <w:color w:val="auto"/>
        </w:rPr>
        <w:t>（</w:t>
      </w:r>
      <w:r>
        <w:rPr>
          <w:rFonts w:hint="eastAsia" w:ascii="宋体" w:hAnsi="宋体"/>
          <w:color w:val="auto"/>
          <w:lang w:val="en-US" w:eastAsia="zh-CN"/>
        </w:rPr>
        <w:t>1</w:t>
      </w:r>
      <w:r>
        <w:rPr>
          <w:rFonts w:hint="eastAsia" w:ascii="宋体" w:hAnsi="宋体"/>
          <w:color w:val="auto"/>
        </w:rPr>
        <w:t>）</w:t>
      </w:r>
      <w:r>
        <w:rPr>
          <w:rFonts w:hint="default" w:ascii="宋体" w:hAnsi="宋体"/>
          <w:color w:val="auto"/>
          <w:lang w:val="en-US" w:eastAsia="zh-CN"/>
        </w:rPr>
        <w:t>安全防护原理：通过“外壳绝缘 + 内部灭弧”双重机制实现安全防护。外壳的高强度绝缘材料阻断电流外泄路径，避免人员触电；内部灭弧装置在接口插拔等操作瞬间，快速吸收电弧能量，抑制电弧产生与扩散，消除电弧带来的设备与人员安全风险。</w:t>
      </w:r>
    </w:p>
    <w:p>
      <w:pPr>
        <w:ind w:firstLine="480"/>
        <w:rPr>
          <w:rFonts w:hint="default"/>
          <w:color w:val="auto"/>
          <w:lang w:val="en-US" w:eastAsia="zh-CN"/>
        </w:rPr>
      </w:pPr>
      <w:r>
        <w:rPr>
          <w:rFonts w:hint="eastAsia" w:ascii="宋体" w:hAnsi="宋体"/>
          <w:color w:val="auto"/>
        </w:rPr>
        <w:t>（</w:t>
      </w:r>
      <w:r>
        <w:rPr>
          <w:rFonts w:hint="eastAsia" w:ascii="宋体" w:hAnsi="宋体"/>
          <w:color w:val="auto"/>
          <w:lang w:val="en-US" w:eastAsia="zh-CN"/>
        </w:rPr>
        <w:t>2</w:t>
      </w:r>
      <w:r>
        <w:rPr>
          <w:rFonts w:hint="eastAsia" w:ascii="宋体" w:hAnsi="宋体"/>
          <w:color w:val="auto"/>
        </w:rPr>
        <w:t>）</w:t>
      </w:r>
      <w:r>
        <w:rPr>
          <w:rFonts w:hint="default" w:ascii="宋体" w:hAnsi="宋体"/>
          <w:color w:val="auto"/>
          <w:lang w:val="en-US" w:eastAsia="zh-CN"/>
        </w:rPr>
        <w:t>快速适配原理：依托模块化接口设计，不同功能模块预先匹配对应配变系统接口规格，现场只需更换模块即可完成发电车与配变系统的适配；同时接口电气连接部分采用高弹性导电材料与先进压接工艺，在快速连接的同时保证电能高效、稳定传输。</w:t>
      </w:r>
    </w:p>
    <w:p>
      <w:pPr>
        <w:ind w:firstLine="480"/>
        <w:rPr>
          <w:rFonts w:hint="eastAsia" w:ascii="宋体" w:hAnsi="宋体"/>
          <w:color w:val="000000" w:themeColor="text1"/>
          <w:lang w:val="en-US" w:eastAsia="zh-CN"/>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 xml:space="preserve">2.2.4 </w:t>
      </w:r>
      <w:r>
        <w:rPr>
          <w:rFonts w:hint="default" w:ascii="宋体" w:hAnsi="宋体"/>
          <w:color w:val="auto"/>
          <w:lang w:val="en-US" w:eastAsia="zh-CN"/>
        </w:rPr>
        <w:t>装置结构</w:t>
      </w:r>
    </w:p>
    <w:p>
      <w:pPr>
        <w:ind w:firstLine="480"/>
        <w:rPr>
          <w:rFonts w:hint="default" w:ascii="宋体" w:hAnsi="宋体"/>
          <w:color w:val="auto"/>
          <w:lang w:val="en-US" w:eastAsia="zh-CN"/>
        </w:rPr>
      </w:pPr>
      <w:r>
        <w:rPr>
          <w:rFonts w:hint="default" w:ascii="宋体" w:hAnsi="宋体"/>
          <w:color w:val="auto"/>
          <w:lang w:val="en-US" w:eastAsia="zh-CN"/>
        </w:rPr>
        <w:t>（</w:t>
      </w:r>
      <w:r>
        <w:rPr>
          <w:rFonts w:hint="eastAsia" w:ascii="宋体" w:hAnsi="宋体"/>
          <w:color w:val="auto"/>
          <w:lang w:val="en-US" w:eastAsia="zh-CN"/>
        </w:rPr>
        <w:t>1</w:t>
      </w:r>
      <w:r>
        <w:rPr>
          <w:rFonts w:hint="default" w:ascii="宋体" w:hAnsi="宋体"/>
          <w:color w:val="auto"/>
          <w:lang w:val="en-US" w:eastAsia="zh-CN"/>
        </w:rPr>
        <w:t>）外部结构：采用高强度绝缘材料制成的一体化外壳，整体轻量化、紧凑化，兼顾绝缘防护与便携性，便于现场搬运和安装。</w:t>
      </w:r>
    </w:p>
    <w:p>
      <w:pPr>
        <w:ind w:firstLine="480"/>
        <w:rPr>
          <w:rFonts w:hint="default" w:ascii="宋体" w:hAnsi="宋体"/>
          <w:color w:val="auto"/>
          <w:lang w:val="en-US" w:eastAsia="zh-CN"/>
        </w:rPr>
      </w:pPr>
      <w:r>
        <w:rPr>
          <w:rFonts w:hint="default" w:ascii="宋体" w:hAnsi="宋体"/>
          <w:color w:val="auto"/>
          <w:lang w:val="en-US" w:eastAsia="zh-CN"/>
        </w:rPr>
        <w:t>（</w:t>
      </w:r>
      <w:r>
        <w:rPr>
          <w:rFonts w:hint="eastAsia" w:ascii="宋体" w:hAnsi="宋体"/>
          <w:color w:val="auto"/>
          <w:lang w:val="en-US" w:eastAsia="zh-CN"/>
        </w:rPr>
        <w:t>2</w:t>
      </w:r>
      <w:r>
        <w:rPr>
          <w:rFonts w:hint="default" w:ascii="宋体" w:hAnsi="宋体"/>
          <w:color w:val="auto"/>
          <w:lang w:val="en-US" w:eastAsia="zh-CN"/>
        </w:rPr>
        <w:t>）内部结构：包含灭弧装置、模块化接口组件两大核心部分。其中模块化接口组件集成插拔式连接结构、高精度导向结构及高弹性导电连接部件，实现 “快速对接 + 稳定导电” 功能。</w:t>
      </w:r>
    </w:p>
    <w:p>
      <w:pPr>
        <w:ind w:firstLine="480"/>
        <w:rPr>
          <w:rFonts w:hint="default" w:ascii="宋体" w:hAnsi="宋体"/>
          <w:color w:val="auto"/>
          <w:lang w:val="en-US" w:eastAsia="zh-CN"/>
        </w:rPr>
      </w:pPr>
      <w:r>
        <w:rPr>
          <w:rFonts w:hint="eastAsia" w:ascii="宋体" w:hAnsi="宋体"/>
          <w:color w:val="auto"/>
          <w:lang w:val="en-US" w:eastAsia="zh-CN"/>
        </w:rPr>
        <w:t>2.2.5</w:t>
      </w:r>
      <w:r>
        <w:rPr>
          <w:rFonts w:hint="default" w:ascii="宋体" w:hAnsi="宋体"/>
          <w:color w:val="auto"/>
          <w:lang w:val="en-US" w:eastAsia="zh-CN"/>
        </w:rPr>
        <w:t>安全防护体系</w:t>
      </w:r>
    </w:p>
    <w:p>
      <w:pPr>
        <w:ind w:firstLine="480"/>
        <w:rPr>
          <w:rFonts w:hint="default" w:ascii="宋体" w:hAnsi="宋体"/>
          <w:color w:val="auto"/>
          <w:lang w:val="en-US" w:eastAsia="zh-CN"/>
        </w:rPr>
      </w:pPr>
      <w:r>
        <w:rPr>
          <w:rFonts w:hint="default" w:ascii="宋体" w:hAnsi="宋体"/>
          <w:color w:val="auto"/>
          <w:lang w:val="en-US" w:eastAsia="zh-CN"/>
        </w:rPr>
        <w:t>（</w:t>
      </w:r>
      <w:r>
        <w:rPr>
          <w:rFonts w:hint="eastAsia" w:ascii="宋体" w:hAnsi="宋体"/>
          <w:color w:val="auto"/>
          <w:lang w:val="en-US" w:eastAsia="zh-CN"/>
        </w:rPr>
        <w:t>1</w:t>
      </w:r>
      <w:r>
        <w:rPr>
          <w:rFonts w:hint="default" w:ascii="宋体" w:hAnsi="宋体"/>
          <w:color w:val="auto"/>
          <w:lang w:val="en-US" w:eastAsia="zh-CN"/>
        </w:rPr>
        <w:t>）基础防护：外壳绝缘材料形成第一道防护屏障，隔绝带电部件与外部接触，防止人员误触触电。</w:t>
      </w:r>
    </w:p>
    <w:p>
      <w:pPr>
        <w:ind w:firstLine="480"/>
        <w:rPr>
          <w:rFonts w:hint="default" w:ascii="宋体" w:hAnsi="宋体"/>
          <w:color w:val="auto"/>
          <w:lang w:val="en-US" w:eastAsia="zh-CN"/>
        </w:rPr>
      </w:pPr>
      <w:r>
        <w:rPr>
          <w:rFonts w:hint="default" w:ascii="宋体" w:hAnsi="宋体"/>
          <w:color w:val="auto"/>
          <w:lang w:val="en-US" w:eastAsia="zh-CN"/>
        </w:rPr>
        <w:t>（</w:t>
      </w:r>
      <w:r>
        <w:rPr>
          <w:rFonts w:hint="eastAsia" w:ascii="宋体" w:hAnsi="宋体"/>
          <w:color w:val="auto"/>
          <w:lang w:val="en-US" w:eastAsia="zh-CN"/>
        </w:rPr>
        <w:t>2</w:t>
      </w:r>
      <w:r>
        <w:rPr>
          <w:rFonts w:hint="default" w:ascii="宋体" w:hAnsi="宋体"/>
          <w:color w:val="auto"/>
          <w:lang w:val="en-US" w:eastAsia="zh-CN"/>
        </w:rPr>
        <w:t>）主动防护：内部灭弧装置主动干预电弧产生过程，从源头降低电弧放电、相间短路风险，保护设备与人员安全。</w:t>
      </w:r>
    </w:p>
    <w:p>
      <w:pPr>
        <w:ind w:firstLine="480"/>
        <w:rPr>
          <w:rFonts w:hint="default" w:ascii="宋体" w:hAnsi="宋体"/>
          <w:color w:val="auto"/>
          <w:lang w:val="en-US" w:eastAsia="zh-CN"/>
        </w:rPr>
      </w:pPr>
      <w:r>
        <w:rPr>
          <w:rFonts w:hint="default" w:ascii="宋体" w:hAnsi="宋体"/>
          <w:color w:val="auto"/>
          <w:lang w:val="en-US" w:eastAsia="zh-CN"/>
        </w:rPr>
        <w:t>（</w:t>
      </w:r>
      <w:r>
        <w:rPr>
          <w:rFonts w:hint="eastAsia" w:ascii="宋体" w:hAnsi="宋体"/>
          <w:color w:val="auto"/>
          <w:lang w:val="en-US" w:eastAsia="zh-CN"/>
        </w:rPr>
        <w:t>3</w:t>
      </w:r>
      <w:r>
        <w:rPr>
          <w:rFonts w:hint="default" w:ascii="宋体" w:hAnsi="宋体"/>
          <w:color w:val="auto"/>
          <w:lang w:val="en-US" w:eastAsia="zh-CN"/>
        </w:rPr>
        <w:t>）连接防护：接口电气连接采用高弹性导电材料与压接工艺，确保连接紧密、可靠，避免因接触不良产生局部过热或放电问题，进一步提升作业安全性。</w:t>
      </w:r>
    </w:p>
    <w:p>
      <w:pPr>
        <w:ind w:firstLine="480"/>
        <w:rPr>
          <w:rFonts w:hint="default" w:ascii="宋体" w:hAnsi="宋体"/>
          <w:color w:val="auto"/>
          <w:lang w:val="en-US" w:eastAsia="zh-CN"/>
        </w:rPr>
      </w:pPr>
      <w:r>
        <w:rPr>
          <w:rFonts w:hint="eastAsia" w:ascii="宋体" w:hAnsi="宋体"/>
          <w:color w:val="auto"/>
          <w:lang w:val="en-US" w:eastAsia="zh-CN"/>
        </w:rPr>
        <w:t xml:space="preserve">2.2.6 </w:t>
      </w:r>
      <w:r>
        <w:rPr>
          <w:rFonts w:hint="default" w:ascii="宋体" w:hAnsi="宋体"/>
          <w:color w:val="auto"/>
          <w:lang w:val="en-US" w:eastAsia="zh-CN"/>
        </w:rPr>
        <w:t>适用场景</w:t>
      </w:r>
    </w:p>
    <w:p>
      <w:pPr>
        <w:ind w:firstLine="480"/>
        <w:rPr>
          <w:rFonts w:hint="eastAsia" w:ascii="宋体" w:hAnsi="宋体" w:eastAsia="宋体" w:cs="黑体"/>
          <w:b w:val="0"/>
          <w:bCs w:val="0"/>
          <w:color w:val="FF0000"/>
          <w:kern w:val="2"/>
          <w:sz w:val="24"/>
          <w:szCs w:val="22"/>
          <w:highlight w:val="none"/>
          <w:lang w:val="en-US" w:eastAsia="zh-CN" w:bidi="ar-SA"/>
        </w:rPr>
      </w:pPr>
      <w:r>
        <w:rPr>
          <w:rFonts w:hint="default" w:ascii="宋体" w:hAnsi="宋体" w:eastAsia="宋体" w:cs="黑体"/>
          <w:b w:val="0"/>
          <w:bCs w:val="0"/>
          <w:color w:val="auto"/>
          <w:kern w:val="2"/>
          <w:sz w:val="24"/>
          <w:szCs w:val="22"/>
          <w:highlight w:val="none"/>
          <w:lang w:val="en-US" w:eastAsia="zh-CN" w:bidi="ar-SA"/>
        </w:rPr>
        <w:t>适用于</w:t>
      </w:r>
      <w:r>
        <w:rPr>
          <w:rFonts w:hint="eastAsia" w:ascii="宋体" w:hAnsi="宋体" w:cs="黑体"/>
          <w:b w:val="0"/>
          <w:bCs w:val="0"/>
          <w:color w:val="auto"/>
          <w:kern w:val="2"/>
          <w:sz w:val="24"/>
          <w:szCs w:val="22"/>
          <w:highlight w:val="none"/>
          <w:lang w:val="en-US" w:eastAsia="zh-CN" w:bidi="ar-SA"/>
        </w:rPr>
        <w:t>低压配电系统</w:t>
      </w:r>
      <w:r>
        <w:rPr>
          <w:rFonts w:hint="default" w:ascii="宋体" w:hAnsi="宋体" w:eastAsia="宋体" w:cs="黑体"/>
          <w:b w:val="0"/>
          <w:bCs w:val="0"/>
          <w:color w:val="auto"/>
          <w:kern w:val="2"/>
          <w:sz w:val="24"/>
          <w:szCs w:val="22"/>
          <w:highlight w:val="none"/>
          <w:lang w:val="en-US" w:eastAsia="zh-CN" w:bidi="ar-SA"/>
        </w:rPr>
        <w:t>低压侧没有预安装发电车快速接入端口且不进行停电接电的应急保供电场景</w:t>
      </w:r>
      <w:r>
        <w:rPr>
          <w:rFonts w:hint="eastAsia" w:ascii="宋体" w:hAnsi="宋体" w:cs="黑体"/>
          <w:b w:val="0"/>
          <w:bCs w:val="0"/>
          <w:color w:val="auto"/>
          <w:kern w:val="2"/>
          <w:sz w:val="24"/>
          <w:szCs w:val="22"/>
          <w:highlight w:val="none"/>
          <w:lang w:val="en-US" w:eastAsia="zh-CN" w:bidi="ar-SA"/>
        </w:rPr>
        <w:t>。</w:t>
      </w:r>
    </w:p>
    <w:p>
      <w:pPr>
        <w:pStyle w:val="5"/>
        <w:tabs>
          <w:tab w:val="left" w:pos="0"/>
        </w:tabs>
        <w:spacing w:before="0" w:after="0" w:line="360" w:lineRule="auto"/>
        <w:rPr>
          <w:rFonts w:ascii="宋体" w:hAnsi="宋体" w:cs="宋体"/>
          <w:color w:val="000000" w:themeColor="text1"/>
          <w:sz w:val="28"/>
          <w:szCs w:val="24"/>
          <w14:textFill>
            <w14:solidFill>
              <w14:schemeClr w14:val="tx1"/>
            </w14:solidFill>
          </w14:textFill>
        </w:rPr>
      </w:pPr>
      <w:bookmarkStart w:id="29" w:name="_Toc17813"/>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.3</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技术指标要求</w:t>
      </w:r>
      <w:bookmarkEnd w:id="29"/>
    </w:p>
    <w:tbl>
      <w:tblPr>
        <w:tblStyle w:val="16"/>
        <w:tblpPr w:leftFromText="180" w:rightFromText="180" w:vertAnchor="text" w:horzAnchor="page" w:tblpX="2340" w:tblpY="602"/>
        <w:tblOverlap w:val="never"/>
        <w:tblW w:w="7754"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2100"/>
        <w:gridCol w:w="5654"/>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100"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bookmarkStart w:id="30" w:name="_Toc444945519"/>
            <w:bookmarkStart w:id="31" w:name="_Toc437603902"/>
            <w:r>
              <w:rPr>
                <w:rFonts w:hint="eastAsia" w:ascii="宋体" w:hAnsi="宋体"/>
                <w:color w:val="000000" w:themeColor="text1"/>
                <w14:textFill>
                  <w14:solidFill>
                    <w14:schemeClr w14:val="tx1"/>
                  </w14:solidFill>
                </w14:textFill>
              </w:rPr>
              <w:t>技术指标</w:t>
            </w:r>
          </w:p>
        </w:tc>
        <w:tc>
          <w:tcPr>
            <w:tcW w:w="5654" w:type="dxa"/>
            <w:tcBorders>
              <w:top w:val="single" w:color="auto" w:sz="4" w:space="0"/>
              <w:left w:val="single" w:color="auto" w:sz="4" w:space="0"/>
              <w:bottom w:val="single" w:color="auto" w:sz="4" w:space="0"/>
              <w:right w:val="single" w:color="auto" w:sz="4" w:space="0"/>
              <w:insideV w:val="nil"/>
              <w:tl2br w:val="nil"/>
              <w:tr2bl w:val="nil"/>
            </w:tcBorders>
            <w:shd w:val="clear" w:color="auto" w:fill="FFFFFF"/>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100"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安全性</w:t>
            </w:r>
          </w:p>
        </w:tc>
        <w:tc>
          <w:tcPr>
            <w:tcW w:w="5654" w:type="dxa"/>
            <w:tcBorders>
              <w:top w:val="single" w:color="auto" w:sz="4"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both"/>
              <w:rPr>
                <w:rFonts w:hint="eastAsia" w:ascii="宋体" w:hAnsi="宋体" w:eastAsia="宋体"/>
                <w:color w:val="000000" w:themeColor="text1"/>
                <w:lang w:val="en-US" w:eastAsia="zh-CN"/>
                <w14:textFill>
                  <w14:solidFill>
                    <w14:schemeClr w14:val="tx1"/>
                  </w14:solidFill>
                </w14:textFill>
              </w:rPr>
            </w:pPr>
            <w:r>
              <w:rPr>
                <w:rFonts w:hint="default" w:ascii="宋体" w:hAnsi="宋体"/>
                <w:color w:val="000000" w:themeColor="text1"/>
                <w14:textFill>
                  <w14:solidFill>
                    <w14:schemeClr w14:val="tx1"/>
                  </w14:solidFill>
                </w14:textFill>
              </w:rPr>
              <w:t>符合</w:t>
            </w:r>
            <w:r>
              <w:rPr>
                <w:rFonts w:ascii="Times New Roman" w:hAnsi="Times New Roman" w:cs="Times New Roman"/>
                <w:color w:val="000000" w:themeColor="text1"/>
                <w:szCs w:val="21"/>
                <w:lang w:val="zh-CN"/>
                <w14:textFill>
                  <w14:solidFill>
                    <w14:schemeClr w14:val="tx1"/>
                  </w14:solidFill>
                </w14:textFill>
              </w:rPr>
              <w:t>本规定中引用</w:t>
            </w:r>
            <w:r>
              <w:rPr>
                <w:rFonts w:hint="eastAsia" w:ascii="Times New Roman" w:hAnsi="Times New Roman" w:cs="Times New Roman"/>
                <w:color w:val="000000" w:themeColor="text1"/>
                <w:szCs w:val="21"/>
                <w:lang w:val="zh-CN"/>
                <w14:textFill>
                  <w14:solidFill>
                    <w14:schemeClr w14:val="tx1"/>
                  </w14:solidFill>
                </w14:textFill>
              </w:rPr>
              <w:t>的</w:t>
            </w:r>
            <w:r>
              <w:rPr>
                <w:rFonts w:hint="default" w:ascii="宋体" w:hAnsi="宋体"/>
                <w:color w:val="000000" w:themeColor="text1"/>
                <w14:textFill>
                  <w14:solidFill>
                    <w14:schemeClr w14:val="tx1"/>
                  </w14:solidFill>
                </w14:textFill>
              </w:rPr>
              <w:t>标准，通过</w:t>
            </w:r>
            <w:r>
              <w:rPr>
                <w:rFonts w:hint="eastAsia" w:ascii="宋体" w:hAnsi="宋体"/>
                <w:color w:val="000000" w:themeColor="text1"/>
                <w:lang w:eastAsia="zh-CN"/>
                <w14:textFill>
                  <w14:solidFill>
                    <w14:schemeClr w14:val="tx1"/>
                  </w14:solidFill>
                </w14:textFill>
              </w:rPr>
              <w:t>短路、过载保护、</w:t>
            </w:r>
            <w:r>
              <w:rPr>
                <w:rFonts w:hint="default" w:ascii="宋体" w:hAnsi="宋体"/>
                <w:color w:val="000000" w:themeColor="text1"/>
                <w14:textFill>
                  <w14:solidFill>
                    <w14:schemeClr w14:val="tx1"/>
                  </w14:solidFill>
                </w14:textFill>
              </w:rPr>
              <w:t>触电等级</w:t>
            </w:r>
            <w:r>
              <w:rPr>
                <w:rFonts w:hint="eastAsia" w:ascii="宋体" w:hAnsi="宋体"/>
                <w:color w:val="000000" w:themeColor="text1"/>
                <w:lang w:eastAsia="zh-CN"/>
                <w14:textFill>
                  <w14:solidFill>
                    <w14:schemeClr w14:val="tx1"/>
                  </w14:solidFill>
                </w14:textFill>
              </w:rPr>
              <w:t>、</w:t>
            </w:r>
            <w:r>
              <w:rPr>
                <w:rFonts w:hint="default" w:ascii="宋体" w:hAnsi="宋体"/>
                <w:color w:val="000000" w:themeColor="text1"/>
                <w14:textFill>
                  <w14:solidFill>
                    <w14:schemeClr w14:val="tx1"/>
                  </w14:solidFill>
                </w14:textFill>
              </w:rPr>
              <w:t>电弧抑制</w:t>
            </w:r>
            <w:r>
              <w:rPr>
                <w:rFonts w:hint="eastAsia" w:ascii="宋体" w:hAnsi="宋体"/>
                <w:color w:val="000000" w:themeColor="text1"/>
                <w:lang w:val="en-US" w:eastAsia="zh-CN"/>
                <w14:textFill>
                  <w14:solidFill>
                    <w14:schemeClr w14:val="tx1"/>
                  </w14:solidFill>
                </w14:textFill>
              </w:rPr>
              <w:t>测试。</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100"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eastAsia" w:ascii="宋体" w:hAnsi="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便携性</w:t>
            </w:r>
          </w:p>
        </w:tc>
        <w:tc>
          <w:tcPr>
            <w:tcW w:w="5654"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重量限制，单人可单手搬运</w:t>
            </w:r>
            <w:r>
              <w:rPr>
                <w:rFonts w:hint="eastAsia" w:ascii="宋体" w:hAnsi="宋体"/>
                <w:color w:val="000000" w:themeColor="text1"/>
                <w:lang w:eastAsia="zh-CN"/>
                <w14:textFill>
                  <w14:solidFill>
                    <w14:schemeClr w14:val="tx1"/>
                  </w14:solidFill>
                </w14:textFill>
              </w:rPr>
              <w:t>，可装入标准应急工具箱。</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100"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耐用性</w:t>
            </w:r>
          </w:p>
        </w:tc>
        <w:tc>
          <w:tcPr>
            <w:tcW w:w="5654"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hint="eastAsia" w:ascii="宋体" w:hAnsi="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适配</w:t>
            </w:r>
            <w:r>
              <w:rPr>
                <w:rFonts w:hint="eastAsia" w:ascii="宋体" w:hAnsi="宋体"/>
                <w:color w:val="000000" w:themeColor="text1"/>
                <w:lang w:val="en-US" w:eastAsia="zh-CN"/>
                <w14:textFill>
                  <w14:solidFill>
                    <w14:schemeClr w14:val="tx1"/>
                  </w14:solidFill>
                </w14:textFill>
              </w:rPr>
              <w:t>主流</w:t>
            </w:r>
            <w:r>
              <w:rPr>
                <w:rFonts w:hint="eastAsia" w:ascii="宋体" w:hAnsi="宋体"/>
                <w:color w:val="000000" w:themeColor="text1"/>
                <w:lang w:eastAsia="zh-CN"/>
                <w14:textFill>
                  <w14:solidFill>
                    <w14:schemeClr w14:val="tx1"/>
                  </w14:solidFill>
                </w14:textFill>
              </w:rPr>
              <w:t>的应急发电车输出接口。</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07" w:hRule="atLeast"/>
        </w:trPr>
        <w:tc>
          <w:tcPr>
            <w:tcW w:w="2100"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t>适应性</w:t>
            </w:r>
          </w:p>
        </w:tc>
        <w:tc>
          <w:tcPr>
            <w:tcW w:w="5654" w:type="dxa"/>
            <w:tcBorders>
              <w:top w:val="single" w:color="auto" w:sz="6" w:space="0"/>
              <w:left w:val="single" w:color="auto" w:sz="6" w:space="0"/>
              <w:bottom w:val="single" w:color="auto" w:sz="6" w:space="0"/>
              <w:right w:val="single" w:color="auto" w:sz="6" w:space="0"/>
            </w:tcBorders>
            <w:shd w:val="clear" w:color="auto" w:fill="FFFFFF"/>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适应</w:t>
            </w:r>
            <w:r>
              <w:rPr>
                <w:rFonts w:hint="default" w:ascii="宋体" w:hAnsi="宋体"/>
                <w:color w:val="000000" w:themeColor="text1"/>
                <w14:textFill>
                  <w14:solidFill>
                    <w14:schemeClr w14:val="tx1"/>
                  </w14:solidFill>
                </w14:textFill>
              </w:rPr>
              <w:t>0.4kV低压配变系统</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645" w:hRule="atLeast"/>
        </w:trPr>
        <w:tc>
          <w:tcPr>
            <w:tcW w:w="2100"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易用性</w:t>
            </w:r>
          </w:p>
        </w:tc>
        <w:tc>
          <w:tcPr>
            <w:tcW w:w="5654" w:type="dxa"/>
            <w:tcBorders>
              <w:top w:val="single" w:color="auto" w:sz="6" w:space="0"/>
              <w:left w:val="single" w:color="000000" w:sz="6" w:space="0"/>
              <w:bottom w:val="single" w:color="000000" w:sz="6" w:space="0"/>
              <w:right w:val="single" w:color="000000" w:sz="6" w:space="0"/>
            </w:tcBorders>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default" w:ascii="宋体" w:hAnsi="宋体"/>
                <w:color w:val="000000" w:themeColor="text1"/>
                <w14:textFill>
                  <w14:solidFill>
                    <w14:schemeClr w14:val="tx1"/>
                  </w14:solidFill>
                </w14:textFill>
              </w:rPr>
              <w:t>简单的组装步骤，清晰的使用指示，无需复杂工具</w:t>
            </w:r>
            <w:r>
              <w:rPr>
                <w:rFonts w:hint="eastAsia" w:ascii="宋体" w:hAnsi="宋体"/>
                <w:color w:val="000000" w:themeColor="text1"/>
                <w:lang w:eastAsia="zh-CN"/>
                <w14:textFill>
                  <w14:solidFill>
                    <w14:schemeClr w14:val="tx1"/>
                  </w14:solidFill>
                </w14:textFill>
              </w:rPr>
              <w:t>。</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rPr>
        <w:tc>
          <w:tcPr>
            <w:tcW w:w="2100" w:type="dxa"/>
            <w:tcBorders>
              <w:top w:val="single" w:color="000000"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绝缘性</w:t>
            </w:r>
          </w:p>
        </w:tc>
        <w:tc>
          <w:tcPr>
            <w:tcW w:w="5654" w:type="dxa"/>
            <w:tcBorders>
              <w:top w:val="single" w:color="000000" w:sz="6" w:space="0"/>
              <w:left w:val="single" w:color="000000" w:sz="6" w:space="0"/>
              <w:bottom w:val="single" w:color="000000" w:sz="6" w:space="0"/>
              <w:right w:val="single" w:color="000000" w:sz="6" w:space="0"/>
            </w:tcBorders>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default" w:ascii="宋体" w:hAnsi="宋体"/>
                <w:color w:val="000000" w:themeColor="text1"/>
                <w14:textFill>
                  <w14:solidFill>
                    <w14:schemeClr w14:val="tx1"/>
                  </w14:solidFill>
                </w14:textFill>
              </w:rPr>
              <w:t>设备应具备良好的绝缘性能，以防止触电事故</w:t>
            </w:r>
          </w:p>
        </w:tc>
      </w:tr>
      <w:bookmarkEnd w:id="30"/>
      <w:bookmarkEnd w:id="31"/>
    </w:tbl>
    <w:p>
      <w:pPr>
        <w:pStyle w:val="5"/>
        <w:tabs>
          <w:tab w:val="left" w:pos="0"/>
        </w:tabs>
        <w:spacing w:before="0" w:after="0" w:line="360" w:lineRule="auto"/>
        <w:rPr>
          <w:rFonts w:hint="eastAsia" w:ascii="宋体" w:hAnsi="宋体" w:cs="宋体"/>
          <w:color w:val="000000" w:themeColor="text1"/>
          <w:sz w:val="28"/>
          <w:szCs w:val="24"/>
          <w14:textFill>
            <w14:solidFill>
              <w14:schemeClr w14:val="tx1"/>
            </w14:solidFill>
          </w14:textFill>
        </w:rPr>
      </w:pPr>
      <w:bookmarkStart w:id="32" w:name="_Toc8248"/>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.4</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设备研究所需材料</w:t>
      </w:r>
      <w:bookmarkEnd w:id="32"/>
    </w:p>
    <w:tbl>
      <w:tblPr>
        <w:tblStyle w:val="15"/>
        <w:tblW w:w="41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27"/>
        <w:gridCol w:w="1527"/>
        <w:gridCol w:w="21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00" w:type="pct"/>
            <w:gridSpan w:val="3"/>
            <w:vAlign w:val="center"/>
          </w:tcPr>
          <w:p>
            <w:pPr>
              <w:adjustRightInd w:val="0"/>
              <w:snapToGrid w:val="0"/>
              <w:ind w:firstLine="0" w:firstLineChars="0"/>
              <w:jc w:val="center"/>
              <w:rPr>
                <w:rFonts w:hint="eastAsia" w:ascii="宋体" w:hAnsi="宋体" w:eastAsia="宋体"/>
                <w:color w:val="000000" w:themeColor="text1"/>
                <w:lang w:eastAsia="zh-CN"/>
                <w14:textFill>
                  <w14:solidFill>
                    <w14:schemeClr w14:val="tx1"/>
                  </w14:solidFill>
                </w14:textFill>
              </w:rPr>
            </w:pPr>
            <w:r>
              <w:rPr>
                <w:rFonts w:hint="eastAsia" w:ascii="宋体" w:hAnsi="宋体"/>
                <w:color w:val="000000" w:themeColor="text1"/>
                <w:lang w:eastAsia="zh-CN"/>
                <w14:textFill>
                  <w14:solidFill>
                    <w14:schemeClr w14:val="tx1"/>
                  </w14:solidFill>
                </w14:textFill>
              </w:rPr>
              <w:t>材料表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名称</w:t>
            </w:r>
          </w:p>
        </w:tc>
        <w:tc>
          <w:tcPr>
            <w:tcW w:w="1075"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单位</w:t>
            </w:r>
          </w:p>
        </w:tc>
        <w:tc>
          <w:tcPr>
            <w:tcW w:w="1512" w:type="pct"/>
            <w:vAlign w:val="center"/>
          </w:tcPr>
          <w:p>
            <w:pPr>
              <w:adjustRightInd w:val="0"/>
              <w:snapToGrid w:val="0"/>
              <w:ind w:firstLine="0" w:firstLineChars="0"/>
              <w:jc w:val="center"/>
              <w:rPr>
                <w:rFonts w:hint="eastAsia" w:ascii="宋体" w:hAnsi="宋体" w:eastAsia="宋体" w:cs="黑体"/>
                <w:color w:val="000000" w:themeColor="text1"/>
                <w:kern w:val="2"/>
                <w:sz w:val="24"/>
                <w:szCs w:val="22"/>
                <w:lang w:val="en-US" w:eastAsia="zh-CN" w:bidi="ar-SA"/>
                <w14:textFill>
                  <w14:solidFill>
                    <w14:schemeClr w14:val="tx1"/>
                  </w14:solidFill>
                </w14:textFill>
              </w:rPr>
            </w:pPr>
            <w:r>
              <w:rPr>
                <w:rFonts w:hint="eastAsia" w:ascii="宋体" w:hAnsi="宋体"/>
                <w:color w:val="000000" w:themeColor="text1"/>
                <w14:textFill>
                  <w14:solidFill>
                    <w14:schemeClr w14:val="tx1"/>
                  </w14:solidFill>
                </w14:textFill>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4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lang w:val="en-US" w:eastAsia="zh-CN"/>
                <w14:textFill>
                  <w14:solidFill>
                    <w14:schemeClr w14:val="tx1"/>
                  </w14:solidFill>
                </w14:textFill>
              </w:rPr>
              <w:t>速通保电多功能便捷式接线端</w:t>
            </w:r>
          </w:p>
        </w:tc>
        <w:tc>
          <w:tcPr>
            <w:tcW w:w="1075"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套</w:t>
            </w:r>
          </w:p>
        </w:tc>
        <w:tc>
          <w:tcPr>
            <w:tcW w:w="1512" w:type="pct"/>
            <w:vAlign w:val="center"/>
          </w:tcPr>
          <w:p>
            <w:pPr>
              <w:adjustRightInd w:val="0"/>
              <w:snapToGrid w:val="0"/>
              <w:ind w:firstLine="0" w:firstLineChars="0"/>
              <w:jc w:val="center"/>
              <w:rPr>
                <w:rFonts w:ascii="宋体" w:hAnsi="宋体"/>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1</w:t>
            </w:r>
          </w:p>
        </w:tc>
      </w:tr>
    </w:tbl>
    <w:p>
      <w:pPr>
        <w:rPr>
          <w:rFonts w:hint="eastAsia"/>
        </w:rPr>
      </w:pPr>
    </w:p>
    <w:p>
      <w:pPr>
        <w:pStyle w:val="5"/>
        <w:tabs>
          <w:tab w:val="left" w:pos="0"/>
        </w:tabs>
        <w:spacing w:before="0" w:after="0" w:line="360" w:lineRule="auto"/>
        <w:jc w:val="left"/>
        <w:rPr>
          <w:rFonts w:ascii="宋体" w:hAnsi="宋体" w:cs="宋体"/>
          <w:color w:val="000000" w:themeColor="text1"/>
          <w:sz w:val="28"/>
          <w:szCs w:val="24"/>
          <w14:textFill>
            <w14:solidFill>
              <w14:schemeClr w14:val="tx1"/>
            </w14:solidFill>
          </w14:textFill>
        </w:rPr>
      </w:pPr>
      <w:bookmarkStart w:id="33" w:name="_Toc502"/>
      <w:r>
        <w:rPr>
          <w:rFonts w:hint="eastAsia" w:ascii="宋体" w:hAnsi="宋体" w:cs="宋体"/>
          <w:color w:val="000000" w:themeColor="text1"/>
          <w:sz w:val="28"/>
          <w:szCs w:val="24"/>
          <w:lang w:val="en-US" w:eastAsia="zh-CN"/>
          <w14:textFill>
            <w14:solidFill>
              <w14:schemeClr w14:val="tx1"/>
            </w14:solidFill>
          </w14:textFill>
        </w:rPr>
        <w:t>2</w:t>
      </w:r>
      <w:r>
        <w:rPr>
          <w:rFonts w:hint="eastAsia" w:ascii="宋体" w:hAnsi="宋体" w:cs="宋体"/>
          <w:color w:val="000000" w:themeColor="text1"/>
          <w:sz w:val="28"/>
          <w:szCs w:val="24"/>
          <w14:textFill>
            <w14:solidFill>
              <w14:schemeClr w14:val="tx1"/>
            </w14:solidFill>
          </w14:textFill>
        </w:rPr>
        <w:t>.5</w:t>
      </w:r>
      <w:r>
        <w:rPr>
          <w:rFonts w:hint="eastAsia" w:ascii="宋体" w:hAnsi="宋体" w:cs="宋体"/>
          <w:color w:val="000000" w:themeColor="text1"/>
          <w:sz w:val="28"/>
          <w:szCs w:val="24"/>
          <w:lang w:val="en-US" w:eastAsia="zh-CN"/>
          <w14:textFill>
            <w14:solidFill>
              <w14:schemeClr w14:val="tx1"/>
            </w14:solidFill>
          </w14:textFill>
        </w:rPr>
        <w:t xml:space="preserve"> </w:t>
      </w:r>
      <w:r>
        <w:rPr>
          <w:rFonts w:hint="eastAsia" w:ascii="宋体" w:hAnsi="宋体" w:cs="宋体"/>
          <w:color w:val="000000" w:themeColor="text1"/>
          <w:sz w:val="28"/>
          <w:szCs w:val="24"/>
          <w14:textFill>
            <w14:solidFill>
              <w14:schemeClr w14:val="tx1"/>
            </w14:solidFill>
          </w14:textFill>
        </w:rPr>
        <w:t>加工服务地点和期限</w:t>
      </w:r>
      <w:bookmarkEnd w:id="33"/>
      <w:bookmarkStart w:id="67" w:name="_GoBack"/>
      <w:bookmarkEnd w:id="67"/>
    </w:p>
    <w:p>
      <w:pPr>
        <w:widowControl/>
        <w:ind w:firstLine="0" w:firstLineChars="0"/>
        <w:jc w:val="left"/>
        <w:textAlignment w:val="center"/>
        <w:rPr>
          <w:rFonts w:hint="default" w:ascii="宋体" w:hAnsi="宋体" w:eastAsia="宋体" w:cs="宋体"/>
          <w:color w:val="000000" w:themeColor="text1"/>
          <w:kern w:val="0"/>
          <w:szCs w:val="24"/>
          <w:highlight w:val="yellow"/>
          <w:lang w:val="en-US" w:eastAsia="zh-CN"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地点：</w:t>
      </w:r>
      <w:r>
        <w:rPr>
          <w:rFonts w:hint="eastAsia" w:ascii="宋体" w:hAnsi="宋体" w:cs="宋体"/>
          <w:color w:val="000000" w:themeColor="text1"/>
          <w:kern w:val="0"/>
          <w:szCs w:val="24"/>
          <w:lang w:val="en-US" w:eastAsia="zh-CN" w:bidi="en-AU"/>
          <w14:textFill>
            <w14:solidFill>
              <w14:schemeClr w14:val="tx1"/>
            </w14:solidFill>
          </w14:textFill>
        </w:rPr>
        <w:t>防城港东兴供电局北仑大道678号</w:t>
      </w:r>
    </w:p>
    <w:p>
      <w:pPr>
        <w:ind w:firstLine="0" w:firstLineChars="0"/>
        <w:rPr>
          <w:rFonts w:ascii="宋体" w:hAnsi="宋体" w:cs="宋体"/>
          <w:color w:val="000000" w:themeColor="text1"/>
          <w:kern w:val="0"/>
          <w:szCs w:val="24"/>
          <w:lang w:bidi="en-AU"/>
          <w14:textFill>
            <w14:solidFill>
              <w14:schemeClr w14:val="tx1"/>
            </w14:solidFill>
          </w14:textFill>
        </w:rPr>
      </w:pPr>
      <w:r>
        <w:rPr>
          <w:rFonts w:hint="eastAsia" w:ascii="宋体" w:hAnsi="宋体" w:cs="宋体"/>
          <w:color w:val="000000" w:themeColor="text1"/>
          <w:kern w:val="0"/>
          <w:szCs w:val="24"/>
          <w:lang w:bidi="en-AU"/>
          <w14:textFill>
            <w14:solidFill>
              <w14:schemeClr w14:val="tx1"/>
            </w14:solidFill>
          </w14:textFill>
        </w:rPr>
        <w:t>服务期限：</w:t>
      </w:r>
      <w:r>
        <w:rPr>
          <w:rFonts w:hint="eastAsia" w:ascii="宋体" w:hAnsi="宋体" w:cs="宋体"/>
          <w:color w:val="000000" w:themeColor="text1"/>
          <w:szCs w:val="24"/>
          <w14:textFill>
            <w14:solidFill>
              <w14:schemeClr w14:val="tx1"/>
            </w14:solidFill>
          </w14:textFill>
        </w:rPr>
        <w:t>自合同约定之日</w:t>
      </w:r>
      <w:r>
        <w:rPr>
          <w:rFonts w:hint="eastAsia" w:ascii="宋体" w:hAnsi="宋体" w:cs="宋体"/>
          <w:color w:val="000000" w:themeColor="text1"/>
          <w:szCs w:val="24"/>
          <w:lang w:eastAsia="zh-CN"/>
          <w14:textFill>
            <w14:solidFill>
              <w14:schemeClr w14:val="tx1"/>
            </w14:solidFill>
          </w14:textFill>
        </w:rPr>
        <w:t>起</w:t>
      </w:r>
      <w:r>
        <w:rPr>
          <w:rFonts w:hint="eastAsia" w:ascii="宋体" w:hAnsi="宋体" w:cs="宋体"/>
          <w:color w:val="000000" w:themeColor="text1"/>
          <w:szCs w:val="24"/>
          <w14:textFill>
            <w14:solidFill>
              <w14:schemeClr w14:val="tx1"/>
            </w14:solidFill>
          </w14:textFill>
        </w:rPr>
        <w:t>至202</w:t>
      </w:r>
      <w:r>
        <w:rPr>
          <w:rFonts w:hint="eastAsia" w:ascii="宋体" w:hAnsi="宋体" w:cs="宋体"/>
          <w:color w:val="000000" w:themeColor="text1"/>
          <w:szCs w:val="24"/>
          <w:lang w:val="en-US" w:eastAsia="zh-CN"/>
          <w14:textFill>
            <w14:solidFill>
              <w14:schemeClr w14:val="tx1"/>
            </w14:solidFill>
          </w14:textFill>
        </w:rPr>
        <w:t>6</w:t>
      </w:r>
      <w:r>
        <w:rPr>
          <w:rFonts w:hint="eastAsia" w:ascii="宋体" w:hAnsi="宋体" w:cs="宋体"/>
          <w:color w:val="000000" w:themeColor="text1"/>
          <w:szCs w:val="24"/>
          <w14:textFill>
            <w14:solidFill>
              <w14:schemeClr w14:val="tx1"/>
            </w14:solidFill>
          </w14:textFill>
        </w:rPr>
        <w:t>年</w:t>
      </w:r>
      <w:r>
        <w:rPr>
          <w:rFonts w:hint="eastAsia" w:ascii="宋体" w:hAnsi="宋体" w:cs="宋体"/>
          <w:color w:val="000000" w:themeColor="text1"/>
          <w:szCs w:val="24"/>
          <w:lang w:val="en-US" w:eastAsia="zh-CN"/>
          <w14:textFill>
            <w14:solidFill>
              <w14:schemeClr w14:val="tx1"/>
            </w14:solidFill>
          </w14:textFill>
        </w:rPr>
        <w:t>4</w:t>
      </w:r>
      <w:r>
        <w:rPr>
          <w:rFonts w:hint="eastAsia" w:ascii="宋体" w:hAnsi="宋体" w:cs="宋体"/>
          <w:color w:val="000000" w:themeColor="text1"/>
          <w:szCs w:val="24"/>
          <w14:textFill>
            <w14:solidFill>
              <w14:schemeClr w14:val="tx1"/>
            </w14:solidFill>
          </w14:textFill>
        </w:rPr>
        <w:t>月30日</w:t>
      </w:r>
      <w:r>
        <w:rPr>
          <w:rFonts w:hint="eastAsia" w:ascii="宋体" w:hAnsi="宋体" w:cs="宋体"/>
          <w:color w:val="000000" w:themeColor="text1"/>
          <w:kern w:val="0"/>
          <w:szCs w:val="24"/>
          <w:lang w:bidi="en-AU"/>
          <w14:textFill>
            <w14:solidFill>
              <w14:schemeClr w14:val="tx1"/>
            </w14:solidFill>
          </w14:textFill>
        </w:rPr>
        <w:t>。</w:t>
      </w:r>
      <w:bookmarkStart w:id="34" w:name="_Toc480800900"/>
    </w:p>
    <w:p>
      <w:pPr>
        <w:pStyle w:val="4"/>
        <w:numPr>
          <w:ilvl w:val="0"/>
          <w:numId w:val="0"/>
        </w:numPr>
        <w:bidi w:val="0"/>
        <w:ind w:left="432" w:leftChars="0"/>
        <w:rPr>
          <w:color w:val="000000" w:themeColor="text1"/>
          <w14:textFill>
            <w14:solidFill>
              <w14:schemeClr w14:val="tx1"/>
            </w14:solidFill>
          </w14:textFill>
        </w:rPr>
      </w:pPr>
      <w:bookmarkStart w:id="35" w:name="_Toc6137"/>
      <w:r>
        <w:rPr>
          <w:rFonts w:hint="eastAsia"/>
          <w:color w:val="000000" w:themeColor="text1"/>
          <w14:textFill>
            <w14:solidFill>
              <w14:schemeClr w14:val="tx1"/>
            </w14:solidFill>
          </w14:textFill>
        </w:rPr>
        <w:t>三、研究开发成果交付</w:t>
      </w:r>
      <w:bookmarkEnd w:id="34"/>
      <w:r>
        <w:rPr>
          <w:rFonts w:hint="eastAsia"/>
          <w:color w:val="000000" w:themeColor="text1"/>
          <w14:textFill>
            <w14:solidFill>
              <w14:schemeClr w14:val="tx1"/>
            </w14:solidFill>
          </w14:textFill>
        </w:rPr>
        <w:t>物</w:t>
      </w:r>
      <w:bookmarkEnd w:id="35"/>
    </w:p>
    <w:p>
      <w:pPr>
        <w:ind w:firstLine="480"/>
        <w:rPr>
          <w:rFonts w:hint="eastAsia" w:ascii="宋体" w:hAnsi="宋体" w:eastAsia="宋体"/>
          <w:color w:val="000000" w:themeColor="text1"/>
          <w:lang w:eastAsia="zh-CN"/>
          <w14:textFill>
            <w14:solidFill>
              <w14:schemeClr w14:val="tx1"/>
            </w14:solidFill>
          </w14:textFill>
        </w:rPr>
      </w:pPr>
      <w:bookmarkStart w:id="36" w:name="_Toc480800901"/>
      <w:r>
        <w:rPr>
          <w:rFonts w:hint="eastAsia" w:ascii="宋体" w:hAnsi="宋体"/>
          <w:color w:val="000000" w:themeColor="text1"/>
          <w14:textFill>
            <w14:solidFill>
              <w14:schemeClr w14:val="tx1"/>
            </w14:solidFill>
          </w14:textFill>
        </w:rPr>
        <w:t>研究开发成果交付的形式和数量</w:t>
      </w:r>
      <w:bookmarkEnd w:id="36"/>
      <w:r>
        <w:rPr>
          <w:rFonts w:hint="eastAsia" w:ascii="宋体" w:hAnsi="宋体"/>
          <w:color w:val="000000" w:themeColor="text1"/>
          <w:lang w:eastAsia="zh-CN"/>
          <w14:textFill>
            <w14:solidFill>
              <w14:schemeClr w14:val="tx1"/>
            </w14:solidFill>
          </w14:textFill>
        </w:rPr>
        <w:t>：</w:t>
      </w:r>
    </w:p>
    <w:tbl>
      <w:tblPr>
        <w:tblStyle w:val="14"/>
        <w:tblW w:w="8406" w:type="dxa"/>
        <w:tblInd w:w="5" w:type="dxa"/>
        <w:tblLayout w:type="fixed"/>
        <w:tblCellMar>
          <w:top w:w="0" w:type="dxa"/>
          <w:left w:w="0" w:type="dxa"/>
          <w:bottom w:w="0" w:type="dxa"/>
          <w:right w:w="0" w:type="dxa"/>
        </w:tblCellMar>
      </w:tblPr>
      <w:tblGrid>
        <w:gridCol w:w="689"/>
        <w:gridCol w:w="3382"/>
        <w:gridCol w:w="1227"/>
        <w:gridCol w:w="728"/>
        <w:gridCol w:w="1536"/>
        <w:gridCol w:w="844"/>
      </w:tblGrid>
      <w:tr>
        <w:tblPrEx>
          <w:tblCellMar>
            <w:top w:w="0" w:type="dxa"/>
            <w:left w:w="0" w:type="dxa"/>
            <w:bottom w:w="0" w:type="dxa"/>
            <w:right w:w="0" w:type="dxa"/>
          </w:tblCellMar>
        </w:tblPrEx>
        <w:trPr>
          <w:trHeight w:val="535" w:hRule="atLeast"/>
          <w:tblHeader/>
        </w:trPr>
        <w:tc>
          <w:tcPr>
            <w:tcW w:w="689" w:type="dxa"/>
            <w:tcBorders>
              <w:top w:val="single" w:color="auto" w:sz="4" w:space="0"/>
              <w:left w:val="single" w:color="auto" w:sz="4" w:space="0"/>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序号</w:t>
            </w:r>
          </w:p>
        </w:tc>
        <w:tc>
          <w:tcPr>
            <w:tcW w:w="3382" w:type="dxa"/>
            <w:tcBorders>
              <w:top w:val="single" w:color="000000" w:sz="4" w:space="0"/>
              <w:left w:val="nil"/>
              <w:bottom w:val="single" w:color="auto" w:sz="4" w:space="0"/>
              <w:right w:val="single" w:color="000000"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成果名称</w:t>
            </w:r>
          </w:p>
        </w:tc>
        <w:tc>
          <w:tcPr>
            <w:tcW w:w="1227" w:type="dxa"/>
            <w:tcBorders>
              <w:top w:val="single" w:color="000000" w:sz="4" w:space="0"/>
              <w:left w:val="single" w:color="auto" w:sz="4" w:space="0"/>
              <w:bottom w:val="single" w:color="auto" w:sz="4" w:space="0"/>
              <w:right w:val="nil"/>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型号规格</w:t>
            </w:r>
          </w:p>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（如有）</w:t>
            </w:r>
          </w:p>
        </w:tc>
        <w:tc>
          <w:tcPr>
            <w:tcW w:w="72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数量</w:t>
            </w:r>
          </w:p>
        </w:tc>
        <w:tc>
          <w:tcPr>
            <w:tcW w:w="153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交付地点</w:t>
            </w:r>
          </w:p>
        </w:tc>
        <w:tc>
          <w:tcPr>
            <w:tcW w:w="84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备注</w:t>
            </w:r>
          </w:p>
        </w:tc>
      </w:tr>
      <w:tr>
        <w:tblPrEx>
          <w:tblCellMar>
            <w:top w:w="0" w:type="dxa"/>
            <w:left w:w="0" w:type="dxa"/>
            <w:bottom w:w="0" w:type="dxa"/>
            <w:right w:w="0" w:type="dxa"/>
          </w:tblCellMar>
        </w:tblPrEx>
        <w:trPr>
          <w:cantSplit/>
          <w:trHeight w:val="513" w:hRule="atLeast"/>
        </w:trPr>
        <w:tc>
          <w:tcPr>
            <w:tcW w:w="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3382"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lang w:val="en-US" w:eastAsia="zh-CN"/>
                <w14:textFill>
                  <w14:solidFill>
                    <w14:schemeClr w14:val="tx1"/>
                  </w14:solidFill>
                </w14:textFill>
              </w:rPr>
              <w:t>速通保电多功能便捷式接线端</w:t>
            </w:r>
          </w:p>
        </w:tc>
        <w:tc>
          <w:tcPr>
            <w:tcW w:w="122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72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53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w:t>
            </w:r>
            <w:r>
              <w:rPr>
                <w:rFonts w:hint="eastAsia" w:ascii="宋体" w:hAnsi="宋体" w:cs="宋体"/>
                <w:color w:val="000000" w:themeColor="text1"/>
                <w:szCs w:val="24"/>
                <w:lang w:val="en-US" w:eastAsia="zh-CN"/>
                <w14:textFill>
                  <w14:solidFill>
                    <w14:schemeClr w14:val="tx1"/>
                  </w14:solidFill>
                </w14:textFill>
              </w:rPr>
              <w:t>东兴</w:t>
            </w:r>
            <w:r>
              <w:rPr>
                <w:rFonts w:hint="eastAsia" w:ascii="宋体" w:hAnsi="宋体" w:cs="宋体"/>
                <w:color w:val="000000" w:themeColor="text1"/>
                <w:szCs w:val="24"/>
                <w14:textFill>
                  <w14:solidFill>
                    <w14:schemeClr w14:val="tx1"/>
                  </w14:solidFill>
                </w14:textFill>
              </w:rPr>
              <w:t>市</w:t>
            </w:r>
          </w:p>
        </w:tc>
        <w:tc>
          <w:tcPr>
            <w:tcW w:w="84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blPrEx>
          <w:tblCellMar>
            <w:top w:w="0" w:type="dxa"/>
            <w:left w:w="0" w:type="dxa"/>
            <w:bottom w:w="0" w:type="dxa"/>
            <w:right w:w="0" w:type="dxa"/>
          </w:tblCellMar>
        </w:tblPrEx>
        <w:trPr>
          <w:cantSplit/>
          <w:trHeight w:val="481" w:hRule="atLeast"/>
        </w:trPr>
        <w:tc>
          <w:tcPr>
            <w:tcW w:w="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2</w:t>
            </w:r>
          </w:p>
        </w:tc>
        <w:tc>
          <w:tcPr>
            <w:tcW w:w="3382"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项目工作总结报告</w:t>
            </w:r>
          </w:p>
        </w:tc>
        <w:tc>
          <w:tcPr>
            <w:tcW w:w="122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72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53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w:t>
            </w:r>
            <w:r>
              <w:rPr>
                <w:rFonts w:hint="eastAsia" w:ascii="宋体" w:hAnsi="宋体" w:cs="宋体"/>
                <w:color w:val="000000" w:themeColor="text1"/>
                <w:szCs w:val="24"/>
                <w:lang w:val="en-US" w:eastAsia="zh-CN"/>
                <w14:textFill>
                  <w14:solidFill>
                    <w14:schemeClr w14:val="tx1"/>
                  </w14:solidFill>
                </w14:textFill>
              </w:rPr>
              <w:t>东兴</w:t>
            </w:r>
            <w:r>
              <w:rPr>
                <w:rFonts w:hint="eastAsia" w:ascii="宋体" w:hAnsi="宋体" w:cs="宋体"/>
                <w:color w:val="000000" w:themeColor="text1"/>
                <w:szCs w:val="24"/>
                <w14:textFill>
                  <w14:solidFill>
                    <w14:schemeClr w14:val="tx1"/>
                  </w14:solidFill>
                </w14:textFill>
              </w:rPr>
              <w:t>市</w:t>
            </w:r>
          </w:p>
        </w:tc>
        <w:tc>
          <w:tcPr>
            <w:tcW w:w="84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r>
        <w:trPr>
          <w:cantSplit/>
          <w:trHeight w:val="481" w:hRule="atLeast"/>
        </w:trPr>
        <w:tc>
          <w:tcPr>
            <w:tcW w:w="689" w:type="dxa"/>
            <w:tcBorders>
              <w:top w:val="single" w:color="auto" w:sz="4" w:space="0"/>
              <w:left w:val="single" w:color="auto" w:sz="4" w:space="0"/>
              <w:bottom w:val="single" w:color="auto" w:sz="4" w:space="0"/>
              <w:right w:val="single" w:color="auto" w:sz="4" w:space="0"/>
            </w:tcBorders>
            <w:vAlign w:val="center"/>
          </w:tcPr>
          <w:p>
            <w:pPr>
              <w:widowControl/>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3</w:t>
            </w:r>
          </w:p>
        </w:tc>
        <w:tc>
          <w:tcPr>
            <w:tcW w:w="3382" w:type="dxa"/>
            <w:tcBorders>
              <w:top w:val="single" w:color="auto" w:sz="4" w:space="0"/>
              <w:left w:val="single" w:color="auto" w:sz="4" w:space="0"/>
              <w:bottom w:val="single" w:color="auto" w:sz="4" w:space="0"/>
              <w:right w:val="single" w:color="auto" w:sz="4" w:space="0"/>
            </w:tcBorders>
            <w:vAlign w:val="center"/>
          </w:tcPr>
          <w:p>
            <w:pPr>
              <w:ind w:firstLine="0" w:firstLineChars="0"/>
              <w:jc w:val="lef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项目技术研究报告</w:t>
            </w:r>
          </w:p>
        </w:tc>
        <w:tc>
          <w:tcPr>
            <w:tcW w:w="1227"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w:t>
            </w:r>
          </w:p>
        </w:tc>
        <w:tc>
          <w:tcPr>
            <w:tcW w:w="728"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1</w:t>
            </w:r>
          </w:p>
        </w:tc>
        <w:tc>
          <w:tcPr>
            <w:tcW w:w="1536"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r>
              <w:rPr>
                <w:rFonts w:hint="eastAsia" w:ascii="宋体" w:hAnsi="宋体" w:cs="宋体"/>
                <w:color w:val="000000" w:themeColor="text1"/>
                <w:szCs w:val="24"/>
                <w14:textFill>
                  <w14:solidFill>
                    <w14:schemeClr w14:val="tx1"/>
                  </w14:solidFill>
                </w14:textFill>
              </w:rPr>
              <w:t>防城港</w:t>
            </w:r>
            <w:r>
              <w:rPr>
                <w:rFonts w:hint="eastAsia" w:ascii="宋体" w:hAnsi="宋体" w:cs="宋体"/>
                <w:color w:val="000000" w:themeColor="text1"/>
                <w:szCs w:val="24"/>
                <w:lang w:val="en-US" w:eastAsia="zh-CN"/>
                <w14:textFill>
                  <w14:solidFill>
                    <w14:schemeClr w14:val="tx1"/>
                  </w14:solidFill>
                </w14:textFill>
              </w:rPr>
              <w:t>东兴</w:t>
            </w:r>
            <w:r>
              <w:rPr>
                <w:rFonts w:hint="eastAsia" w:ascii="宋体" w:hAnsi="宋体" w:cs="宋体"/>
                <w:color w:val="000000" w:themeColor="text1"/>
                <w:szCs w:val="24"/>
                <w14:textFill>
                  <w14:solidFill>
                    <w14:schemeClr w14:val="tx1"/>
                  </w14:solidFill>
                </w14:textFill>
              </w:rPr>
              <w:t>市</w:t>
            </w:r>
          </w:p>
        </w:tc>
        <w:tc>
          <w:tcPr>
            <w:tcW w:w="844" w:type="dxa"/>
            <w:tcBorders>
              <w:top w:val="single" w:color="auto" w:sz="4" w:space="0"/>
              <w:left w:val="single" w:color="auto" w:sz="4" w:space="0"/>
              <w:bottom w:val="single" w:color="auto" w:sz="4" w:space="0"/>
              <w:right w:val="single" w:color="auto" w:sz="4" w:space="0"/>
            </w:tcBorders>
            <w:vAlign w:val="center"/>
          </w:tcPr>
          <w:p>
            <w:pPr>
              <w:ind w:firstLine="0" w:firstLineChars="0"/>
              <w:jc w:val="center"/>
              <w:rPr>
                <w:rFonts w:ascii="宋体" w:hAnsi="宋体" w:cs="宋体"/>
                <w:color w:val="000000" w:themeColor="text1"/>
                <w:szCs w:val="24"/>
                <w14:textFill>
                  <w14:solidFill>
                    <w14:schemeClr w14:val="tx1"/>
                  </w14:solidFill>
                </w14:textFill>
              </w:rPr>
            </w:pPr>
          </w:p>
        </w:tc>
      </w:tr>
    </w:tbl>
    <w:p>
      <w:pPr>
        <w:pStyle w:val="4"/>
        <w:numPr>
          <w:ilvl w:val="0"/>
          <w:numId w:val="0"/>
        </w:numPr>
        <w:bidi w:val="0"/>
        <w:ind w:left="432" w:leftChars="0"/>
        <w:rPr>
          <w:color w:val="000000" w:themeColor="text1"/>
          <w14:textFill>
            <w14:solidFill>
              <w14:schemeClr w14:val="tx1"/>
            </w14:solidFill>
          </w14:textFill>
        </w:rPr>
      </w:pPr>
      <w:bookmarkStart w:id="37" w:name="_Toc13225"/>
      <w:r>
        <w:rPr>
          <w:rFonts w:hint="eastAsia"/>
          <w:color w:val="000000" w:themeColor="text1"/>
          <w14:textFill>
            <w14:solidFill>
              <w14:schemeClr w14:val="tx1"/>
            </w14:solidFill>
          </w14:textFill>
        </w:rPr>
        <w:t>四、开发人员</w:t>
      </w:r>
      <w:bookmarkEnd w:id="37"/>
    </w:p>
    <w:p>
      <w:pPr>
        <w:ind w:firstLine="480"/>
        <w:rPr>
          <w:rFonts w:ascii="宋体" w:hAnsi="宋体"/>
          <w:color w:val="000000" w:themeColor="text1"/>
          <w:highlight w:val="yellow"/>
          <w14:textFill>
            <w14:solidFill>
              <w14:schemeClr w14:val="tx1"/>
            </w14:solidFill>
          </w14:textFill>
        </w:rPr>
      </w:pPr>
      <w:r>
        <w:rPr>
          <w:rFonts w:hint="eastAsia" w:ascii="宋体" w:hAnsi="宋体"/>
          <w:color w:val="000000" w:themeColor="text1"/>
          <w14:textFill>
            <w14:solidFill>
              <w14:schemeClr w14:val="tx1"/>
            </w14:solidFill>
          </w14:textFill>
        </w:rPr>
        <w:t>投</w:t>
      </w:r>
      <w:r>
        <w:rPr>
          <w:rFonts w:ascii="宋体" w:hAnsi="宋体"/>
          <w:color w:val="000000" w:themeColor="text1"/>
          <w14:textFill>
            <w14:solidFill>
              <w14:schemeClr w14:val="tx1"/>
            </w14:solidFill>
          </w14:textFill>
        </w:rPr>
        <w:t>标方应在投标时提供投入本项目</w:t>
      </w:r>
      <w:r>
        <w:rPr>
          <w:rFonts w:hint="eastAsia" w:ascii="宋体" w:hAnsi="宋体"/>
          <w:color w:val="000000" w:themeColor="text1"/>
          <w14:textFill>
            <w14:solidFill>
              <w14:schemeClr w14:val="tx1"/>
            </w14:solidFill>
          </w14:textFill>
        </w:rPr>
        <w:t>工作</w:t>
      </w:r>
      <w:r>
        <w:rPr>
          <w:rFonts w:ascii="宋体" w:hAnsi="宋体"/>
          <w:color w:val="000000" w:themeColor="text1"/>
          <w14:textFill>
            <w14:solidFill>
              <w14:schemeClr w14:val="tx1"/>
            </w14:solidFill>
          </w14:textFill>
        </w:rPr>
        <w:t>的项目组人员名单，</w:t>
      </w:r>
      <w:r>
        <w:rPr>
          <w:rFonts w:hint="eastAsia" w:ascii="宋体" w:hAnsi="宋体"/>
          <w:color w:val="000000" w:themeColor="text1"/>
          <w14:textFill>
            <w14:solidFill>
              <w14:schemeClr w14:val="tx1"/>
            </w14:solidFill>
          </w14:textFill>
        </w:rPr>
        <w:t>列入</w:t>
      </w:r>
      <w:r>
        <w:rPr>
          <w:rFonts w:ascii="宋体" w:hAnsi="宋体"/>
          <w:color w:val="000000" w:themeColor="text1"/>
          <w14:textFill>
            <w14:solidFill>
              <w14:schemeClr w14:val="tx1"/>
            </w14:solidFill>
          </w14:textFill>
        </w:rPr>
        <w:t>名单的人员应专职于本项目工作，</w:t>
      </w:r>
      <w:r>
        <w:rPr>
          <w:rFonts w:hint="eastAsia" w:ascii="宋体" w:hAnsi="宋体"/>
          <w:color w:val="000000" w:themeColor="text1"/>
          <w14:textFill>
            <w14:solidFill>
              <w14:schemeClr w14:val="tx1"/>
            </w14:solidFill>
          </w14:textFill>
        </w:rPr>
        <w:t>专职</w:t>
      </w:r>
      <w:r>
        <w:rPr>
          <w:rFonts w:ascii="宋体" w:hAnsi="宋体"/>
          <w:color w:val="000000" w:themeColor="text1"/>
          <w14:textFill>
            <w14:solidFill>
              <w14:schemeClr w14:val="tx1"/>
            </w14:solidFill>
          </w14:textFill>
        </w:rPr>
        <w:t>开发人员人数</w:t>
      </w:r>
      <w:r>
        <w:rPr>
          <w:rFonts w:hint="eastAsia" w:ascii="宋体" w:hAnsi="宋体"/>
          <w:color w:val="000000" w:themeColor="text1"/>
          <w14:textFill>
            <w14:solidFill>
              <w14:schemeClr w14:val="tx1"/>
            </w14:solidFill>
          </w14:textFill>
        </w:rPr>
        <w:t>占名单总</w:t>
      </w:r>
      <w:r>
        <w:rPr>
          <w:rFonts w:ascii="宋体" w:hAnsi="宋体"/>
          <w:color w:val="000000" w:themeColor="text1"/>
          <w14:textFill>
            <w14:solidFill>
              <w14:schemeClr w14:val="tx1"/>
            </w14:solidFill>
          </w14:textFill>
        </w:rPr>
        <w:t>人数</w:t>
      </w:r>
      <w:r>
        <w:rPr>
          <w:rFonts w:hint="eastAsia" w:ascii="宋体" w:hAnsi="宋体"/>
          <w:color w:val="000000" w:themeColor="text1"/>
          <w14:textFill>
            <w14:solidFill>
              <w14:schemeClr w14:val="tx1"/>
            </w14:solidFill>
          </w14:textFill>
        </w:rPr>
        <w:t>比例</w:t>
      </w:r>
      <w:r>
        <w:rPr>
          <w:rFonts w:ascii="宋体" w:hAnsi="宋体"/>
          <w:color w:val="000000" w:themeColor="text1"/>
          <w14:textFill>
            <w14:solidFill>
              <w14:schemeClr w14:val="tx1"/>
            </w14:solidFill>
          </w14:textFill>
        </w:rPr>
        <w:t>不得少于</w:t>
      </w:r>
      <w:r>
        <w:rPr>
          <w:rFonts w:hint="eastAsia" w:ascii="宋体" w:hAnsi="宋体"/>
          <w:color w:val="000000" w:themeColor="text1"/>
          <w14:textFill>
            <w14:solidFill>
              <w14:schemeClr w14:val="tx1"/>
            </w14:solidFill>
          </w14:textFill>
        </w:rPr>
        <w:t>60%，</w:t>
      </w:r>
      <w:r>
        <w:rPr>
          <w:rFonts w:ascii="宋体" w:hAnsi="宋体"/>
          <w:color w:val="000000" w:themeColor="text1"/>
          <w14:textFill>
            <w14:solidFill>
              <w14:schemeClr w14:val="tx1"/>
            </w14:solidFill>
          </w14:textFill>
        </w:rPr>
        <w:t>在项目验收未通过前，该</w:t>
      </w:r>
      <w:r>
        <w:rPr>
          <w:rFonts w:hint="eastAsia" w:ascii="宋体" w:hAnsi="宋体"/>
          <w:color w:val="000000" w:themeColor="text1"/>
          <w14:textFill>
            <w14:solidFill>
              <w14:schemeClr w14:val="tx1"/>
            </w14:solidFill>
          </w14:textFill>
        </w:rPr>
        <w:t>名单</w:t>
      </w:r>
      <w:r>
        <w:rPr>
          <w:rFonts w:ascii="宋体" w:hAnsi="宋体"/>
          <w:color w:val="000000" w:themeColor="text1"/>
          <w14:textFill>
            <w14:solidFill>
              <w14:schemeClr w14:val="tx1"/>
            </w14:solidFill>
          </w14:textFill>
        </w:rPr>
        <w:t>中</w:t>
      </w:r>
      <w:r>
        <w:rPr>
          <w:rFonts w:hint="eastAsia" w:ascii="宋体" w:hAnsi="宋体"/>
          <w:color w:val="000000" w:themeColor="text1"/>
          <w14:textFill>
            <w14:solidFill>
              <w14:schemeClr w14:val="tx1"/>
            </w14:solidFill>
          </w14:textFill>
        </w:rPr>
        <w:t>的</w:t>
      </w:r>
      <w:r>
        <w:rPr>
          <w:rFonts w:ascii="宋体" w:hAnsi="宋体"/>
          <w:color w:val="000000" w:themeColor="text1"/>
          <w14:textFill>
            <w14:solidFill>
              <w14:schemeClr w14:val="tx1"/>
            </w14:solidFill>
          </w14:textFill>
        </w:rPr>
        <w:t>人员变动不得超过</w:t>
      </w:r>
      <w:r>
        <w:rPr>
          <w:rFonts w:hint="eastAsia" w:ascii="宋体" w:hAnsi="宋体"/>
          <w:color w:val="000000" w:themeColor="text1"/>
          <w14:textFill>
            <w14:solidFill>
              <w14:schemeClr w14:val="tx1"/>
            </w14:solidFill>
          </w14:textFill>
        </w:rPr>
        <w:t>25%。</w:t>
      </w:r>
    </w:p>
    <w:p>
      <w:pPr>
        <w:pStyle w:val="4"/>
        <w:numPr>
          <w:ilvl w:val="0"/>
          <w:numId w:val="0"/>
        </w:numPr>
        <w:bidi w:val="0"/>
        <w:ind w:left="432" w:leftChars="0"/>
        <w:rPr>
          <w:rFonts w:hint="eastAsia"/>
          <w:color w:val="000000" w:themeColor="text1"/>
          <w14:textFill>
            <w14:solidFill>
              <w14:schemeClr w14:val="tx1"/>
            </w14:solidFill>
          </w14:textFill>
        </w:rPr>
      </w:pPr>
      <w:bookmarkStart w:id="38" w:name="_Toc22815"/>
      <w:bookmarkStart w:id="39" w:name="_Toc444945521"/>
      <w:r>
        <w:rPr>
          <w:rFonts w:hint="eastAsia"/>
          <w:color w:val="000000" w:themeColor="text1"/>
          <w14:textFill>
            <w14:solidFill>
              <w14:schemeClr w14:val="tx1"/>
            </w14:solidFill>
          </w14:textFill>
        </w:rPr>
        <w:t>五、投标技术文件编制要求</w:t>
      </w:r>
      <w:bookmarkEnd w:id="38"/>
      <w:bookmarkEnd w:id="39"/>
    </w:p>
    <w:p>
      <w:pPr>
        <w:pStyle w:val="20"/>
        <w:spacing w:line="360" w:lineRule="auto"/>
        <w:ind w:firstLine="480"/>
        <w:rPr>
          <w:rFonts w:eastAsia="宋体" w:cs="Times New Roman"/>
          <w:color w:val="000000" w:themeColor="text1"/>
          <w:szCs w:val="24"/>
          <w14:textFill>
            <w14:solidFill>
              <w14:schemeClr w14:val="tx1"/>
            </w14:solidFill>
          </w14:textFill>
        </w:rPr>
      </w:pPr>
      <w:r>
        <w:rPr>
          <w:rFonts w:hint="eastAsia" w:eastAsia="宋体" w:cs="Times New Roman"/>
          <w:color w:val="000000" w:themeColor="text1"/>
          <w:szCs w:val="24"/>
          <w14:textFill>
            <w14:solidFill>
              <w14:schemeClr w14:val="tx1"/>
            </w14:solidFill>
          </w14:textFill>
        </w:rPr>
        <w:t>投标方可以到现场实地考察，并根据科技项目研发总体目标和招标技术文件提出自己的技术研究方案、工程施工方案、工程进度表和商务报价，技术文件应包含（不仅限于）以下内容：</w:t>
      </w:r>
    </w:p>
    <w:p>
      <w:pPr>
        <w:pStyle w:val="5"/>
        <w:bidi w:val="0"/>
      </w:pPr>
      <w:bookmarkStart w:id="40" w:name="_Toc2588"/>
      <w:r>
        <w:rPr>
          <w:rFonts w:hint="eastAsia"/>
        </w:rPr>
        <w:t>5.1</w:t>
      </w:r>
      <w:r>
        <w:t xml:space="preserve"> </w:t>
      </w:r>
      <w:r>
        <w:rPr>
          <w:rFonts w:hint="eastAsia"/>
        </w:rPr>
        <w:t>研究内容</w:t>
      </w:r>
      <w:bookmarkEnd w:id="40"/>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国内外相关技术研究现状、发展趋势</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招标项目需解决的关键技术问题</w:t>
      </w:r>
    </w:p>
    <w:p>
      <w:pPr>
        <w:pStyle w:val="5"/>
        <w:bidi w:val="0"/>
      </w:pPr>
      <w:bookmarkStart w:id="41" w:name="_Toc12859"/>
      <w:r>
        <w:rPr>
          <w:rFonts w:hint="eastAsia"/>
        </w:rPr>
        <w:t>5.</w:t>
      </w:r>
      <w:r>
        <w:t xml:space="preserve">2 </w:t>
      </w:r>
      <w:r>
        <w:rPr>
          <w:rFonts w:hint="eastAsia"/>
        </w:rPr>
        <w:t>研究思路与技术路线</w:t>
      </w:r>
      <w:bookmarkEnd w:id="41"/>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研究思路</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技术路线</w:t>
      </w:r>
    </w:p>
    <w:p>
      <w:pPr>
        <w:rPr>
          <w:rFonts w:ascii="Times New Roman" w:hAnsi="Times New Roman" w:cs="Times New Roman"/>
          <w:szCs w:val="24"/>
        </w:rPr>
      </w:pPr>
      <w:r>
        <w:rPr>
          <w:rFonts w:hint="eastAsia" w:ascii="宋体" w:hAnsi="宋体" w:cs="宋体"/>
          <w:szCs w:val="24"/>
        </w:rPr>
        <w:t>①</w:t>
      </w:r>
      <w:r>
        <w:rPr>
          <w:rFonts w:ascii="Times New Roman" w:hAnsi="Times New Roman" w:cs="Times New Roman"/>
          <w:szCs w:val="24"/>
        </w:rPr>
        <w:t xml:space="preserve"> </w:t>
      </w:r>
      <w:r>
        <w:rPr>
          <w:rFonts w:hint="eastAsia" w:ascii="Times New Roman" w:hAnsi="Times New Roman" w:cs="Times New Roman"/>
          <w:szCs w:val="24"/>
        </w:rPr>
        <w:t>研究开发技术路线的选定</w:t>
      </w:r>
    </w:p>
    <w:p>
      <w:pPr>
        <w:ind w:firstLine="480"/>
        <w:rPr>
          <w:rFonts w:ascii="Times New Roman" w:hAnsi="Times New Roman" w:cs="Times New Roman"/>
          <w:szCs w:val="24"/>
        </w:rPr>
      </w:pPr>
      <w:r>
        <w:rPr>
          <w:rFonts w:hint="eastAsia" w:ascii="Times New Roman" w:hAnsi="Times New Roman" w:cs="Times New Roman"/>
          <w:szCs w:val="24"/>
        </w:rPr>
        <w:t>详细描述项目的技术路线</w:t>
      </w:r>
      <w:r>
        <w:rPr>
          <w:rFonts w:ascii="Times New Roman" w:hAnsi="Times New Roman" w:cs="Times New Roman"/>
          <w:szCs w:val="24"/>
        </w:rPr>
        <w:t>(</w:t>
      </w:r>
      <w:r>
        <w:rPr>
          <w:rFonts w:hint="eastAsia" w:ascii="Times New Roman" w:hAnsi="Times New Roman" w:cs="Times New Roman"/>
          <w:szCs w:val="24"/>
        </w:rPr>
        <w:t>可加图示</w:t>
      </w:r>
      <w:r>
        <w:rPr>
          <w:rFonts w:ascii="Times New Roman" w:hAnsi="Times New Roman" w:cs="Times New Roman"/>
          <w:szCs w:val="24"/>
        </w:rPr>
        <w:t>)</w:t>
      </w:r>
      <w:r>
        <w:rPr>
          <w:rFonts w:hint="eastAsia" w:ascii="Times New Roman" w:hAnsi="Times New Roman" w:cs="Times New Roman"/>
          <w:szCs w:val="24"/>
        </w:rPr>
        <w:t>；分析比较不同技术路线在工艺、技术、经济方面等情况，确定最佳技术路线。</w:t>
      </w:r>
    </w:p>
    <w:p>
      <w:pPr>
        <w:ind w:firstLine="480"/>
        <w:rPr>
          <w:rFonts w:ascii="Times New Roman" w:hAnsi="Times New Roman" w:cs="Times New Roman"/>
          <w:szCs w:val="24"/>
        </w:rPr>
      </w:pPr>
      <w:r>
        <w:rPr>
          <w:rFonts w:hint="eastAsia" w:ascii="宋体" w:hAnsi="宋体" w:cs="宋体"/>
          <w:szCs w:val="24"/>
        </w:rPr>
        <w:t>②</w:t>
      </w:r>
      <w:r>
        <w:rPr>
          <w:rFonts w:ascii="Times New Roman" w:hAnsi="Times New Roman" w:cs="Times New Roman"/>
          <w:szCs w:val="24"/>
        </w:rPr>
        <w:t xml:space="preserve"> </w:t>
      </w:r>
      <w:r>
        <w:rPr>
          <w:rFonts w:hint="eastAsia" w:ascii="Times New Roman" w:hAnsi="Times New Roman" w:cs="Times New Roman"/>
          <w:szCs w:val="24"/>
        </w:rPr>
        <w:t>研究开发技术方案的制定</w:t>
      </w:r>
    </w:p>
    <w:p>
      <w:pPr>
        <w:ind w:firstLine="480"/>
        <w:rPr>
          <w:rFonts w:ascii="Times New Roman" w:hAnsi="Times New Roman" w:cs="Times New Roman"/>
          <w:szCs w:val="24"/>
        </w:rPr>
      </w:pPr>
      <w:r>
        <w:rPr>
          <w:rFonts w:hint="eastAsia" w:ascii="Times New Roman" w:hAnsi="Times New Roman" w:cs="Times New Roman"/>
          <w:szCs w:val="24"/>
        </w:rPr>
        <w:t>技术方案是为实现所确定的技术路线而采取的具体技术方法、工艺流程和预计实现的技术参数，包括相关工艺、设备配备方案等。</w:t>
      </w:r>
    </w:p>
    <w:p>
      <w:pPr>
        <w:ind w:firstLine="480"/>
        <w:rPr>
          <w:rFonts w:ascii="Times New Roman" w:hAnsi="Times New Roman" w:cs="Times New Roman"/>
          <w:szCs w:val="24"/>
        </w:rPr>
      </w:pPr>
      <w:r>
        <w:rPr>
          <w:rFonts w:hint="eastAsia" w:ascii="宋体" w:hAnsi="宋体" w:cs="宋体"/>
          <w:szCs w:val="24"/>
        </w:rPr>
        <w:t>③</w:t>
      </w:r>
      <w:r>
        <w:rPr>
          <w:rFonts w:ascii="Times New Roman" w:hAnsi="Times New Roman" w:cs="Times New Roman"/>
          <w:szCs w:val="24"/>
        </w:rPr>
        <w:t xml:space="preserve"> </w:t>
      </w:r>
      <w:r>
        <w:rPr>
          <w:rFonts w:hint="eastAsia" w:ascii="Times New Roman" w:hAnsi="Times New Roman" w:cs="Times New Roman"/>
          <w:szCs w:val="24"/>
        </w:rPr>
        <w:t>关键技术的解决途径</w:t>
      </w:r>
    </w:p>
    <w:p>
      <w:pPr>
        <w:ind w:firstLine="480"/>
        <w:rPr>
          <w:rFonts w:ascii="Times New Roman" w:hAnsi="Times New Roman" w:cs="Times New Roman"/>
          <w:szCs w:val="24"/>
        </w:rPr>
      </w:pPr>
      <w:r>
        <w:rPr>
          <w:rFonts w:hint="eastAsia" w:ascii="Times New Roman" w:hAnsi="Times New Roman" w:cs="Times New Roman"/>
          <w:szCs w:val="24"/>
        </w:rPr>
        <w:t>详细说明在投标项目研究中可能存在的技术关键问题，在示范工程等研究中可能存在的关键</w:t>
      </w:r>
      <w:r>
        <w:rPr>
          <w:rFonts w:ascii="Times New Roman" w:hAnsi="Times New Roman" w:cs="Times New Roman"/>
          <w:szCs w:val="24"/>
        </w:rPr>
        <w:t>(</w:t>
      </w:r>
      <w:r>
        <w:rPr>
          <w:rFonts w:hint="eastAsia" w:ascii="Times New Roman" w:hAnsi="Times New Roman" w:cs="Times New Roman"/>
          <w:szCs w:val="24"/>
        </w:rPr>
        <w:t>瓶颈</w:t>
      </w:r>
      <w:r>
        <w:rPr>
          <w:rFonts w:ascii="Times New Roman" w:hAnsi="Times New Roman" w:cs="Times New Roman"/>
          <w:szCs w:val="24"/>
        </w:rPr>
        <w:t>)</w:t>
      </w:r>
      <w:r>
        <w:rPr>
          <w:rFonts w:hint="eastAsia" w:ascii="Times New Roman" w:hAnsi="Times New Roman" w:cs="Times New Roman"/>
          <w:szCs w:val="24"/>
        </w:rPr>
        <w:t>问题和项目研究存在的风险，以及为解决这些关键问题所设计的方案、途径，规避风险的措施。</w:t>
      </w:r>
    </w:p>
    <w:p>
      <w:pPr>
        <w:pStyle w:val="5"/>
        <w:bidi w:val="0"/>
      </w:pPr>
      <w:bookmarkStart w:id="42" w:name="_Toc27403"/>
      <w:r>
        <w:rPr>
          <w:rFonts w:hint="eastAsia"/>
        </w:rPr>
        <w:t>5.</w:t>
      </w:r>
      <w:r>
        <w:t xml:space="preserve">3 </w:t>
      </w:r>
      <w:r>
        <w:rPr>
          <w:rFonts w:hint="eastAsia"/>
        </w:rPr>
        <w:t>研究进度目标及指标</w:t>
      </w:r>
      <w:bookmarkEnd w:id="42"/>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szCs w:val="24"/>
        </w:rPr>
        <w:t>描述项目各项工作的进展计划，并明确标出完成各项工作预计所需时间及达到</w:t>
      </w:r>
      <w:r>
        <w:rPr>
          <w:rFonts w:hint="eastAsia" w:ascii="Times New Roman" w:hAnsi="Times New Roman" w:cs="Times New Roman"/>
          <w:color w:val="000000" w:themeColor="text1"/>
          <w:szCs w:val="24"/>
          <w14:textFill>
            <w14:solidFill>
              <w14:schemeClr w14:val="tx1"/>
            </w14:solidFill>
          </w14:textFill>
        </w:rPr>
        <w:t>的阶段目标及项目结束时所要达到的总目标。</w:t>
      </w:r>
    </w:p>
    <w:p>
      <w:pPr>
        <w:ind w:firstLine="480"/>
        <w:rPr>
          <w:rFonts w:ascii="Times New Roman" w:hAnsi="Times New Roman" w:cs="Times New Roman"/>
          <w:color w:val="000000" w:themeColor="text1"/>
          <w:szCs w:val="24"/>
          <w14:textFill>
            <w14:solidFill>
              <w14:schemeClr w14:val="tx1"/>
            </w14:solidFill>
          </w14:textFill>
        </w:rPr>
      </w:pPr>
      <w:r>
        <w:rPr>
          <w:rFonts w:hint="eastAsia" w:ascii="Times New Roman" w:hAnsi="Times New Roman" w:cs="Times New Roman"/>
          <w:color w:val="000000" w:themeColor="text1"/>
          <w:szCs w:val="24"/>
          <w14:textFill>
            <w14:solidFill>
              <w14:schemeClr w14:val="tx1"/>
            </w14:solidFill>
          </w14:textFill>
        </w:rPr>
        <w:t>指标：与招标方提出的功能要求、主要技术经济指标的响应情况。</w:t>
      </w:r>
    </w:p>
    <w:p>
      <w:pPr>
        <w:spacing w:before="156" w:beforeLines="50" w:line="300" w:lineRule="auto"/>
        <w:ind w:firstLine="480"/>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技术参数响应表</w:t>
      </w:r>
    </w:p>
    <w:tbl>
      <w:tblPr>
        <w:tblStyle w:val="15"/>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63"/>
        <w:gridCol w:w="2345"/>
        <w:gridCol w:w="1704"/>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序号</w:t>
            </w:r>
          </w:p>
        </w:tc>
        <w:tc>
          <w:tcPr>
            <w:tcW w:w="234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交付成果名称</w:t>
            </w:r>
          </w:p>
        </w:tc>
        <w:tc>
          <w:tcPr>
            <w:tcW w:w="1704" w:type="dxa"/>
          </w:tcPr>
          <w:p>
            <w:pPr>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招标人要求值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投标人</w:t>
            </w:r>
            <w:r>
              <w:rPr>
                <w:rFonts w:ascii="宋体" w:hAnsi="宋体" w:cs="宋体"/>
                <w:color w:val="000000" w:themeColor="text1"/>
                <w:kern w:val="1"/>
                <w:sz w:val="18"/>
                <w:szCs w:val="18"/>
                <w14:textFill>
                  <w14:solidFill>
                    <w14:schemeClr w14:val="tx1"/>
                  </w14:solidFill>
                </w14:textFill>
              </w:rPr>
              <w:t>保证值</w:t>
            </w:r>
          </w:p>
        </w:tc>
        <w:tc>
          <w:tcPr>
            <w:tcW w:w="1705" w:type="dxa"/>
          </w:tcPr>
          <w:p>
            <w:pPr>
              <w:spacing w:before="44" w:after="44"/>
              <w:ind w:firstLine="360"/>
              <w:jc w:val="left"/>
              <w:rPr>
                <w:rFonts w:ascii="宋体" w:hAnsi="宋体"/>
                <w:color w:val="000000" w:themeColor="text1"/>
                <w:szCs w:val="21"/>
                <w14:textFill>
                  <w14:solidFill>
                    <w14:schemeClr w14:val="tx1"/>
                  </w14:solidFill>
                </w14:textFill>
              </w:rPr>
            </w:pPr>
            <w:r>
              <w:rPr>
                <w:rFonts w:hint="eastAsia" w:ascii="宋体" w:hAnsi="宋体" w:cs="宋体"/>
                <w:color w:val="000000" w:themeColor="text1"/>
                <w:kern w:val="1"/>
                <w:sz w:val="18"/>
                <w:szCs w:val="18"/>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1</w:t>
            </w:r>
          </w:p>
        </w:tc>
        <w:tc>
          <w:tcPr>
            <w:tcW w:w="2345"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速通保电多功能便捷式接线端</w:t>
            </w:r>
          </w:p>
        </w:tc>
        <w:tc>
          <w:tcPr>
            <w:tcW w:w="1704" w:type="dxa"/>
          </w:tcPr>
          <w:p>
            <w:pPr>
              <w:spacing w:before="156" w:beforeLines="50" w:line="240" w:lineRule="auto"/>
              <w:ind w:firstLine="0" w:firstLineChars="0"/>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达到技术指标要求</w:t>
            </w: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63"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234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4"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c>
          <w:tcPr>
            <w:tcW w:w="1705" w:type="dxa"/>
          </w:tcPr>
          <w:p>
            <w:pPr>
              <w:spacing w:before="156" w:beforeLines="50" w:line="300" w:lineRule="auto"/>
              <w:ind w:firstLine="480"/>
              <w:jc w:val="center"/>
              <w:rPr>
                <w:rFonts w:ascii="宋体" w:hAnsi="宋体"/>
                <w:color w:val="000000" w:themeColor="text1"/>
                <w:szCs w:val="21"/>
                <w14:textFill>
                  <w14:solidFill>
                    <w14:schemeClr w14:val="tx1"/>
                  </w14:solidFill>
                </w14:textFill>
              </w:rPr>
            </w:pPr>
          </w:p>
        </w:tc>
      </w:tr>
    </w:tbl>
    <w:p>
      <w:pPr>
        <w:ind w:firstLine="480"/>
        <w:rPr>
          <w:rFonts w:ascii="Times New Roman" w:hAnsi="Times New Roman" w:cs="Times New Roman"/>
          <w:szCs w:val="24"/>
        </w:rPr>
      </w:pPr>
    </w:p>
    <w:p>
      <w:pPr>
        <w:pStyle w:val="5"/>
        <w:bidi w:val="0"/>
      </w:pPr>
      <w:bookmarkStart w:id="43" w:name="_Toc17858"/>
      <w:r>
        <w:rPr>
          <w:rFonts w:hint="eastAsia"/>
        </w:rPr>
        <w:t>5.</w:t>
      </w:r>
      <w:r>
        <w:t xml:space="preserve">4 </w:t>
      </w:r>
      <w:r>
        <w:rPr>
          <w:rFonts w:hint="eastAsia"/>
        </w:rPr>
        <w:t>项目实施的组织、管理</w:t>
      </w:r>
      <w:bookmarkEnd w:id="43"/>
    </w:p>
    <w:p>
      <w:pPr>
        <w:ind w:firstLine="480"/>
        <w:rPr>
          <w:rFonts w:ascii="Times New Roman" w:hAnsi="Times New Roman" w:cs="Times New Roman"/>
          <w:szCs w:val="24"/>
        </w:rPr>
      </w:pPr>
      <w:r>
        <w:rPr>
          <w:rFonts w:hint="eastAsia" w:ascii="Times New Roman" w:hAnsi="Times New Roman" w:cs="Times New Roman"/>
          <w:szCs w:val="24"/>
        </w:rPr>
        <w:t>描述保障项目的顺利实施的组织形式和管理措施。</w:t>
      </w:r>
    </w:p>
    <w:p>
      <w:pPr>
        <w:pStyle w:val="5"/>
        <w:bidi w:val="0"/>
      </w:pPr>
      <w:bookmarkStart w:id="44" w:name="_Toc7198"/>
      <w:r>
        <w:rPr>
          <w:rFonts w:hint="eastAsia"/>
        </w:rPr>
        <w:t>5.</w:t>
      </w:r>
      <w:r>
        <w:t xml:space="preserve">5 </w:t>
      </w:r>
      <w:r>
        <w:rPr>
          <w:rFonts w:hint="eastAsia"/>
        </w:rPr>
        <w:t>承担能力说明</w:t>
      </w:r>
      <w:bookmarkEnd w:id="44"/>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单位基本情况</w:t>
      </w:r>
    </w:p>
    <w:p>
      <w:pPr>
        <w:tabs>
          <w:tab w:val="left" w:pos="114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单位基本情况介绍情况</w:t>
      </w:r>
      <w:r>
        <w:rPr>
          <w:rFonts w:ascii="Times New Roman" w:hAnsi="Times New Roman" w:cs="Times New Roman"/>
          <w:szCs w:val="24"/>
        </w:rPr>
        <w:t>(</w:t>
      </w:r>
      <w:r>
        <w:rPr>
          <w:rFonts w:hint="eastAsia" w:ascii="Times New Roman" w:hAnsi="Times New Roman" w:cs="Times New Roman"/>
          <w:szCs w:val="24"/>
        </w:rPr>
        <w:t>包括资质、资信情况</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单位的财务状况</w:t>
      </w:r>
      <w:r>
        <w:rPr>
          <w:rFonts w:ascii="Times New Roman" w:hAnsi="Times New Roman" w:cs="Times New Roman"/>
          <w:szCs w:val="24"/>
        </w:rPr>
        <w:t>(</w:t>
      </w:r>
      <w:r>
        <w:rPr>
          <w:rFonts w:hint="eastAsia" w:ascii="Times New Roman" w:hAnsi="Times New Roman" w:cs="Times New Roman"/>
          <w:szCs w:val="24"/>
        </w:rPr>
        <w:t>限企业提供</w:t>
      </w:r>
      <w:r>
        <w:rPr>
          <w:rFonts w:ascii="Times New Roman" w:hAnsi="Times New Roman" w:cs="Times New Roman"/>
          <w:szCs w:val="24"/>
        </w:rPr>
        <w:t>)</w:t>
      </w:r>
    </w:p>
    <w:p>
      <w:pPr>
        <w:tabs>
          <w:tab w:val="left" w:pos="1145"/>
        </w:tabs>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承担国家、省、市科技计划项目及其它项目的完成情况</w:t>
      </w:r>
    </w:p>
    <w:p>
      <w:pPr>
        <w:pStyle w:val="21"/>
        <w:numPr>
          <w:ilvl w:val="0"/>
          <w:numId w:val="0"/>
        </w:numPr>
        <w:rPr>
          <w:rFonts w:ascii="Times New Roman" w:hAnsi="Times New Roman" w:cs="Times New Roman"/>
          <w:szCs w:val="24"/>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项目承担能力说明</w:t>
      </w:r>
    </w:p>
    <w:p>
      <w:pPr>
        <w:tabs>
          <w:tab w:val="left" w:pos="995"/>
        </w:tabs>
        <w:ind w:firstLine="480"/>
        <w:rPr>
          <w:rFonts w:ascii="Times New Roman" w:hAnsi="Times New Roman" w:cs="Times New Roman"/>
          <w:szCs w:val="24"/>
        </w:rPr>
      </w:pPr>
      <w:r>
        <w:rPr>
          <w:rFonts w:hint="eastAsia" w:ascii="宋体" w:hAnsi="宋体" w:cs="宋体"/>
          <w:szCs w:val="24"/>
        </w:rPr>
        <w:t>①</w:t>
      </w:r>
      <w:r>
        <w:rPr>
          <w:rFonts w:hint="eastAsia" w:ascii="Times New Roman" w:hAnsi="Times New Roman" w:cs="Times New Roman"/>
          <w:szCs w:val="24"/>
        </w:rPr>
        <w:t>从事与投标项目的背景基础</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投标方有能力履行合同设备维护保养、修理及其他服务义务的文件。</w:t>
      </w:r>
    </w:p>
    <w:p>
      <w:pPr>
        <w:tabs>
          <w:tab w:val="left" w:pos="995"/>
        </w:tabs>
        <w:ind w:firstLine="480"/>
        <w:rPr>
          <w:rFonts w:ascii="Times New Roman" w:hAnsi="Times New Roman" w:cs="Times New Roman"/>
          <w:szCs w:val="24"/>
        </w:rPr>
      </w:pPr>
      <w:r>
        <w:rPr>
          <w:rFonts w:hint="eastAsia" w:ascii="Times New Roman" w:hAnsi="Times New Roman" w:cs="Times New Roman"/>
          <w:szCs w:val="24"/>
        </w:rPr>
        <w:t>投标方在与本项目研究方面开展的相关前期研究情况及研究成果介绍及证明。</w:t>
      </w:r>
    </w:p>
    <w:p>
      <w:pPr>
        <w:ind w:firstLine="480"/>
        <w:rPr>
          <w:rFonts w:ascii="Times New Roman" w:hAnsi="Times New Roman" w:cs="Times New Roman"/>
          <w:szCs w:val="24"/>
        </w:rPr>
      </w:pPr>
      <w:r>
        <w:rPr>
          <w:rFonts w:hint="eastAsia" w:ascii="宋体" w:hAnsi="宋体" w:cs="宋体"/>
          <w:szCs w:val="24"/>
        </w:rPr>
        <w:t>②</w:t>
      </w:r>
      <w:r>
        <w:rPr>
          <w:rFonts w:hint="eastAsia" w:ascii="Times New Roman" w:hAnsi="Times New Roman" w:cs="Times New Roman"/>
          <w:szCs w:val="24"/>
        </w:rPr>
        <w:t>项目开发人员总数、专业、职称、年龄构成，与本项目相关的技术储备等。</w:t>
      </w:r>
    </w:p>
    <w:p>
      <w:pPr>
        <w:ind w:firstLine="480"/>
        <w:rPr>
          <w:rFonts w:ascii="Times New Roman" w:hAnsi="Times New Roman" w:cs="Times New Roman"/>
          <w:szCs w:val="24"/>
        </w:rPr>
      </w:pPr>
      <w:r>
        <w:rPr>
          <w:rFonts w:hint="eastAsia" w:ascii="宋体" w:hAnsi="宋体" w:cs="宋体"/>
          <w:szCs w:val="24"/>
        </w:rPr>
        <w:t>③</w:t>
      </w:r>
      <w:r>
        <w:rPr>
          <w:rFonts w:hint="eastAsia" w:ascii="Times New Roman" w:hAnsi="Times New Roman" w:cs="Times New Roman"/>
          <w:szCs w:val="24"/>
        </w:rPr>
        <w:t>研究开发场地、现有科研设施与仪器和相关配套设备等情况。</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联合投标单位基本情况及配套条件、责任与义务</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w:t>
      </w:r>
      <w:r>
        <w:rPr>
          <w:rFonts w:hint="eastAsia" w:ascii="Times New Roman" w:hAnsi="Times New Roman" w:cs="Times New Roman"/>
          <w:szCs w:val="24"/>
        </w:rPr>
        <w:t>其它需要说明的情况</w:t>
      </w:r>
      <w:r>
        <w:rPr>
          <w:rFonts w:hint="eastAsia" w:ascii="Times New Roman" w:hAnsi="Times New Roman" w:cs="Times New Roman"/>
          <w:szCs w:val="24"/>
          <w:lang w:eastAsia="zh-CN"/>
        </w:rPr>
        <w:t>。</w:t>
      </w:r>
    </w:p>
    <w:p>
      <w:pPr>
        <w:pStyle w:val="5"/>
        <w:bidi w:val="0"/>
      </w:pPr>
      <w:bookmarkStart w:id="45" w:name="_Toc17332"/>
      <w:r>
        <w:rPr>
          <w:rFonts w:hint="eastAsia"/>
        </w:rPr>
        <w:t>5.6</w:t>
      </w:r>
      <w:r>
        <w:t xml:space="preserve"> </w:t>
      </w:r>
      <w:r>
        <w:rPr>
          <w:rFonts w:hint="eastAsia"/>
        </w:rPr>
        <w:t>成果产生的数量、形式</w:t>
      </w:r>
      <w:bookmarkEnd w:id="45"/>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w:t>
      </w:r>
      <w:r>
        <w:rPr>
          <w:rFonts w:hint="eastAsia" w:ascii="Times New Roman" w:hAnsi="Times New Roman" w:cs="Times New Roman"/>
          <w:szCs w:val="24"/>
        </w:rPr>
        <w:t>成果获得的可能性</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w:t>
      </w:r>
      <w:r>
        <w:rPr>
          <w:rFonts w:hint="eastAsia" w:ascii="Times New Roman" w:hAnsi="Times New Roman" w:cs="Times New Roman"/>
          <w:szCs w:val="24"/>
        </w:rPr>
        <w:t>成果的形式</w:t>
      </w:r>
      <w:r>
        <w:rPr>
          <w:rFonts w:ascii="Times New Roman" w:hAnsi="Times New Roman" w:cs="Times New Roman"/>
          <w:szCs w:val="24"/>
        </w:rPr>
        <w:t>(</w:t>
      </w:r>
      <w:r>
        <w:rPr>
          <w:rFonts w:hint="eastAsia" w:ascii="Times New Roman" w:hAnsi="Times New Roman" w:cs="Times New Roman"/>
          <w:szCs w:val="24"/>
        </w:rPr>
        <w:t>如专利、软件著作权、论文等</w:t>
      </w:r>
      <w:r>
        <w:rPr>
          <w:rFonts w:ascii="Times New Roman" w:hAnsi="Times New Roman" w:cs="Times New Roman"/>
          <w:szCs w:val="24"/>
        </w:rPr>
        <w:t>)</w:t>
      </w:r>
      <w:r>
        <w:rPr>
          <w:rFonts w:hint="eastAsia" w:ascii="Times New Roman" w:hAnsi="Times New Roman" w:cs="Times New Roman"/>
          <w:szCs w:val="24"/>
        </w:rPr>
        <w:t>和数量</w:t>
      </w:r>
      <w:r>
        <w:rPr>
          <w:rFonts w:hint="eastAsia" w:ascii="Times New Roman" w:hAnsi="Times New Roman" w:cs="Times New Roman"/>
          <w:szCs w:val="24"/>
          <w:lang w:eastAsia="zh-CN"/>
        </w:rPr>
        <w:t>。</w:t>
      </w:r>
    </w:p>
    <w:p>
      <w:pPr>
        <w:pStyle w:val="21"/>
        <w:numPr>
          <w:ilvl w:val="0"/>
          <w:numId w:val="0"/>
        </w:numPr>
        <w:rPr>
          <w:rFonts w:hint="eastAsia" w:ascii="Times New Roman" w:hAnsi="Times New Roman" w:eastAsia="宋体"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eastAsia" w:ascii="Times New Roman" w:hAnsi="Times New Roman" w:cs="Times New Roman"/>
          <w:szCs w:val="24"/>
        </w:rPr>
        <w:t>职务技术成果权益承诺、成果向社会转化方式</w:t>
      </w:r>
      <w:r>
        <w:rPr>
          <w:rFonts w:hint="eastAsia" w:ascii="Times New Roman" w:hAnsi="Times New Roman" w:cs="Times New Roman"/>
          <w:szCs w:val="24"/>
          <w:lang w:eastAsia="zh-CN"/>
        </w:rPr>
        <w:t>。</w:t>
      </w:r>
    </w:p>
    <w:p>
      <w:pPr>
        <w:pStyle w:val="5"/>
        <w:bidi w:val="0"/>
        <w:rPr>
          <w:rFonts w:hint="eastAsia"/>
        </w:rPr>
      </w:pPr>
      <w:bookmarkStart w:id="46" w:name="_Toc29281"/>
      <w:r>
        <w:rPr>
          <w:rFonts w:hint="eastAsia"/>
        </w:rPr>
        <w:t>5.7</w:t>
      </w:r>
      <w:r>
        <w:rPr>
          <w:rFonts w:hint="eastAsia"/>
          <w:lang w:val="en-US" w:eastAsia="zh-CN"/>
        </w:rPr>
        <w:t xml:space="preserve"> </w:t>
      </w:r>
      <w:r>
        <w:rPr>
          <w:rFonts w:hint="eastAsia"/>
        </w:rPr>
        <w:t>技术方案中涉及技术秘密的申明</w:t>
      </w:r>
      <w:bookmarkEnd w:id="46"/>
    </w:p>
    <w:p>
      <w:pPr>
        <w:pStyle w:val="21"/>
        <w:numPr>
          <w:ilvl w:val="0"/>
          <w:numId w:val="0"/>
        </w:numPr>
        <w:ind w:firstLine="240" w:firstLineChars="100"/>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 xml:space="preserve">5.7.1 </w:t>
      </w:r>
      <w:r>
        <w:rPr>
          <w:rFonts w:hint="default" w:ascii="Times New Roman" w:hAnsi="Times New Roman" w:cs="Times New Roman"/>
          <w:szCs w:val="24"/>
          <w:lang w:val="en-US" w:eastAsia="zh-CN"/>
        </w:rPr>
        <w:t>声明范围</w:t>
      </w:r>
    </w:p>
    <w:p>
      <w:pPr>
        <w:pStyle w:val="21"/>
        <w:numPr>
          <w:ilvl w:val="0"/>
          <w:numId w:val="0"/>
        </w:numPr>
        <w:ind w:firstLine="240" w:firstLineChars="100"/>
        <w:rPr>
          <w:rFonts w:hint="default" w:ascii="Times New Roman" w:hAnsi="Times New Roman" w:cs="Times New Roman"/>
          <w:szCs w:val="24"/>
          <w:lang w:val="en-US" w:eastAsia="zh-CN"/>
        </w:rPr>
      </w:pPr>
      <w:r>
        <w:rPr>
          <w:rFonts w:hint="default" w:ascii="Times New Roman" w:hAnsi="Times New Roman" w:cs="Times New Roman"/>
          <w:szCs w:val="24"/>
          <w:lang w:val="en-US" w:eastAsia="zh-CN"/>
        </w:rPr>
        <w:t>本技术方案中涉及的以下内容属于技术秘密，未经本公司书面授权，任何单位或个人不得以任何形式泄露、复制、传播或使用：</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1</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2</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3</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技术原理：包括但不限于高空剪切钳的设计思路、工作原理、构造细节等。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4</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5</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6</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核心技术：包括剪切刀片的材料选择、电动驱动系统的设计、防坠落装置的结构等。</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7</w:t>
      </w:r>
      <w:r>
        <w:rPr>
          <w:rFonts w:hint="eastAsia" w:ascii="Times New Roman" w:hAnsi="Times New Roman" w:cs="Times New Roman"/>
          <w:szCs w:val="24"/>
          <w:lang w:eastAsia="zh-CN"/>
        </w:rPr>
        <w:t>）成果获得的可能性。</w:t>
      </w:r>
    </w:p>
    <w:p>
      <w:pPr>
        <w:pStyle w:val="21"/>
        <w:numPr>
          <w:ilvl w:val="0"/>
          <w:numId w:val="0"/>
        </w:numPr>
        <w:rPr>
          <w:rFonts w:hint="eastAsia" w:ascii="Times New Roman" w:hAnsi="Times New Roman" w:cs="Times New Roman"/>
          <w:szCs w:val="24"/>
          <w:lang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8</w:t>
      </w:r>
      <w:r>
        <w:rPr>
          <w:rFonts w:hint="eastAsia" w:ascii="Times New Roman" w:hAnsi="Times New Roman" w:cs="Times New Roman"/>
          <w:szCs w:val="24"/>
          <w:lang w:eastAsia="zh-CN"/>
        </w:rPr>
        <w:t>）成果的形式(如专利、软件著作权、论文等)和数量。</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eastAsia="zh-CN"/>
        </w:rPr>
        <w:t>（</w:t>
      </w:r>
      <w:r>
        <w:rPr>
          <w:rFonts w:hint="eastAsia" w:ascii="Times New Roman" w:hAnsi="Times New Roman" w:cs="Times New Roman"/>
          <w:szCs w:val="24"/>
          <w:lang w:val="en-US" w:eastAsia="zh-CN"/>
        </w:rPr>
        <w:t>9</w:t>
      </w:r>
      <w:r>
        <w:rPr>
          <w:rFonts w:hint="eastAsia" w:ascii="Times New Roman" w:hAnsi="Times New Roman" w:cs="Times New Roman"/>
          <w:szCs w:val="24"/>
          <w:lang w:eastAsia="zh-CN"/>
        </w:rPr>
        <w:t>）</w:t>
      </w:r>
      <w:r>
        <w:rPr>
          <w:rFonts w:hint="default" w:ascii="Times New Roman" w:hAnsi="Times New Roman" w:cs="Times New Roman"/>
          <w:szCs w:val="24"/>
          <w:lang w:val="en-US" w:eastAsia="zh-CN"/>
        </w:rPr>
        <w:t>工艺参数：包括剪切力的计算方法、材料的加工工艺、设备的装配要求等。</w:t>
      </w:r>
    </w:p>
    <w:p>
      <w:pPr>
        <w:pStyle w:val="21"/>
        <w:numPr>
          <w:ilvl w:val="0"/>
          <w:numId w:val="0"/>
        </w:numPr>
        <w:rPr>
          <w:rFonts w:hint="eastAsia" w:ascii="Times New Roman" w:hAnsi="Times New Roman" w:cs="Times New Roman"/>
          <w:szCs w:val="24"/>
          <w:lang w:val="en-US" w:eastAsia="zh-CN"/>
        </w:rPr>
      </w:pPr>
      <w:r>
        <w:rPr>
          <w:rFonts w:hint="eastAsia" w:ascii="Times New Roman" w:hAnsi="Times New Roman" w:cs="Times New Roman"/>
          <w:szCs w:val="24"/>
          <w:lang w:val="en-US" w:eastAsia="zh-CN"/>
        </w:rPr>
        <w:t>（10）</w:t>
      </w:r>
      <w:r>
        <w:rPr>
          <w:rFonts w:hint="default" w:ascii="Times New Roman" w:hAnsi="Times New Roman" w:cs="Times New Roman"/>
          <w:szCs w:val="24"/>
          <w:lang w:val="en-US" w:eastAsia="zh-CN"/>
        </w:rPr>
        <w:t>其他相关内容：包括技术方案中未公开的实验数据、测试结果、优化方案等。</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 xml:space="preserve">5.7.2 </w:t>
      </w:r>
      <w:r>
        <w:rPr>
          <w:rFonts w:hint="default" w:ascii="Times New Roman" w:hAnsi="Times New Roman" w:cs="Times New Roman"/>
          <w:szCs w:val="24"/>
          <w:lang w:val="en-US" w:eastAsia="zh-CN"/>
        </w:rPr>
        <w:t>技术秘密的保护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本技术方案中的技术秘密受《中华人民共和国反不正当竞争法》</w:t>
      </w:r>
      <w:r>
        <w:rPr>
          <w:rFonts w:hint="eastAsia" w:ascii="Times New Roman" w:hAnsi="Times New Roman" w:cs="Times New Roman"/>
          <w:szCs w:val="24"/>
          <w:lang w:val="en-US" w:eastAsia="zh-CN"/>
        </w:rPr>
        <w:t>、</w:t>
      </w:r>
      <w:r>
        <w:rPr>
          <w:rFonts w:hint="default" w:ascii="Times New Roman" w:hAnsi="Times New Roman" w:cs="Times New Roman"/>
          <w:szCs w:val="24"/>
          <w:lang w:val="en-US" w:eastAsia="zh-CN"/>
        </w:rPr>
        <w:t>《中华人民共和国专利法》等相关法律法规的保护。</w:t>
      </w:r>
    </w:p>
    <w:p>
      <w:pPr>
        <w:pStyle w:val="21"/>
        <w:numPr>
          <w:ilvl w:val="0"/>
          <w:numId w:val="0"/>
        </w:numPr>
        <w:ind w:firstLine="480" w:firstLineChars="200"/>
        <w:jc w:val="both"/>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任何未经授权的泄露、使用或传播技术秘密的行为，均视为侵权行为，本公司有权依法追究其法律责任。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3</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保密义务</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本技术方案的接收方（包括但不限于合作单位、技术人员、顾问等）应严格遵守保密义务，不得将技术秘密用于非授权用途。</w:t>
      </w:r>
    </w:p>
    <w:p>
      <w:pPr>
        <w:pStyle w:val="21"/>
        <w:numPr>
          <w:ilvl w:val="0"/>
          <w:numId w:val="0"/>
        </w:numPr>
        <w:ind w:firstLine="480" w:firstLineChars="200"/>
        <w:jc w:val="left"/>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接收方应采取必要措施（如限制文件传播、签署保密协议等）保护技术秘密，防止其泄露。</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4</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违约责任</w:t>
      </w:r>
    </w:p>
    <w:p>
      <w:pPr>
        <w:pStyle w:val="21"/>
        <w:numPr>
          <w:ilvl w:val="0"/>
          <w:numId w:val="0"/>
        </w:numPr>
        <w:ind w:firstLine="480" w:firstLineChars="200"/>
        <w:rPr>
          <w:rFonts w:hint="eastAsia" w:ascii="Times New Roman" w:hAnsi="Times New Roman" w:cs="Times New Roman"/>
          <w:szCs w:val="24"/>
          <w:lang w:val="en-US" w:eastAsia="zh-CN"/>
        </w:rPr>
      </w:pPr>
      <w:r>
        <w:rPr>
          <w:rFonts w:hint="default" w:ascii="Times New Roman" w:hAnsi="Times New Roman" w:cs="Times New Roman"/>
          <w:szCs w:val="24"/>
          <w:lang w:val="en-US" w:eastAsia="zh-CN"/>
        </w:rPr>
        <w:t>对于违反本声明要求，导致技术秘密泄露的行为，本公司将依法追究其民事责任和刑事责任。</w:t>
      </w:r>
    </w:p>
    <w:p>
      <w:pPr>
        <w:pStyle w:val="21"/>
        <w:numPr>
          <w:ilvl w:val="0"/>
          <w:numId w:val="0"/>
        </w:numPr>
        <w:rPr>
          <w:rFonts w:hint="default" w:ascii="Times New Roman" w:hAnsi="Times New Roman" w:cs="Times New Roman"/>
          <w:szCs w:val="24"/>
          <w:lang w:val="en-US" w:eastAsia="zh-CN"/>
        </w:rPr>
      </w:pPr>
      <w:r>
        <w:rPr>
          <w:rFonts w:hint="eastAsia" w:ascii="Times New Roman" w:hAnsi="Times New Roman" w:cs="Times New Roman"/>
          <w:szCs w:val="24"/>
          <w:lang w:val="en-US" w:eastAsia="zh-CN"/>
        </w:rPr>
        <w:t>5.7.</w:t>
      </w:r>
      <w:r>
        <w:rPr>
          <w:rFonts w:hint="default" w:ascii="Times New Roman" w:hAnsi="Times New Roman" w:cs="Times New Roman"/>
          <w:szCs w:val="24"/>
          <w:lang w:val="en-US" w:eastAsia="zh-CN"/>
        </w:rPr>
        <w:t>5</w:t>
      </w:r>
      <w:r>
        <w:rPr>
          <w:rFonts w:hint="eastAsia" w:ascii="Times New Roman" w:hAnsi="Times New Roman" w:cs="Times New Roman"/>
          <w:szCs w:val="24"/>
          <w:lang w:val="en-US" w:eastAsia="zh-CN"/>
        </w:rPr>
        <w:t xml:space="preserve"> </w:t>
      </w:r>
      <w:r>
        <w:rPr>
          <w:rFonts w:hint="default" w:ascii="Times New Roman" w:hAnsi="Times New Roman" w:cs="Times New Roman"/>
          <w:szCs w:val="24"/>
          <w:lang w:val="en-US" w:eastAsia="zh-CN"/>
        </w:rPr>
        <w:t>声明生效</w:t>
      </w:r>
    </w:p>
    <w:p>
      <w:pPr>
        <w:pStyle w:val="21"/>
        <w:numPr>
          <w:ilvl w:val="0"/>
          <w:numId w:val="0"/>
        </w:numPr>
        <w:ind w:firstLine="480" w:firstLineChars="200"/>
        <w:jc w:val="both"/>
        <w:rPr>
          <w:rFonts w:hint="eastAsia"/>
        </w:rPr>
      </w:pPr>
      <w:r>
        <w:rPr>
          <w:rFonts w:hint="default" w:ascii="Times New Roman" w:hAnsi="Times New Roman" w:cs="Times New Roman"/>
          <w:szCs w:val="24"/>
          <w:lang w:val="en-US" w:eastAsia="zh-CN"/>
        </w:rPr>
        <w:t>本声明自发布之日起生效，长期有效。</w:t>
      </w:r>
    </w:p>
    <w:p>
      <w:pPr>
        <w:pStyle w:val="5"/>
        <w:bidi w:val="0"/>
        <w:rPr>
          <w:rFonts w:hint="eastAsia"/>
          <w:lang w:val="en-US" w:eastAsia="zh-CN"/>
        </w:rPr>
      </w:pPr>
      <w:bookmarkStart w:id="47" w:name="_Toc17850"/>
      <w:r>
        <w:rPr>
          <w:rFonts w:hint="eastAsia"/>
          <w:lang w:val="en-US" w:eastAsia="zh-CN"/>
        </w:rPr>
        <w:t>5.8 售后服务承诺</w:t>
      </w:r>
      <w:bookmarkEnd w:id="47"/>
    </w:p>
    <w:p>
      <w:pPr>
        <w:ind w:left="0" w:leftChars="0" w:firstLine="0" w:firstLineChars="0"/>
        <w:rPr>
          <w:rFonts w:ascii="宋体" w:hAnsi="宋体"/>
        </w:rPr>
      </w:pPr>
      <w:r>
        <w:rPr>
          <w:rFonts w:hint="eastAsia" w:ascii="宋体" w:hAnsi="宋体"/>
          <w:lang w:eastAsia="zh-CN"/>
        </w:rPr>
        <w:t>（</w:t>
      </w:r>
      <w:r>
        <w:rPr>
          <w:rFonts w:hint="eastAsia" w:ascii="宋体" w:hAnsi="宋体"/>
        </w:rPr>
        <w:t>1）投标方维护服务管理体系，须在招标方当地有专业维护人员，能按要求及时响应。</w:t>
      </w:r>
    </w:p>
    <w:p>
      <w:pPr>
        <w:ind w:left="0" w:leftChars="0" w:firstLine="0" w:firstLineChars="0"/>
        <w:rPr>
          <w:rFonts w:ascii="宋体" w:hAnsi="宋体"/>
        </w:rPr>
      </w:pPr>
      <w:r>
        <w:rPr>
          <w:rFonts w:hint="eastAsia" w:ascii="宋体" w:hAnsi="宋体"/>
          <w:lang w:eastAsia="zh-CN"/>
        </w:rPr>
        <w:t>（</w:t>
      </w:r>
      <w:r>
        <w:rPr>
          <w:rFonts w:hint="eastAsia" w:ascii="宋体" w:hAnsi="宋体"/>
        </w:rPr>
        <w:t>2）提出保修期后每年的收费维修、维护内容，费用和服务方式、范围（产品、技术、模块、部件），供招标方选择。</w:t>
      </w:r>
    </w:p>
    <w:p>
      <w:pPr>
        <w:ind w:left="0" w:leftChars="0" w:firstLine="0" w:firstLineChars="0"/>
        <w:rPr>
          <w:rFonts w:ascii="宋体" w:hAnsi="宋体"/>
        </w:rPr>
      </w:pPr>
      <w:r>
        <w:rPr>
          <w:rFonts w:hint="eastAsia" w:ascii="宋体" w:hAnsi="宋体"/>
          <w:lang w:eastAsia="zh-CN"/>
        </w:rPr>
        <w:t>（</w:t>
      </w:r>
      <w:r>
        <w:rPr>
          <w:rFonts w:hint="eastAsia" w:ascii="宋体" w:hAnsi="宋体"/>
        </w:rPr>
        <w:t>3）按照本技术规范第十条售后服务要求的响应情况进行说明。</w:t>
      </w:r>
    </w:p>
    <w:p>
      <w:pPr>
        <w:pStyle w:val="4"/>
        <w:numPr>
          <w:ilvl w:val="0"/>
          <w:numId w:val="0"/>
        </w:numPr>
        <w:spacing w:before="0" w:after="0" w:line="360" w:lineRule="auto"/>
        <w:ind w:left="432"/>
        <w:rPr>
          <w:rFonts w:ascii="Times New Roman" w:hAnsi="Times New Roman" w:cs="Times New Roman"/>
          <w:sz w:val="32"/>
          <w:szCs w:val="24"/>
        </w:rPr>
      </w:pPr>
      <w:bookmarkStart w:id="48" w:name="_Toc32386"/>
      <w:r>
        <w:rPr>
          <w:rStyle w:val="24"/>
          <w:rFonts w:hint="eastAsia"/>
          <w:b/>
          <w:bCs/>
        </w:rPr>
        <w:t>六、技术资料和文件</w:t>
      </w:r>
      <w:bookmarkEnd w:id="48"/>
      <w:r>
        <w:rPr>
          <w:rFonts w:hint="eastAsia" w:ascii="Times New Roman" w:hAnsi="Times New Roman" w:cs="Times New Roman"/>
          <w:sz w:val="32"/>
          <w:szCs w:val="24"/>
        </w:rPr>
        <w:t xml:space="preserve"> </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rPr>
        <w:t>1）</w:t>
      </w:r>
      <w:r>
        <w:rPr>
          <w:rFonts w:ascii="Times New Roman" w:hAnsi="Times New Roman" w:cs="Times New Roman"/>
          <w:szCs w:val="21"/>
          <w:lang w:val="zh-CN"/>
        </w:rPr>
        <w:t>在合同签字后</w:t>
      </w:r>
      <w:r>
        <w:rPr>
          <w:rFonts w:hint="eastAsia" w:ascii="Times New Roman" w:hAnsi="Times New Roman" w:cs="Times New Roman"/>
          <w:szCs w:val="21"/>
          <w:u w:val="single"/>
        </w:rPr>
        <w:t xml:space="preserve">   5日  </w:t>
      </w:r>
      <w:r>
        <w:rPr>
          <w:rFonts w:ascii="Times New Roman" w:hAnsi="Times New Roman" w:cs="Times New Roman"/>
          <w:szCs w:val="21"/>
          <w:lang w:val="zh-CN"/>
        </w:rPr>
        <w:t>内，</w:t>
      </w:r>
      <w:r>
        <w:rPr>
          <w:rFonts w:ascii="Times New Roman" w:hAnsi="Times New Roman" w:cs="Times New Roman"/>
          <w:szCs w:val="24"/>
          <w:lang w:val="zh-CN"/>
        </w:rPr>
        <w:t>中标方</w:t>
      </w:r>
      <w:r>
        <w:rPr>
          <w:rFonts w:ascii="Times New Roman" w:hAnsi="Times New Roman" w:cs="Times New Roman"/>
          <w:szCs w:val="21"/>
          <w:lang w:val="zh-CN"/>
        </w:rPr>
        <w:t>应提供详细的技术研究方案和工程进度表</w:t>
      </w:r>
      <w:r>
        <w:rPr>
          <w:rFonts w:ascii="Times New Roman" w:hAnsi="Times New Roman" w:cs="Times New Roman"/>
          <w:color w:val="000000"/>
          <w:szCs w:val="24"/>
        </w:rPr>
        <w:t>。</w:t>
      </w:r>
    </w:p>
    <w:p>
      <w:pPr>
        <w:pStyle w:val="22"/>
        <w:ind w:left="0" w:leftChars="0" w:firstLine="0" w:firstLineChars="0"/>
        <w:rPr>
          <w:rFonts w:ascii="Times New Roman" w:hAnsi="Times New Roman" w:cs="Times New Roman"/>
          <w:color w:val="000000"/>
          <w:szCs w:val="24"/>
        </w:rPr>
      </w:pPr>
      <w:r>
        <w:rPr>
          <w:rFonts w:hint="eastAsia" w:ascii="宋体" w:hAnsi="宋体"/>
          <w:lang w:eastAsia="zh-CN"/>
        </w:rPr>
        <w:t>（</w:t>
      </w:r>
      <w:r>
        <w:rPr>
          <w:rFonts w:hint="eastAsia" w:ascii="宋体" w:hAnsi="宋体"/>
          <w:lang w:val="en-US" w:eastAsia="zh-CN"/>
        </w:rPr>
        <w:t>2</w:t>
      </w:r>
      <w:r>
        <w:rPr>
          <w:rFonts w:hint="eastAsia" w:ascii="宋体" w:hAnsi="宋体"/>
        </w:rPr>
        <w:t>）</w:t>
      </w:r>
      <w:r>
        <w:rPr>
          <w:rFonts w:ascii="Times New Roman" w:hAnsi="Times New Roman" w:cs="Times New Roman"/>
          <w:szCs w:val="21"/>
          <w:lang w:val="zh-CN"/>
        </w:rPr>
        <w:t>项目研究过程中，中标方应提供相关理论研究报告、设计方案、试验数据、图谱、研究成果</w:t>
      </w:r>
      <w:r>
        <w:rPr>
          <w:rFonts w:hint="eastAsia" w:ascii="Times New Roman" w:hAnsi="Times New Roman" w:cs="Times New Roman"/>
          <w:szCs w:val="21"/>
          <w:lang w:val="zh-CN"/>
        </w:rPr>
        <w:t>、</w:t>
      </w:r>
      <w:r>
        <w:rPr>
          <w:rFonts w:ascii="Times New Roman" w:hAnsi="Times New Roman" w:cs="Times New Roman"/>
          <w:szCs w:val="21"/>
          <w:lang w:val="zh-CN"/>
        </w:rPr>
        <w:t>研究报告</w:t>
      </w:r>
      <w:r>
        <w:rPr>
          <w:rFonts w:hint="eastAsia" w:ascii="Times New Roman" w:hAnsi="Times New Roman" w:cs="Times New Roman"/>
          <w:szCs w:val="21"/>
          <w:lang w:val="zh-CN"/>
        </w:rPr>
        <w:t>、工作总结报告</w:t>
      </w:r>
      <w:r>
        <w:rPr>
          <w:rFonts w:ascii="Times New Roman" w:hAnsi="Times New Roman" w:cs="Times New Roman"/>
          <w:szCs w:val="21"/>
          <w:lang w:val="zh-CN"/>
        </w:rPr>
        <w:t>等</w:t>
      </w:r>
      <w:r>
        <w:rPr>
          <w:rFonts w:ascii="Times New Roman" w:hAnsi="Times New Roman" w:cs="Times New Roman"/>
          <w:color w:val="000000"/>
          <w:szCs w:val="24"/>
        </w:rPr>
        <w:t>。</w:t>
      </w:r>
    </w:p>
    <w:p>
      <w:pPr>
        <w:autoSpaceDE w:val="0"/>
        <w:autoSpaceDN w:val="0"/>
        <w:adjustRightInd w:val="0"/>
        <w:ind w:left="0" w:leftChars="0" w:firstLine="0" w:firstLineChars="0"/>
        <w:rPr>
          <w:rFonts w:ascii="Times New Roman" w:hAnsi="Times New Roman" w:cs="Times New Roman"/>
          <w:szCs w:val="21"/>
          <w:lang w:val="zh-CN"/>
        </w:rPr>
      </w:pPr>
      <w:r>
        <w:rPr>
          <w:rFonts w:hint="eastAsia" w:ascii="宋体" w:hAnsi="宋体"/>
          <w:lang w:eastAsia="zh-CN"/>
        </w:rPr>
        <w:t>（</w:t>
      </w:r>
      <w:r>
        <w:rPr>
          <w:rFonts w:hint="eastAsia" w:ascii="宋体" w:hAnsi="宋体"/>
          <w:lang w:val="en-US" w:eastAsia="zh-CN"/>
        </w:rPr>
        <w:t>3</w:t>
      </w:r>
      <w:r>
        <w:rPr>
          <w:rFonts w:hint="eastAsia" w:ascii="宋体" w:hAnsi="宋体"/>
        </w:rPr>
        <w:t>）</w:t>
      </w:r>
      <w:r>
        <w:rPr>
          <w:rFonts w:ascii="Times New Roman" w:hAnsi="Times New Roman" w:cs="Times New Roman"/>
          <w:szCs w:val="21"/>
          <w:lang w:val="zh-CN"/>
        </w:rPr>
        <w:t>交货时应提供系统软件的有资质的第三方评测报告</w:t>
      </w:r>
      <w:r>
        <w:rPr>
          <w:rFonts w:hint="eastAsia" w:ascii="Times New Roman" w:hAnsi="Times New Roman" w:cs="Times New Roman"/>
          <w:szCs w:val="21"/>
          <w:lang w:val="zh-CN"/>
        </w:rPr>
        <w:t>、研制样机技术指标第三方测试报告等。</w:t>
      </w:r>
    </w:p>
    <w:p>
      <w:pPr>
        <w:pStyle w:val="4"/>
        <w:numPr>
          <w:ilvl w:val="0"/>
          <w:numId w:val="0"/>
        </w:numPr>
        <w:bidi w:val="0"/>
        <w:ind w:left="432" w:leftChars="0"/>
      </w:pPr>
      <w:bookmarkStart w:id="49" w:name="_Toc2277"/>
      <w:r>
        <w:rPr>
          <w:rFonts w:hint="eastAsia"/>
        </w:rPr>
        <w:t>七、项目联络</w:t>
      </w:r>
      <w:bookmarkEnd w:id="49"/>
    </w:p>
    <w:p>
      <w:pPr>
        <w:ind w:firstLine="480"/>
        <w:rPr>
          <w:rFonts w:ascii="宋体" w:hAnsi="宋体"/>
        </w:rPr>
      </w:pPr>
      <w:r>
        <w:rPr>
          <w:rFonts w:hint="eastAsia" w:ascii="宋体" w:hAnsi="宋体"/>
        </w:rPr>
        <w:t>为审查和确认本项目的工作方案，便于合同按期执行，在项目开发、建设过程中需召开多次联络会。根据项目实际需要，招标方与投标方均可向对方提出要求召开项目联络会，时间和地点由双方商量决定。</w:t>
      </w:r>
    </w:p>
    <w:p>
      <w:pPr>
        <w:ind w:firstLine="480"/>
        <w:rPr>
          <w:rFonts w:ascii="宋体" w:hAnsi="宋体"/>
        </w:rPr>
      </w:pPr>
      <w:r>
        <w:rPr>
          <w:rFonts w:hint="eastAsia" w:ascii="宋体" w:hAnsi="宋体"/>
        </w:rPr>
        <w:t>联络会的内容如下：</w:t>
      </w:r>
    </w:p>
    <w:p>
      <w:pPr>
        <w:numPr>
          <w:ilvl w:val="0"/>
          <w:numId w:val="0"/>
        </w:numPr>
        <w:tabs>
          <w:tab w:val="left" w:pos="900"/>
        </w:tabs>
        <w:ind w:firstLine="480" w:firstLineChars="200"/>
        <w:rPr>
          <w:rFonts w:ascii="宋体" w:hAnsi="宋体"/>
        </w:rPr>
      </w:pPr>
      <w:r>
        <w:rPr>
          <w:rFonts w:hint="eastAsia" w:ascii="宋体" w:hAnsi="宋体"/>
          <w:lang w:eastAsia="zh-CN"/>
        </w:rPr>
        <w:t>（</w:t>
      </w:r>
      <w:r>
        <w:rPr>
          <w:rFonts w:hint="eastAsia" w:ascii="宋体" w:hAnsi="宋体"/>
        </w:rPr>
        <w:t>1）确认服务、工作产品的性能是否满足规范书要求。</w:t>
      </w:r>
    </w:p>
    <w:p>
      <w:pPr>
        <w:numPr>
          <w:ilvl w:val="0"/>
          <w:numId w:val="0"/>
        </w:numPr>
        <w:tabs>
          <w:tab w:val="left" w:pos="900"/>
        </w:tabs>
        <w:ind w:firstLine="480" w:firstLineChars="200"/>
        <w:rPr>
          <w:rFonts w:ascii="宋体" w:hAnsi="宋体"/>
        </w:rPr>
      </w:pPr>
      <w:r>
        <w:rPr>
          <w:rFonts w:hint="eastAsia" w:ascii="宋体" w:hAnsi="宋体"/>
          <w:lang w:val="en-US" w:eastAsia="zh-CN"/>
        </w:rPr>
        <w:t>（2</w:t>
      </w:r>
      <w:r>
        <w:rPr>
          <w:rFonts w:hint="eastAsia" w:ascii="宋体" w:hAnsi="宋体"/>
        </w:rPr>
        <w:t>）确认服务、工作产品的实施方案。</w:t>
      </w:r>
    </w:p>
    <w:p>
      <w:pPr>
        <w:numPr>
          <w:ilvl w:val="0"/>
          <w:numId w:val="0"/>
        </w:numPr>
        <w:tabs>
          <w:tab w:val="left" w:pos="900"/>
        </w:tabs>
        <w:ind w:firstLine="480" w:firstLineChars="200"/>
        <w:rPr>
          <w:rFonts w:ascii="宋体" w:hAnsi="宋体"/>
        </w:rPr>
      </w:pPr>
      <w:r>
        <w:rPr>
          <w:rFonts w:hint="eastAsia" w:ascii="宋体" w:hAnsi="宋体"/>
          <w:lang w:val="en-US" w:eastAsia="zh-CN"/>
        </w:rPr>
        <w:t>（3</w:t>
      </w:r>
      <w:r>
        <w:rPr>
          <w:rFonts w:hint="eastAsia" w:ascii="宋体" w:hAnsi="宋体"/>
        </w:rPr>
        <w:t>）检查、确认投标方提供的技术文件和图纸。</w:t>
      </w:r>
    </w:p>
    <w:p>
      <w:pPr>
        <w:numPr>
          <w:ilvl w:val="0"/>
          <w:numId w:val="0"/>
        </w:numPr>
        <w:tabs>
          <w:tab w:val="left" w:pos="900"/>
        </w:tabs>
        <w:ind w:firstLine="480" w:firstLineChars="200"/>
        <w:rPr>
          <w:rFonts w:ascii="宋体" w:hAnsi="宋体"/>
        </w:rPr>
      </w:pPr>
      <w:r>
        <w:rPr>
          <w:rFonts w:hint="eastAsia" w:ascii="宋体" w:hAnsi="宋体"/>
          <w:lang w:val="en-US" w:eastAsia="zh-CN"/>
        </w:rPr>
        <w:t>（4</w:t>
      </w:r>
      <w:r>
        <w:rPr>
          <w:rFonts w:hint="eastAsia" w:ascii="宋体" w:hAnsi="宋体"/>
        </w:rPr>
        <w:t>）讨论、确定培训计划（包括课程安排、教材、进度）。</w:t>
      </w:r>
    </w:p>
    <w:p>
      <w:pPr>
        <w:numPr>
          <w:ilvl w:val="0"/>
          <w:numId w:val="0"/>
        </w:numPr>
        <w:tabs>
          <w:tab w:val="left" w:pos="900"/>
        </w:tabs>
        <w:ind w:firstLine="480" w:firstLineChars="200"/>
        <w:rPr>
          <w:rFonts w:ascii="宋体" w:hAnsi="宋体"/>
        </w:rPr>
      </w:pPr>
      <w:r>
        <w:rPr>
          <w:rFonts w:hint="eastAsia" w:ascii="宋体" w:hAnsi="宋体"/>
          <w:lang w:val="en-US" w:eastAsia="zh-CN"/>
        </w:rPr>
        <w:t>（5</w:t>
      </w:r>
      <w:r>
        <w:rPr>
          <w:rFonts w:hint="eastAsia" w:ascii="宋体" w:hAnsi="宋体"/>
        </w:rPr>
        <w:t>）其他有关事项。</w:t>
      </w:r>
    </w:p>
    <w:p>
      <w:pPr>
        <w:pStyle w:val="4"/>
        <w:numPr>
          <w:ilvl w:val="0"/>
          <w:numId w:val="0"/>
        </w:numPr>
        <w:bidi w:val="0"/>
        <w:ind w:left="432" w:leftChars="0"/>
      </w:pPr>
      <w:bookmarkStart w:id="50" w:name="_Toc9208"/>
      <w:r>
        <w:rPr>
          <w:rFonts w:hint="eastAsia"/>
        </w:rPr>
        <w:t>八、评审与验收</w:t>
      </w:r>
      <w:bookmarkEnd w:id="50"/>
    </w:p>
    <w:p>
      <w:pPr>
        <w:ind w:firstLine="480"/>
        <w:rPr>
          <w:rFonts w:hint="eastAsia" w:ascii="宋体" w:hAnsi="宋体"/>
        </w:rPr>
      </w:pPr>
      <w:r>
        <w:rPr>
          <w:rFonts w:hint="eastAsia" w:ascii="宋体" w:hAnsi="宋体"/>
        </w:rPr>
        <w:t>投标方应负责在项目验收前完成</w:t>
      </w:r>
      <w:r>
        <w:t>本规范列技术资料（数据）、文件</w:t>
      </w:r>
      <w:r>
        <w:rPr>
          <w:rFonts w:hint="eastAsia"/>
        </w:rPr>
        <w:t>，</w:t>
      </w:r>
      <w:r>
        <w:rPr>
          <w:rFonts w:hint="eastAsia" w:ascii="宋体" w:hAnsi="宋体"/>
        </w:rPr>
        <w:t>将项目的全部有关技术文件、资料、测试、验收报告等文档汇集成册交付给招标方。</w:t>
      </w:r>
      <w:r>
        <w:rPr>
          <w:rFonts w:ascii="宋体" w:hAnsi="宋体"/>
        </w:rPr>
        <w:t>招标方可根据合同及招标书和招标方的有关规定进行修改和补充, 经双方确认后</w:t>
      </w:r>
      <w:r>
        <w:rPr>
          <w:rFonts w:hint="eastAsia" w:ascii="宋体" w:hAnsi="宋体"/>
        </w:rPr>
        <w:t>形成验收文件。</w:t>
      </w:r>
    </w:p>
    <w:p>
      <w:pPr>
        <w:ind w:firstLine="480"/>
        <w:rPr>
          <w:rFonts w:hint="eastAsia" w:ascii="宋体" w:hAnsi="宋体"/>
          <w:lang w:val="en-US" w:eastAsia="zh-CN"/>
        </w:rPr>
      </w:pPr>
      <w:r>
        <w:rPr>
          <w:rFonts w:hint="eastAsia" w:ascii="宋体" w:hAnsi="宋体"/>
        </w:rPr>
        <w:t>验收方式</w:t>
      </w:r>
      <w:r>
        <w:rPr>
          <w:rFonts w:hint="eastAsia" w:ascii="宋体" w:hAnsi="宋体"/>
          <w:lang w:eastAsia="zh-CN"/>
        </w:rPr>
        <w:t>如下：</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1</w:t>
      </w:r>
      <w:r>
        <w:rPr>
          <w:rFonts w:hint="eastAsia" w:ascii="宋体" w:hAnsi="宋体"/>
          <w:lang w:eastAsia="zh-CN"/>
        </w:rPr>
        <w:t>）</w:t>
      </w:r>
      <w:r>
        <w:rPr>
          <w:rFonts w:hint="eastAsia" w:ascii="宋体" w:hAnsi="宋体"/>
        </w:rPr>
        <w:t>项目成果经招标方和中标方共同确认满足验收条件后，由招标方组织专家对所有项目材料和相关成果进行评审，开展合同验收。</w:t>
      </w:r>
    </w:p>
    <w:p>
      <w:pPr>
        <w:ind w:firstLine="480"/>
        <w:rPr>
          <w:rFonts w:hint="eastAsia" w:ascii="宋体" w:hAnsi="宋体"/>
        </w:rPr>
      </w:pPr>
      <w:r>
        <w:rPr>
          <w:rFonts w:hint="eastAsia" w:ascii="宋体" w:hAnsi="宋体"/>
          <w:lang w:val="en-US" w:eastAsia="zh-CN"/>
        </w:rPr>
        <w:t>（2</w:t>
      </w:r>
      <w:r>
        <w:rPr>
          <w:rFonts w:hint="eastAsia" w:ascii="宋体" w:hAnsi="宋体"/>
        </w:rPr>
        <w:t>）项目验收按照招标方制定的验收方案具体实施，方案将包括验收内容、验收标准、验收人员等；项目验收后，验收人员将根据实际情况提出验收报告。如若有需要整改的内容，中标方在项目验收后应主动配合招标方严格按照整改意见进行整改完善。</w:t>
      </w:r>
    </w:p>
    <w:p>
      <w:pPr>
        <w:ind w:firstLine="480"/>
        <w:rPr>
          <w:rFonts w:hint="eastAsia" w:ascii="宋体" w:hAnsi="宋体"/>
        </w:rPr>
      </w:pPr>
      <w:r>
        <w:rPr>
          <w:rFonts w:hint="eastAsia" w:ascii="宋体" w:hAnsi="宋体"/>
          <w:lang w:eastAsia="zh-CN"/>
        </w:rPr>
        <w:t>（</w:t>
      </w:r>
      <w:r>
        <w:rPr>
          <w:rFonts w:hint="eastAsia" w:ascii="宋体" w:hAnsi="宋体"/>
          <w:lang w:val="en-US" w:eastAsia="zh-CN"/>
        </w:rPr>
        <w:t>3</w:t>
      </w:r>
      <w:r>
        <w:rPr>
          <w:rFonts w:hint="eastAsia" w:ascii="宋体" w:hAnsi="宋体"/>
          <w:lang w:eastAsia="zh-CN"/>
        </w:rPr>
        <w:t>）</w:t>
      </w:r>
      <w:r>
        <w:rPr>
          <w:rFonts w:hint="eastAsia" w:ascii="宋体" w:hAnsi="宋体"/>
        </w:rPr>
        <w:t>如果在签署最终验收文件后12周内，由于投标方的原因，该项目有一条或多条达不到规定的技术要求时，投标方应在附加的4周内采取有效措施，使该项目完全达到规定的技术要求，在此期间的一切费用由投标方承担，如在此期间内仍达不到规定的技术性能要求时，将按合同中相应商务条款执行。</w:t>
      </w:r>
    </w:p>
    <w:p>
      <w:pPr>
        <w:pStyle w:val="4"/>
        <w:numPr>
          <w:ilvl w:val="0"/>
          <w:numId w:val="0"/>
        </w:numPr>
        <w:bidi w:val="0"/>
        <w:ind w:left="432" w:leftChars="0"/>
      </w:pPr>
      <w:bookmarkStart w:id="51" w:name="_Toc23222"/>
      <w:r>
        <w:rPr>
          <w:rFonts w:hint="eastAsia"/>
        </w:rPr>
        <w:t>九、售后服务</w:t>
      </w:r>
      <w:bookmarkEnd w:id="51"/>
      <w:r>
        <w:rPr>
          <w:rFonts w:hint="eastAsia"/>
        </w:rPr>
        <w:t xml:space="preserve"> </w:t>
      </w:r>
    </w:p>
    <w:p>
      <w:pPr>
        <w:ind w:left="0" w:leftChars="0" w:firstLine="0" w:firstLineChars="0"/>
        <w:rPr>
          <w:rFonts w:ascii="宋体" w:hAnsi="宋体"/>
        </w:rPr>
      </w:pPr>
      <w:r>
        <w:rPr>
          <w:rFonts w:hint="eastAsia" w:ascii="宋体" w:hAnsi="宋体"/>
          <w:lang w:eastAsia="zh-CN"/>
        </w:rPr>
        <w:t>（</w:t>
      </w:r>
      <w:r>
        <w:rPr>
          <w:rFonts w:hint="eastAsia" w:ascii="宋体" w:hAnsi="宋体"/>
        </w:rPr>
        <w:t>1）所有工作产品均须由投标方提供壹年以上的免费维护、保修服务，自项目验收签字之日起计算。</w:t>
      </w:r>
    </w:p>
    <w:p>
      <w:pPr>
        <w:ind w:left="0" w:leftChars="0" w:firstLine="0" w:firstLineChars="0"/>
        <w:rPr>
          <w:rFonts w:ascii="宋体" w:hAnsi="宋体"/>
        </w:rPr>
      </w:pPr>
      <w:r>
        <w:rPr>
          <w:rFonts w:hint="eastAsia" w:ascii="宋体" w:hAnsi="宋体"/>
          <w:lang w:val="en-US" w:eastAsia="zh-CN"/>
        </w:rPr>
        <w:t>（2</w:t>
      </w:r>
      <w:r>
        <w:rPr>
          <w:rFonts w:hint="eastAsia" w:ascii="宋体" w:hAnsi="宋体"/>
        </w:rPr>
        <w:t>）投标方必须提出保修期内的维护、保修内容和范围（产品、技术、模块、部件）。</w:t>
      </w:r>
    </w:p>
    <w:p>
      <w:pPr>
        <w:ind w:left="0" w:leftChars="0" w:firstLine="0" w:firstLineChars="0"/>
        <w:rPr>
          <w:rFonts w:ascii="宋体" w:hAnsi="宋体"/>
        </w:rPr>
      </w:pPr>
      <w:r>
        <w:rPr>
          <w:rFonts w:hint="eastAsia" w:ascii="宋体" w:hAnsi="宋体"/>
          <w:lang w:val="en-US" w:eastAsia="zh-CN"/>
        </w:rPr>
        <w:t>（3</w:t>
      </w:r>
      <w:r>
        <w:rPr>
          <w:rFonts w:hint="eastAsia" w:ascii="宋体" w:hAnsi="宋体"/>
        </w:rPr>
        <w:t>）服务响应时间：</w:t>
      </w:r>
      <w:r>
        <w:rPr>
          <w:rFonts w:hint="eastAsia"/>
          <w:szCs w:val="21"/>
          <w:lang w:val="zh-CN"/>
        </w:rPr>
        <w:t>中标方对售后服务的需求必须在</w:t>
      </w:r>
      <w:r>
        <w:rPr>
          <w:szCs w:val="21"/>
          <w:lang w:val="zh-CN"/>
        </w:rPr>
        <w:t>24</w:t>
      </w:r>
      <w:r>
        <w:rPr>
          <w:rFonts w:hint="eastAsia"/>
          <w:szCs w:val="21"/>
          <w:lang w:val="zh-CN"/>
        </w:rPr>
        <w:t>小时答复，在</w:t>
      </w:r>
      <w:r>
        <w:rPr>
          <w:szCs w:val="21"/>
          <w:lang w:val="zh-CN"/>
        </w:rPr>
        <w:t>48</w:t>
      </w:r>
      <w:r>
        <w:rPr>
          <w:rFonts w:hint="eastAsia"/>
          <w:szCs w:val="21"/>
          <w:lang w:val="zh-CN"/>
        </w:rPr>
        <w:t>小时内提供技术服务，对有疑问的检测结果应能够免费提供检测分析报告</w:t>
      </w:r>
      <w:r>
        <w:rPr>
          <w:rFonts w:hint="eastAsia" w:ascii="宋体" w:hAnsi="宋体"/>
        </w:rPr>
        <w:t>。</w:t>
      </w:r>
    </w:p>
    <w:p>
      <w:pPr>
        <w:ind w:left="0" w:leftChars="0" w:firstLine="0" w:firstLineChars="0"/>
        <w:rPr>
          <w:rFonts w:ascii="宋体" w:hAnsi="宋体"/>
        </w:rPr>
      </w:pPr>
      <w:r>
        <w:rPr>
          <w:rFonts w:hint="eastAsia" w:ascii="宋体" w:hAnsi="宋体"/>
          <w:lang w:val="en-US" w:eastAsia="zh-CN"/>
        </w:rPr>
        <w:t>（4</w:t>
      </w:r>
      <w:r>
        <w:rPr>
          <w:rFonts w:hint="eastAsia" w:ascii="宋体" w:hAnsi="宋体"/>
        </w:rPr>
        <w:t>）如果故障在检修8小时后仍无法排除，投标方应在2天内提供解决方案，经招标方批准后负责实施，直至故障修复。</w:t>
      </w:r>
    </w:p>
    <w:p>
      <w:pPr>
        <w:ind w:left="0" w:leftChars="0" w:firstLine="0" w:firstLineChars="0"/>
        <w:rPr>
          <w:rFonts w:ascii="宋体" w:hAnsi="宋体"/>
        </w:rPr>
      </w:pPr>
      <w:r>
        <w:rPr>
          <w:rFonts w:hint="eastAsia" w:ascii="宋体" w:hAnsi="宋体"/>
          <w:lang w:val="en-US" w:eastAsia="zh-CN"/>
        </w:rPr>
        <w:t>（5</w:t>
      </w:r>
      <w:r>
        <w:rPr>
          <w:rFonts w:hint="eastAsia" w:ascii="宋体" w:hAnsi="宋体"/>
        </w:rPr>
        <w:t>）所有售后服务方式均为投标方上门，即由投标方或原厂商派员到用户使用现场。由此产生的一切费用均由投标方承担。</w:t>
      </w:r>
    </w:p>
    <w:p>
      <w:pPr>
        <w:ind w:left="0" w:leftChars="0" w:firstLine="0" w:firstLineChars="0"/>
        <w:rPr>
          <w:rFonts w:ascii="宋体" w:hAnsi="宋体"/>
        </w:rPr>
      </w:pPr>
      <w:r>
        <w:rPr>
          <w:rFonts w:hint="eastAsia" w:ascii="宋体" w:hAnsi="宋体"/>
          <w:lang w:val="en-US" w:eastAsia="zh-CN"/>
        </w:rPr>
        <w:t>（6</w:t>
      </w:r>
      <w:r>
        <w:rPr>
          <w:rFonts w:hint="eastAsia" w:ascii="宋体" w:hAnsi="宋体"/>
        </w:rPr>
        <w:t>）对于不能明确是否是投标方工作产品出现故障时，投标方应尽力配合招标方和其他供应商进行检查，在必要时，能在上述响应时间内到达现场协助排除问题。</w:t>
      </w:r>
    </w:p>
    <w:p>
      <w:pPr>
        <w:ind w:left="0" w:leftChars="0" w:firstLine="0" w:firstLineChars="0"/>
        <w:rPr>
          <w:rFonts w:ascii="宋体" w:hAnsi="宋体"/>
        </w:rPr>
      </w:pPr>
      <w:r>
        <w:rPr>
          <w:rFonts w:hint="eastAsia" w:ascii="宋体" w:hAnsi="宋体"/>
          <w:lang w:val="en-US" w:eastAsia="zh-CN"/>
        </w:rPr>
        <w:t>（7</w:t>
      </w:r>
      <w:r>
        <w:rPr>
          <w:rFonts w:hint="eastAsia" w:ascii="宋体" w:hAnsi="宋体"/>
        </w:rPr>
        <w:t>）投标方必须有专门的维护部门及规范的维护服务管理体系，须在招标方当地有专业维护人员，能按要求及时响应。</w:t>
      </w:r>
    </w:p>
    <w:p>
      <w:pPr>
        <w:ind w:left="0" w:leftChars="0" w:firstLine="0" w:firstLineChars="0"/>
        <w:rPr>
          <w:rFonts w:ascii="宋体" w:hAnsi="宋体"/>
        </w:rPr>
      </w:pPr>
      <w:r>
        <w:rPr>
          <w:rFonts w:hint="eastAsia" w:ascii="宋体" w:hAnsi="宋体"/>
          <w:lang w:val="en-US" w:eastAsia="zh-CN"/>
        </w:rPr>
        <w:t>（8</w:t>
      </w:r>
      <w:r>
        <w:rPr>
          <w:rFonts w:hint="eastAsia" w:ascii="宋体" w:hAnsi="宋体"/>
        </w:rPr>
        <w:t>）投标方需要提出保修期后每年的收费维修、维护内容，费用和服务方式、范围（产品、技术、模块、部件），供招标方选择。</w:t>
      </w:r>
    </w:p>
    <w:p>
      <w:pPr>
        <w:pStyle w:val="4"/>
        <w:numPr>
          <w:ilvl w:val="0"/>
          <w:numId w:val="0"/>
        </w:numPr>
        <w:bidi w:val="0"/>
        <w:ind w:left="432" w:leftChars="0"/>
        <w:rPr>
          <w:rFonts w:hint="eastAsia"/>
        </w:rPr>
      </w:pPr>
      <w:bookmarkStart w:id="52" w:name="_Toc14985"/>
      <w:r>
        <w:rPr>
          <w:rFonts w:hint="eastAsia"/>
        </w:rPr>
        <w:t>十、其他相关要求</w:t>
      </w:r>
      <w:bookmarkEnd w:id="52"/>
    </w:p>
    <w:p>
      <w:pPr>
        <w:pStyle w:val="4"/>
        <w:numPr>
          <w:ilvl w:val="0"/>
          <w:numId w:val="0"/>
        </w:numPr>
        <w:bidi w:val="0"/>
        <w:rPr>
          <w:rFonts w:ascii="Times New Roman" w:hAnsi="Times New Roman" w:cs="Times New Roman"/>
        </w:rPr>
      </w:pPr>
      <w:bookmarkStart w:id="53" w:name="_Toc31513"/>
      <w:r>
        <w:rPr>
          <w:rStyle w:val="23"/>
          <w:b/>
          <w:bCs/>
        </w:rPr>
        <w:t>1</w:t>
      </w:r>
      <w:r>
        <w:rPr>
          <w:rStyle w:val="23"/>
          <w:rFonts w:hint="eastAsia"/>
          <w:b/>
          <w:bCs/>
        </w:rPr>
        <w:t>0</w:t>
      </w:r>
      <w:r>
        <w:rPr>
          <w:rStyle w:val="23"/>
          <w:b/>
          <w:bCs/>
        </w:rPr>
        <w:t>.1</w:t>
      </w:r>
      <w:r>
        <w:rPr>
          <w:rStyle w:val="23"/>
          <w:rFonts w:hint="eastAsia"/>
          <w:b/>
          <w:bCs/>
          <w:lang w:val="en-US" w:eastAsia="zh-CN"/>
        </w:rPr>
        <w:t xml:space="preserve"> </w:t>
      </w:r>
      <w:r>
        <w:rPr>
          <w:rStyle w:val="23"/>
          <w:rFonts w:hint="eastAsia"/>
          <w:b/>
          <w:bCs/>
        </w:rPr>
        <w:t>技术配合</w:t>
      </w:r>
      <w:bookmarkEnd w:id="53"/>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合同签订后，中标方应指定负责本项目的项目经理，负责中标方在项目全过程的各项工作。</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中标方须结合当次系统开发的目标、指标和任务要求，编制并向</w:t>
      </w:r>
      <w:r>
        <w:rPr>
          <w:rFonts w:hint="eastAsia" w:ascii="Times New Roman" w:hAnsi="Times New Roman" w:cs="Times New Roman"/>
        </w:rPr>
        <w:t>招标</w:t>
      </w:r>
      <w:r>
        <w:rPr>
          <w:rFonts w:ascii="Times New Roman" w:hAnsi="Times New Roman" w:cs="Times New Roman"/>
        </w:rPr>
        <w:t>方提交系统需求分析报告；招标方对中标方提交的需求分析报告进行会议评审，评审通过后中标方才能开展系统设计。</w:t>
      </w:r>
    </w:p>
    <w:p>
      <w:pPr>
        <w:ind w:left="0" w:leftChars="0" w:firstLine="0" w:firstLineChars="0"/>
        <w:rPr>
          <w:rFonts w:ascii="Times New Roman" w:hAnsi="Times New Roman" w:cs="Times New Roman"/>
        </w:rPr>
      </w:pPr>
      <w:r>
        <w:rPr>
          <w:rFonts w:hint="eastAsia" w:ascii="Times New Roman" w:hAnsi="Times New Roman" w:cs="Times New Roman"/>
        </w:rPr>
        <w:t>（3）</w:t>
      </w:r>
      <w:r>
        <w:rPr>
          <w:rFonts w:ascii="Times New Roman" w:hAnsi="Times New Roman" w:cs="Times New Roman"/>
        </w:rPr>
        <w:t>中标方须编制并向招标方提交系统设计报告。</w:t>
      </w:r>
    </w:p>
    <w:p>
      <w:pPr>
        <w:ind w:left="0" w:leftChars="0" w:firstLine="0" w:firstLineChars="0"/>
        <w:rPr>
          <w:rFonts w:ascii="Times New Roman" w:hAnsi="Times New Roman" w:cs="Times New Roman"/>
        </w:rPr>
      </w:pPr>
      <w:r>
        <w:rPr>
          <w:rFonts w:hint="eastAsia" w:ascii="Times New Roman" w:hAnsi="Times New Roman" w:cs="Times New Roman"/>
        </w:rPr>
        <w:t>（4）</w:t>
      </w:r>
      <w:r>
        <w:rPr>
          <w:rFonts w:ascii="Times New Roman" w:hAnsi="Times New Roman" w:cs="Times New Roman"/>
        </w:rPr>
        <w:t>招标方对当次系统开发框架内的功能澄清、细化、完善、纠偏，中标方有义务予以响应并即时实施。</w:t>
      </w:r>
    </w:p>
    <w:p>
      <w:pPr>
        <w:ind w:left="0" w:leftChars="0" w:firstLine="0" w:firstLineChars="0"/>
        <w:rPr>
          <w:rFonts w:ascii="Times New Roman" w:hAnsi="Times New Roman" w:cs="Times New Roman"/>
        </w:rPr>
      </w:pPr>
      <w:r>
        <w:rPr>
          <w:rFonts w:hint="eastAsia" w:ascii="Times New Roman" w:hAnsi="Times New Roman" w:cs="Times New Roman"/>
        </w:rPr>
        <w:t>（5）</w:t>
      </w:r>
      <w:r>
        <w:rPr>
          <w:rFonts w:ascii="Times New Roman" w:hAnsi="Times New Roman" w:cs="Times New Roman"/>
        </w:rPr>
        <w:t>中标方有责任协助招标方做好企业研发费用税前加计扣除工作，并在合同签订后3个月内，办理本合同在科技行政主管部门的认证登记手续。</w:t>
      </w:r>
    </w:p>
    <w:p>
      <w:pPr>
        <w:pStyle w:val="5"/>
        <w:bidi w:val="0"/>
      </w:pPr>
      <w:bookmarkStart w:id="54" w:name="_Toc5313"/>
      <w:r>
        <w:t>1</w:t>
      </w:r>
      <w:r>
        <w:rPr>
          <w:rFonts w:hint="eastAsia"/>
        </w:rPr>
        <w:t>0</w:t>
      </w:r>
      <w:r>
        <w:t>.2</w:t>
      </w:r>
      <w:r>
        <w:rPr>
          <w:rFonts w:hint="eastAsia"/>
          <w:lang w:val="en-US" w:eastAsia="zh-CN"/>
        </w:rPr>
        <w:t xml:space="preserve"> </w:t>
      </w:r>
      <w:r>
        <w:rPr>
          <w:rFonts w:hint="eastAsia"/>
        </w:rPr>
        <w:t>现场服务</w:t>
      </w:r>
      <w:bookmarkEnd w:id="54"/>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当招标方对监测结果存在疑问时，中标方应按合同规定及时派工程技术人员到达现场服务。</w:t>
      </w:r>
    </w:p>
    <w:p>
      <w:pPr>
        <w:ind w:left="0" w:leftChars="0" w:firstLine="0" w:firstLineChars="0"/>
        <w:rPr>
          <w:rFonts w:ascii="Times New Roman" w:hAnsi="Times New Roman" w:cs="Times New Roman"/>
        </w:rPr>
      </w:pPr>
      <w:r>
        <w:rPr>
          <w:rFonts w:hint="eastAsia" w:ascii="Times New Roman" w:hAnsi="Times New Roman" w:cs="Times New Roman"/>
        </w:rPr>
        <w:t>（2）</w:t>
      </w:r>
      <w:r>
        <w:rPr>
          <w:rFonts w:ascii="Times New Roman" w:hAnsi="Times New Roman" w:cs="Times New Roman"/>
        </w:rPr>
        <w:t>中标方在项目实施过程中应至少为招标方免费提供一次技术指导和培训讲座，在不涉及机密资料泄露的情况下，中标方应尽最大可能将本单位相关算法、其他类似项目的研究结论等向招标方公开。</w:t>
      </w:r>
    </w:p>
    <w:p>
      <w:pPr>
        <w:pStyle w:val="5"/>
        <w:bidi w:val="0"/>
      </w:pPr>
      <w:bookmarkStart w:id="55" w:name="_Toc881"/>
      <w:r>
        <w:t>1</w:t>
      </w:r>
      <w:r>
        <w:rPr>
          <w:rFonts w:hint="eastAsia"/>
        </w:rPr>
        <w:t>0</w:t>
      </w:r>
      <w:r>
        <w:t>.3</w:t>
      </w:r>
      <w:r>
        <w:rPr>
          <w:rFonts w:hint="eastAsia"/>
          <w:lang w:val="en-US" w:eastAsia="zh-CN"/>
        </w:rPr>
        <w:t xml:space="preserve"> </w:t>
      </w:r>
      <w:r>
        <w:rPr>
          <w:rFonts w:hint="eastAsia"/>
        </w:rPr>
        <w:t>培训</w:t>
      </w:r>
      <w:bookmarkEnd w:id="55"/>
    </w:p>
    <w:p>
      <w:pPr>
        <w:ind w:left="0" w:leftChars="0" w:firstLine="0" w:firstLineChars="0"/>
        <w:rPr>
          <w:rFonts w:ascii="Times New Roman" w:hAnsi="Times New Roman" w:cs="Times New Roman"/>
        </w:rPr>
      </w:pPr>
      <w:r>
        <w:rPr>
          <w:rFonts w:hint="eastAsia" w:ascii="Times New Roman" w:hAnsi="Times New Roman" w:cs="Times New Roman"/>
        </w:rPr>
        <w:t>★（1）</w:t>
      </w:r>
      <w:r>
        <w:rPr>
          <w:rFonts w:ascii="Times New Roman" w:hAnsi="Times New Roman" w:cs="Times New Roman"/>
        </w:rPr>
        <w:t>中标方应负责对招标方技术人员进行</w:t>
      </w:r>
      <w:r>
        <w:rPr>
          <w:rFonts w:hint="eastAsia" w:ascii="宋体" w:hAnsi="宋体"/>
          <w:color w:val="0000FF"/>
        </w:rPr>
        <w:t>速通保电多功能便捷式接线端</w:t>
      </w:r>
      <w:r>
        <w:rPr>
          <w:rFonts w:hint="eastAsia" w:ascii="宋体" w:hAnsi="宋体"/>
          <w:color w:val="0000FF"/>
          <w:lang w:val="en-US" w:eastAsia="zh-CN"/>
        </w:rPr>
        <w:t>安装</w:t>
      </w:r>
      <w:r>
        <w:rPr>
          <w:rFonts w:ascii="Times New Roman" w:hAnsi="Times New Roman" w:cs="Times New Roman"/>
        </w:rPr>
        <w:t>等各方面的技术培训，使他们掌握或熟悉原理、系统关键参数设定以及结果判断等</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w:t>
      </w:r>
      <w:r>
        <w:rPr>
          <w:rFonts w:ascii="Times New Roman" w:hAnsi="Times New Roman" w:cs="Times New Roman"/>
        </w:rPr>
        <w:t>培训内容包括中标方提供的</w:t>
      </w:r>
      <w:r>
        <w:rPr>
          <w:rFonts w:hint="eastAsia" w:ascii="Times New Roman" w:hAnsi="Times New Roman" w:cs="Times New Roman"/>
          <w:lang w:val="en-US" w:eastAsia="zh-CN"/>
        </w:rPr>
        <w:t>构建</w:t>
      </w:r>
      <w:r>
        <w:rPr>
          <w:rFonts w:ascii="Times New Roman" w:hAnsi="Times New Roman" w:cs="Times New Roman"/>
        </w:rPr>
        <w:t>结构、</w:t>
      </w:r>
      <w:r>
        <w:rPr>
          <w:rFonts w:hint="eastAsia" w:ascii="Times New Roman" w:hAnsi="Times New Roman" w:cs="Times New Roman"/>
          <w:lang w:val="en-US" w:eastAsia="zh-CN"/>
        </w:rPr>
        <w:t>技术原理</w:t>
      </w:r>
      <w:r>
        <w:rPr>
          <w:rFonts w:ascii="Times New Roman" w:hAnsi="Times New Roman" w:cs="Times New Roman"/>
        </w:rPr>
        <w:t>、</w:t>
      </w:r>
      <w:r>
        <w:rPr>
          <w:rFonts w:hint="eastAsia" w:ascii="Times New Roman" w:hAnsi="Times New Roman" w:cs="Times New Roman"/>
          <w:lang w:val="en-US" w:eastAsia="zh-CN"/>
        </w:rPr>
        <w:t>使用方法等各项功能</w:t>
      </w:r>
      <w:r>
        <w:rPr>
          <w:rFonts w:ascii="Times New Roman" w:hAnsi="Times New Roman" w:cs="Times New Roman"/>
        </w:rPr>
        <w:t>特点</w:t>
      </w:r>
      <w:r>
        <w:rPr>
          <w:rFonts w:hint="eastAsia" w:ascii="Times New Roman" w:hAnsi="Times New Roman" w:cs="Times New Roman"/>
        </w:rPr>
        <w:t>。</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3</w:t>
      </w:r>
      <w:r>
        <w:rPr>
          <w:rFonts w:hint="eastAsia" w:ascii="Times New Roman" w:hAnsi="Times New Roman" w:cs="Times New Roman"/>
        </w:rPr>
        <w:t>）</w:t>
      </w:r>
      <w:r>
        <w:rPr>
          <w:rFonts w:ascii="Times New Roman" w:hAnsi="Times New Roman" w:cs="Times New Roman"/>
        </w:rPr>
        <w:t>中标方应提出培训的建议日期、地点、培训时间表和课程表，经招标方同意后，开展培训工作。</w:t>
      </w:r>
    </w:p>
    <w:p>
      <w:pPr>
        <w:ind w:left="0" w:leftChars="0" w:firstLine="0" w:firstLineChars="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4</w:t>
      </w:r>
      <w:r>
        <w:rPr>
          <w:rFonts w:hint="eastAsia" w:ascii="Times New Roman" w:hAnsi="Times New Roman" w:cs="Times New Roman"/>
        </w:rPr>
        <w:t>）</w:t>
      </w:r>
      <w:r>
        <w:rPr>
          <w:rFonts w:ascii="Times New Roman" w:hAnsi="Times New Roman" w:cs="Times New Roman"/>
        </w:rPr>
        <w:t>培训时间和参加人数</w:t>
      </w:r>
    </w:p>
    <w:p>
      <w:pPr>
        <w:ind w:left="0" w:leftChars="0" w:firstLine="480" w:firstLineChars="200"/>
        <w:rPr>
          <w:rFonts w:ascii="Times New Roman" w:hAnsi="Times New Roman" w:cs="Times New Roman"/>
        </w:rPr>
      </w:pPr>
      <w:r>
        <w:rPr>
          <w:rFonts w:hint="eastAsia" w:ascii="Times New Roman" w:hAnsi="Times New Roman" w:cs="Times New Roman"/>
        </w:rPr>
        <w:t>培训对象：招标方指定人员；</w:t>
      </w:r>
    </w:p>
    <w:p>
      <w:pPr>
        <w:ind w:left="0" w:leftChars="0" w:firstLine="480" w:firstLineChars="200"/>
        <w:rPr>
          <w:rFonts w:ascii="Times New Roman" w:hAnsi="Times New Roman" w:cs="Times New Roman"/>
        </w:rPr>
      </w:pPr>
      <w:r>
        <w:rPr>
          <w:rFonts w:hint="eastAsia" w:ascii="Times New Roman" w:hAnsi="Times New Roman" w:cs="Times New Roman"/>
        </w:rPr>
        <w:t>培训方式：授课培训、现场培训；</w:t>
      </w:r>
    </w:p>
    <w:p>
      <w:pPr>
        <w:ind w:left="0" w:leftChars="0" w:firstLine="480" w:firstLineChars="200"/>
        <w:rPr>
          <w:rFonts w:ascii="Times New Roman" w:hAnsi="Times New Roman" w:cs="Times New Roman"/>
        </w:rPr>
      </w:pPr>
      <w:r>
        <w:rPr>
          <w:rFonts w:hint="eastAsia" w:ascii="Times New Roman" w:hAnsi="Times New Roman" w:cs="Times New Roman"/>
        </w:rPr>
        <w:t>培训地点：招标方所在地；</w:t>
      </w:r>
    </w:p>
    <w:p>
      <w:pPr>
        <w:ind w:left="0" w:leftChars="0" w:firstLine="480" w:firstLineChars="200"/>
        <w:rPr>
          <w:rFonts w:ascii="Times New Roman" w:hAnsi="Times New Roman" w:cs="Times New Roman"/>
        </w:rPr>
      </w:pPr>
      <w:r>
        <w:rPr>
          <w:rFonts w:hint="eastAsia" w:ascii="Times New Roman" w:hAnsi="Times New Roman" w:cs="Times New Roman"/>
        </w:rPr>
        <w:t>培训时间：培训时间根据招标方的时间而定；</w:t>
      </w:r>
    </w:p>
    <w:p>
      <w:pPr>
        <w:ind w:left="0" w:leftChars="0" w:firstLine="480" w:firstLineChars="200"/>
        <w:rPr>
          <w:rFonts w:ascii="Times New Roman" w:hAnsi="Times New Roman" w:cs="Times New Roman"/>
        </w:rPr>
      </w:pPr>
      <w:r>
        <w:rPr>
          <w:rFonts w:hint="eastAsia" w:ascii="Times New Roman" w:hAnsi="Times New Roman" w:cs="Times New Roman"/>
        </w:rPr>
        <w:t>培训时长：对招标方的技术人员开展不少于2次的研发、测试、使用及维护理论等技术培训，每次培训对象不少于5人，每次时间不少于0.5天；并提供相应的培训资料。实操授课以招标方实际需求而定。</w:t>
      </w:r>
    </w:p>
    <w:p>
      <w:pPr>
        <w:pStyle w:val="5"/>
        <w:bidi w:val="0"/>
      </w:pPr>
      <w:bookmarkStart w:id="56" w:name="_Toc23383"/>
      <w:r>
        <w:rPr>
          <w:rFonts w:hint="eastAsia"/>
        </w:rPr>
        <w:t>1</w:t>
      </w:r>
      <w:r>
        <w:rPr>
          <w:rFonts w:hint="eastAsia"/>
          <w:lang w:val="en-US" w:eastAsia="zh-CN"/>
        </w:rPr>
        <w:t>0</w:t>
      </w:r>
      <w:r>
        <w:rPr>
          <w:rFonts w:hint="eastAsia"/>
        </w:rPr>
        <w:t>.4 知识产权约定</w:t>
      </w:r>
      <w:bookmarkEnd w:id="56"/>
    </w:p>
    <w:p>
      <w:pPr>
        <w:ind w:firstLine="480"/>
        <w:rPr>
          <w:rFonts w:ascii="Times New Roman" w:hAnsi="Times New Roman" w:cs="Times New Roman"/>
        </w:rPr>
      </w:pPr>
      <w:r>
        <w:rPr>
          <w:rFonts w:hint="eastAsia" w:ascii="Times New Roman" w:hAnsi="Times New Roman" w:cs="Times New Roman"/>
        </w:rPr>
        <w:t>★（1）在项目完成以后，中标方应向招标方提供该项目所有技术成果、项目建设文档、使用及运维说明等。</w:t>
      </w:r>
      <w:r>
        <w:rPr>
          <w:rFonts w:ascii="Times New Roman" w:hAnsi="Times New Roman" w:cs="Times New Roman"/>
        </w:rPr>
        <w:t>项目实施过程中形成的专利</w:t>
      </w:r>
      <w:r>
        <w:rPr>
          <w:rFonts w:hint="eastAsia" w:ascii="Times New Roman" w:hAnsi="Times New Roman" w:cs="Times New Roman"/>
        </w:rPr>
        <w:t>、</w:t>
      </w:r>
      <w:r>
        <w:rPr>
          <w:rFonts w:ascii="Times New Roman" w:hAnsi="Times New Roman" w:cs="Times New Roman"/>
        </w:rPr>
        <w:t>软件著作权</w:t>
      </w:r>
      <w:r>
        <w:rPr>
          <w:rFonts w:hint="eastAsia" w:ascii="Times New Roman" w:hAnsi="Times New Roman" w:cs="Times New Roman"/>
        </w:rPr>
        <w:t>及论文招标方独有</w:t>
      </w:r>
      <w:r>
        <w:rPr>
          <w:rFonts w:ascii="Times New Roman" w:hAnsi="Times New Roman" w:cs="Times New Roman"/>
        </w:rPr>
        <w:t>。</w:t>
      </w:r>
    </w:p>
    <w:p>
      <w:pPr>
        <w:ind w:firstLine="480"/>
        <w:rPr>
          <w:rFonts w:ascii="Times New Roman" w:hAnsi="Times New Roman" w:cs="Times New Roman"/>
        </w:rPr>
      </w:pPr>
      <w:r>
        <w:rPr>
          <w:rFonts w:hint="eastAsia" w:ascii="Times New Roman" w:hAnsi="Times New Roman" w:cs="Times New Roman"/>
        </w:rPr>
        <w:t>（</w:t>
      </w:r>
      <w:r>
        <w:rPr>
          <w:rFonts w:hint="eastAsia" w:ascii="Times New Roman" w:hAnsi="Times New Roman" w:cs="Times New Roman"/>
          <w:lang w:val="en-US" w:eastAsia="zh-CN"/>
        </w:rPr>
        <w:t>2</w:t>
      </w:r>
      <w:r>
        <w:rPr>
          <w:rFonts w:hint="eastAsia" w:ascii="Times New Roman" w:hAnsi="Times New Roman" w:cs="Times New Roman"/>
        </w:rPr>
        <w:t>）中标方应保证其提供的产品、工具、模型、方法、文档、知识资产及服务没有任何权利瑕疵，没有侵犯任何第三方权利。招标方在使用该产品或服务的任何一部分时，免受第三方提出的任何侵犯其知识产权的权利主张。如果任何人对招标方使用该产品及服务主张权利，由中标方负责处理一切纠纷及相关事宜，由此给招标人造成的损失，由中标人承担。</w:t>
      </w:r>
    </w:p>
    <w:p>
      <w:pPr>
        <w:pStyle w:val="4"/>
        <w:numPr>
          <w:ilvl w:val="0"/>
          <w:numId w:val="0"/>
        </w:numPr>
        <w:tabs>
          <w:tab w:val="clear" w:pos="432"/>
        </w:tabs>
        <w:ind w:left="432"/>
      </w:pPr>
      <w:bookmarkStart w:id="57" w:name="_Toc8949"/>
      <w:bookmarkStart w:id="58" w:name="_Toc93490630"/>
      <w:bookmarkStart w:id="59" w:name="_Toc93490580"/>
      <w:bookmarkStart w:id="60" w:name="_Toc137397828"/>
      <w:bookmarkStart w:id="61" w:name="_Toc506186791"/>
      <w:bookmarkStart w:id="62" w:name="_Toc167003829"/>
      <w:bookmarkStart w:id="63" w:name="_Toc93490801"/>
      <w:bookmarkStart w:id="64" w:name="_Toc351129176"/>
      <w:r>
        <w:rPr>
          <w:rFonts w:hint="eastAsia"/>
        </w:rPr>
        <w:t>附件</w:t>
      </w:r>
      <w:bookmarkEnd w:id="57"/>
      <w:bookmarkEnd w:id="58"/>
      <w:bookmarkEnd w:id="59"/>
      <w:bookmarkEnd w:id="60"/>
      <w:bookmarkEnd w:id="61"/>
      <w:bookmarkEnd w:id="62"/>
      <w:bookmarkEnd w:id="63"/>
      <w:bookmarkEnd w:id="64"/>
    </w:p>
    <w:p>
      <w:pPr>
        <w:pStyle w:val="5"/>
      </w:pPr>
      <w:bookmarkStart w:id="65" w:name="_Toc27802"/>
      <w:r>
        <w:rPr>
          <w:rFonts w:hint="eastAsia"/>
        </w:rPr>
        <w:t>1、差异表</w:t>
      </w:r>
      <w:bookmarkEnd w:id="65"/>
    </w:p>
    <w:tbl>
      <w:tblPr>
        <w:tblStyle w:val="14"/>
        <w:tblW w:w="88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020"/>
        <w:gridCol w:w="2835"/>
        <w:gridCol w:w="1605"/>
        <w:gridCol w:w="26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restart"/>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序号</w:t>
            </w:r>
          </w:p>
        </w:tc>
        <w:tc>
          <w:tcPr>
            <w:tcW w:w="3855"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招标文件</w:t>
            </w:r>
          </w:p>
        </w:tc>
        <w:tc>
          <w:tcPr>
            <w:tcW w:w="4299" w:type="dxa"/>
            <w:gridSpan w:val="2"/>
            <w:tcBorders>
              <w:top w:val="single" w:color="auto" w:sz="4" w:space="0"/>
              <w:left w:val="single" w:color="auto" w:sz="4" w:space="0"/>
              <w:bottom w:val="single" w:color="auto" w:sz="4" w:space="0"/>
              <w:right w:val="single" w:color="auto" w:sz="4" w:space="0"/>
            </w:tcBorders>
            <w:vAlign w:val="center"/>
          </w:tcPr>
          <w:p>
            <w:pPr>
              <w:ind w:firstLine="480"/>
              <w:jc w:val="center"/>
              <w:rPr>
                <w:rFonts w:ascii="宋体" w:hAnsi="宋体"/>
              </w:rPr>
            </w:pPr>
            <w:r>
              <w:rPr>
                <w:rFonts w:hint="eastAsia" w:ascii="宋体" w:hAnsi="宋体"/>
              </w:rPr>
              <w:t>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jc w:val="center"/>
        </w:trPr>
        <w:tc>
          <w:tcPr>
            <w:tcW w:w="709" w:type="dxa"/>
            <w:vMerge w:val="continue"/>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vAlign w:val="center"/>
          </w:tcPr>
          <w:p>
            <w:pPr>
              <w:ind w:firstLine="0" w:firstLineChars="0"/>
              <w:rPr>
                <w:rFonts w:ascii="宋体" w:hAnsi="宋体"/>
              </w:rPr>
            </w:pPr>
            <w:r>
              <w:rPr>
                <w:rFonts w:hint="eastAsia" w:ascii="宋体" w:hAnsi="宋体"/>
              </w:rPr>
              <w:t>条目</w:t>
            </w:r>
          </w:p>
        </w:tc>
        <w:tc>
          <w:tcPr>
            <w:tcW w:w="283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c>
          <w:tcPr>
            <w:tcW w:w="1605"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条目</w:t>
            </w:r>
          </w:p>
        </w:tc>
        <w:tc>
          <w:tcPr>
            <w:tcW w:w="2694" w:type="dxa"/>
            <w:tcBorders>
              <w:top w:val="single" w:color="auto" w:sz="4" w:space="0"/>
              <w:left w:val="single" w:color="auto" w:sz="4" w:space="0"/>
              <w:bottom w:val="single" w:color="auto" w:sz="4" w:space="0"/>
              <w:right w:val="single" w:color="auto" w:sz="4" w:space="0"/>
            </w:tcBorders>
            <w:vAlign w:val="center"/>
          </w:tcPr>
          <w:p>
            <w:pPr>
              <w:ind w:firstLine="480"/>
              <w:rPr>
                <w:rFonts w:ascii="宋体" w:hAnsi="宋体"/>
              </w:rPr>
            </w:pPr>
            <w:r>
              <w:rPr>
                <w:rFonts w:hint="eastAsia" w:ascii="宋体" w:hAnsi="宋体"/>
              </w:rPr>
              <w:t>简要内容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709"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020"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83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1605"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c>
          <w:tcPr>
            <w:tcW w:w="2694" w:type="dxa"/>
            <w:tcBorders>
              <w:top w:val="single" w:color="auto" w:sz="4" w:space="0"/>
              <w:left w:val="single" w:color="auto" w:sz="4" w:space="0"/>
              <w:bottom w:val="single" w:color="auto" w:sz="4" w:space="0"/>
              <w:right w:val="single" w:color="auto" w:sz="4" w:space="0"/>
            </w:tcBorders>
          </w:tcPr>
          <w:p>
            <w:pPr>
              <w:ind w:firstLine="480"/>
              <w:rPr>
                <w:rFonts w:ascii="宋体" w:hAnsi="宋体"/>
              </w:rPr>
            </w:pPr>
          </w:p>
        </w:tc>
      </w:tr>
    </w:tbl>
    <w:p>
      <w:pPr>
        <w:pStyle w:val="5"/>
      </w:pPr>
      <w:bookmarkStart w:id="66" w:name="_Toc17121"/>
      <w:r>
        <w:rPr>
          <w:rFonts w:hint="eastAsia"/>
        </w:rPr>
        <w:t>2、投标方需要说明的其它问题</w:t>
      </w:r>
      <w:bookmarkEnd w:id="66"/>
    </w:p>
    <w:sectPr>
      <w:headerReference r:id="rId7" w:type="default"/>
      <w:footerReference r:id="rId8" w:type="default"/>
      <w:pgSz w:w="11906" w:h="16838"/>
      <w:pgMar w:top="1440" w:right="1800" w:bottom="1440" w:left="1800" w:header="851" w:footer="992"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w:rPr>
        <w:rFonts w:hint="eastAsia"/>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ind w:firstLine="360"/>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GfM6vLCAQAAjQMAAA4AAAAAAAAAAQAgAAAAHgEAAGRycy9lMm9Eb2MueG1sUEsF&#10;BgAAAAAGAAYAWQEAAFIFAAAAAA==&#10;">
              <v:fill on="f" focussize="0,0"/>
              <v:stroke on="f"/>
              <v:imagedata o:title=""/>
              <o:lock v:ext="edit" aspectratio="f"/>
              <v:textbox inset="0mm,0mm,0mm,0mm" style="mso-fit-shape-to-text:t;">
                <w:txbxContent>
                  <w:p>
                    <w:pPr>
                      <w:pStyle w:val="9"/>
                      <w:ind w:firstLine="36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r>
      <w:rPr>
        <w:rFonts w:hint="eastAsia"/>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ind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3AA0C1F"/>
    <w:multiLevelType w:val="multilevel"/>
    <w:tmpl w:val="73AA0C1F"/>
    <w:lvl w:ilvl="0" w:tentative="0">
      <w:start w:val="1"/>
      <w:numFmt w:val="decimal"/>
      <w:pStyle w:val="4"/>
      <w:lvlText w:val="%1"/>
      <w:lvlJc w:val="left"/>
      <w:pPr>
        <w:tabs>
          <w:tab w:val="left" w:pos="432"/>
        </w:tabs>
        <w:ind w:left="432" w:hanging="432"/>
      </w:pPr>
      <w:rPr>
        <w:rFonts w:cs="Times New Roman"/>
      </w:rPr>
    </w:lvl>
    <w:lvl w:ilvl="1" w:tentative="0">
      <w:start w:val="1"/>
      <w:numFmt w:val="decimal"/>
      <w:lvlText w:val="%1.%2"/>
      <w:lvlJc w:val="left"/>
      <w:pPr>
        <w:tabs>
          <w:tab w:val="left" w:pos="1116"/>
        </w:tabs>
        <w:ind w:left="1116" w:hanging="576"/>
      </w:pPr>
      <w:rPr>
        <w:rFonts w:cs="Times New Roman"/>
      </w:rPr>
    </w:lvl>
    <w:lvl w:ilvl="2" w:tentative="0">
      <w:start w:val="1"/>
      <w:numFmt w:val="decimal"/>
      <w:lvlText w:val="%1.%2.%3"/>
      <w:lvlJc w:val="left"/>
      <w:pPr>
        <w:tabs>
          <w:tab w:val="left" w:pos="1200"/>
        </w:tabs>
        <w:ind w:left="1200" w:hanging="720"/>
      </w:pPr>
      <w:rPr>
        <w:rFonts w:cs="Times New Roman"/>
        <w:b w:val="0"/>
      </w:rPr>
    </w:lvl>
    <w:lvl w:ilvl="3" w:tentative="0">
      <w:start w:val="1"/>
      <w:numFmt w:val="decimal"/>
      <w:lvlText w:val="%1.%2.%3.%4"/>
      <w:lvlJc w:val="left"/>
      <w:pPr>
        <w:tabs>
          <w:tab w:val="left" w:pos="1006"/>
        </w:tabs>
        <w:ind w:left="1006" w:hanging="864"/>
      </w:pPr>
      <w:rPr>
        <w:rFonts w:hint="default" w:ascii="Times New Roman" w:hAnsi="Times New Roman" w:cs="Times New Roman"/>
      </w:rPr>
    </w:lvl>
    <w:lvl w:ilvl="4" w:tentative="0">
      <w:start w:val="1"/>
      <w:numFmt w:val="decimal"/>
      <w:lvlText w:val="%1.%2.%3.%4.%5"/>
      <w:lvlJc w:val="left"/>
      <w:pPr>
        <w:tabs>
          <w:tab w:val="left" w:pos="1008"/>
        </w:tabs>
        <w:ind w:left="1008" w:hanging="1008"/>
      </w:pPr>
      <w:rPr>
        <w:rFonts w:cs="Times New Roman"/>
      </w:rPr>
    </w:lvl>
    <w:lvl w:ilvl="5" w:tentative="0">
      <w:start w:val="1"/>
      <w:numFmt w:val="decimal"/>
      <w:lvlText w:val="%1.%2.%3.%4.%5.%6"/>
      <w:lvlJc w:val="left"/>
      <w:pPr>
        <w:tabs>
          <w:tab w:val="left" w:pos="1152"/>
        </w:tabs>
        <w:ind w:left="1152" w:hanging="1152"/>
      </w:pPr>
      <w:rPr>
        <w:rFonts w:cs="Times New Roman"/>
      </w:rPr>
    </w:lvl>
    <w:lvl w:ilvl="6" w:tentative="0">
      <w:start w:val="1"/>
      <w:numFmt w:val="decimal"/>
      <w:lvlText w:val="%1.%2.%3.%4.%5.%6.%7"/>
      <w:lvlJc w:val="left"/>
      <w:pPr>
        <w:tabs>
          <w:tab w:val="left" w:pos="1296"/>
        </w:tabs>
        <w:ind w:left="1296" w:hanging="1296"/>
      </w:pPr>
      <w:rPr>
        <w:rFonts w:cs="Times New Roman"/>
      </w:rPr>
    </w:lvl>
    <w:lvl w:ilvl="7" w:tentative="0">
      <w:start w:val="1"/>
      <w:numFmt w:val="decimal"/>
      <w:lvlText w:val="%1.%2.%3.%4.%5.%6.%7.%8"/>
      <w:lvlJc w:val="left"/>
      <w:pPr>
        <w:tabs>
          <w:tab w:val="left" w:pos="1440"/>
        </w:tabs>
        <w:ind w:left="1440" w:hanging="1440"/>
      </w:pPr>
      <w:rPr>
        <w:rFonts w:cs="Times New Roman"/>
      </w:rPr>
    </w:lvl>
    <w:lvl w:ilvl="8" w:tentative="0">
      <w:start w:val="1"/>
      <w:numFmt w:val="decimal"/>
      <w:lvlText w:val="%1.%2.%3.%4.%5.%6.%7.%8.%9"/>
      <w:lvlJc w:val="left"/>
      <w:pPr>
        <w:tabs>
          <w:tab w:val="left" w:pos="1584"/>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wZThlNzcwZDVlN2I0ZTMzZDU3N2Y5OWY4OWFmZDkifQ=="/>
  </w:docVars>
  <w:rsids>
    <w:rsidRoot w:val="2F49686B"/>
    <w:rsid w:val="00080694"/>
    <w:rsid w:val="000A7E4C"/>
    <w:rsid w:val="002133A1"/>
    <w:rsid w:val="00221F99"/>
    <w:rsid w:val="00260E95"/>
    <w:rsid w:val="002647CA"/>
    <w:rsid w:val="00294B1B"/>
    <w:rsid w:val="003B6F75"/>
    <w:rsid w:val="004771A9"/>
    <w:rsid w:val="004E55E1"/>
    <w:rsid w:val="00527713"/>
    <w:rsid w:val="00586D85"/>
    <w:rsid w:val="005C36D5"/>
    <w:rsid w:val="00797050"/>
    <w:rsid w:val="00852CBC"/>
    <w:rsid w:val="0098141A"/>
    <w:rsid w:val="00B4230F"/>
    <w:rsid w:val="00BA5037"/>
    <w:rsid w:val="00C741BE"/>
    <w:rsid w:val="00D2099E"/>
    <w:rsid w:val="00D3394F"/>
    <w:rsid w:val="00D96A99"/>
    <w:rsid w:val="00D96B71"/>
    <w:rsid w:val="00D97C72"/>
    <w:rsid w:val="00ED31EF"/>
    <w:rsid w:val="014F4893"/>
    <w:rsid w:val="02D70A17"/>
    <w:rsid w:val="03CE411A"/>
    <w:rsid w:val="047775AF"/>
    <w:rsid w:val="06C669EC"/>
    <w:rsid w:val="09331369"/>
    <w:rsid w:val="0974768F"/>
    <w:rsid w:val="09F27E86"/>
    <w:rsid w:val="0BED7D43"/>
    <w:rsid w:val="0C555658"/>
    <w:rsid w:val="0EA41C25"/>
    <w:rsid w:val="0EE03777"/>
    <w:rsid w:val="0EFE21CE"/>
    <w:rsid w:val="0F411923"/>
    <w:rsid w:val="10A73228"/>
    <w:rsid w:val="12735A58"/>
    <w:rsid w:val="14870B74"/>
    <w:rsid w:val="17415B08"/>
    <w:rsid w:val="186950A5"/>
    <w:rsid w:val="1A680ED3"/>
    <w:rsid w:val="1B156231"/>
    <w:rsid w:val="1B625EE7"/>
    <w:rsid w:val="1C951B23"/>
    <w:rsid w:val="1D443C03"/>
    <w:rsid w:val="1E2A322D"/>
    <w:rsid w:val="1EB52C70"/>
    <w:rsid w:val="1FA24BB6"/>
    <w:rsid w:val="1FC91E44"/>
    <w:rsid w:val="20E526D1"/>
    <w:rsid w:val="213D7E0C"/>
    <w:rsid w:val="21F61175"/>
    <w:rsid w:val="22294735"/>
    <w:rsid w:val="22484D4A"/>
    <w:rsid w:val="249828C7"/>
    <w:rsid w:val="25F211C5"/>
    <w:rsid w:val="26C34218"/>
    <w:rsid w:val="28F76AF3"/>
    <w:rsid w:val="290D43C3"/>
    <w:rsid w:val="2F49686B"/>
    <w:rsid w:val="32830AE6"/>
    <w:rsid w:val="33B23011"/>
    <w:rsid w:val="33E3258B"/>
    <w:rsid w:val="34A50280"/>
    <w:rsid w:val="34AE29C8"/>
    <w:rsid w:val="35941976"/>
    <w:rsid w:val="36AF6C3F"/>
    <w:rsid w:val="37344CD6"/>
    <w:rsid w:val="37B67EF6"/>
    <w:rsid w:val="3ABE630D"/>
    <w:rsid w:val="3B124C2E"/>
    <w:rsid w:val="3B2B774D"/>
    <w:rsid w:val="3CD06E86"/>
    <w:rsid w:val="3EDE7FC7"/>
    <w:rsid w:val="42E12EC5"/>
    <w:rsid w:val="43A52806"/>
    <w:rsid w:val="45E82713"/>
    <w:rsid w:val="48295736"/>
    <w:rsid w:val="483F12A6"/>
    <w:rsid w:val="4876623F"/>
    <w:rsid w:val="48BC641A"/>
    <w:rsid w:val="4BAE6DDB"/>
    <w:rsid w:val="4C8B5AC5"/>
    <w:rsid w:val="4E0662AE"/>
    <w:rsid w:val="52B1259E"/>
    <w:rsid w:val="53E85609"/>
    <w:rsid w:val="54683728"/>
    <w:rsid w:val="54BC4486"/>
    <w:rsid w:val="55ED5831"/>
    <w:rsid w:val="57344239"/>
    <w:rsid w:val="58AA58D0"/>
    <w:rsid w:val="5931729F"/>
    <w:rsid w:val="59404FBB"/>
    <w:rsid w:val="5AE7388E"/>
    <w:rsid w:val="5F9D6EC2"/>
    <w:rsid w:val="601F7341"/>
    <w:rsid w:val="6085265B"/>
    <w:rsid w:val="60B82CE2"/>
    <w:rsid w:val="616F1698"/>
    <w:rsid w:val="62570309"/>
    <w:rsid w:val="62D358FF"/>
    <w:rsid w:val="64434485"/>
    <w:rsid w:val="657D797E"/>
    <w:rsid w:val="662F3BCD"/>
    <w:rsid w:val="694760EA"/>
    <w:rsid w:val="6C0902EF"/>
    <w:rsid w:val="6F463A67"/>
    <w:rsid w:val="6FC677CA"/>
    <w:rsid w:val="70A27BF9"/>
    <w:rsid w:val="71E45665"/>
    <w:rsid w:val="71F70164"/>
    <w:rsid w:val="72457288"/>
    <w:rsid w:val="73901661"/>
    <w:rsid w:val="73A4758E"/>
    <w:rsid w:val="74EB7C82"/>
    <w:rsid w:val="77112567"/>
    <w:rsid w:val="78E26071"/>
    <w:rsid w:val="7BB945D5"/>
    <w:rsid w:val="7CAD6C4D"/>
    <w:rsid w:val="7CAE5E12"/>
    <w:rsid w:val="7D493B53"/>
    <w:rsid w:val="7DA82DAC"/>
    <w:rsid w:val="7F4B62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qFormat="1" w:uiPriority="99" w:semiHidden="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jc w:val="both"/>
    </w:pPr>
    <w:rPr>
      <w:rFonts w:ascii="Calibri" w:hAnsi="Calibri" w:eastAsia="宋体" w:cs="黑体"/>
      <w:kern w:val="2"/>
      <w:sz w:val="24"/>
      <w:szCs w:val="22"/>
      <w:lang w:val="en-US" w:eastAsia="zh-CN" w:bidi="ar-SA"/>
    </w:rPr>
  </w:style>
  <w:style w:type="paragraph" w:styleId="4">
    <w:name w:val="heading 1"/>
    <w:basedOn w:val="1"/>
    <w:next w:val="1"/>
    <w:link w:val="24"/>
    <w:qFormat/>
    <w:uiPriority w:val="9"/>
    <w:pPr>
      <w:keepNext/>
      <w:keepLines/>
      <w:numPr>
        <w:ilvl w:val="0"/>
        <w:numId w:val="1"/>
      </w:numPr>
      <w:spacing w:before="340" w:after="330" w:line="578" w:lineRule="auto"/>
      <w:ind w:firstLine="0" w:firstLineChars="0"/>
      <w:outlineLvl w:val="0"/>
    </w:pPr>
    <w:rPr>
      <w:b/>
      <w:bCs/>
      <w:kern w:val="44"/>
      <w:sz w:val="44"/>
      <w:szCs w:val="44"/>
    </w:rPr>
  </w:style>
  <w:style w:type="paragraph" w:styleId="5">
    <w:name w:val="heading 2"/>
    <w:basedOn w:val="1"/>
    <w:next w:val="1"/>
    <w:link w:val="23"/>
    <w:unhideWhenUsed/>
    <w:qFormat/>
    <w:uiPriority w:val="99"/>
    <w:pPr>
      <w:keepNext/>
      <w:keepLines/>
      <w:spacing w:before="260" w:after="260" w:line="416" w:lineRule="auto"/>
      <w:ind w:firstLine="0" w:firstLineChars="0"/>
      <w:outlineLvl w:val="1"/>
    </w:pPr>
    <w:rPr>
      <w:rFonts w:ascii="Calibri Light" w:hAnsi="Calibri Light"/>
      <w:b/>
      <w:bCs/>
      <w:sz w:val="32"/>
      <w:szCs w:val="32"/>
    </w:rPr>
  </w:style>
  <w:style w:type="paragraph" w:styleId="6">
    <w:name w:val="heading 3"/>
    <w:basedOn w:val="1"/>
    <w:next w:val="1"/>
    <w:semiHidden/>
    <w:unhideWhenUsed/>
    <w:qFormat/>
    <w:uiPriority w:val="0"/>
    <w:pPr>
      <w:spacing w:beforeAutospacing="1" w:afterAutospacing="1"/>
      <w:jc w:val="left"/>
      <w:outlineLvl w:val="2"/>
    </w:pPr>
    <w:rPr>
      <w:rFonts w:hint="eastAsia" w:ascii="宋体" w:hAnsi="宋体" w:cs="Times New Roman"/>
      <w:b/>
      <w:bCs/>
      <w:kern w:val="0"/>
      <w:sz w:val="27"/>
      <w:szCs w:val="27"/>
    </w:rPr>
  </w:style>
  <w:style w:type="paragraph" w:styleId="7">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17">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w:basedOn w:val="3"/>
    <w:next w:val="3"/>
    <w:qFormat/>
    <w:uiPriority w:val="0"/>
    <w:pPr>
      <w:spacing w:after="120" w:line="240" w:lineRule="auto"/>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8">
    <w:name w:val="Plain Text"/>
    <w:basedOn w:val="1"/>
    <w:qFormat/>
    <w:uiPriority w:val="0"/>
    <w:rPr>
      <w:rFonts w:ascii="宋体" w:hAnsi="Courier New"/>
    </w:rPr>
  </w:style>
  <w:style w:type="paragraph" w:styleId="9">
    <w:name w:val="footer"/>
    <w:basedOn w:val="1"/>
    <w:unhideWhenUsed/>
    <w:qFormat/>
    <w:uiPriority w:val="99"/>
    <w:pPr>
      <w:tabs>
        <w:tab w:val="center" w:pos="4153"/>
        <w:tab w:val="right" w:pos="8306"/>
      </w:tabs>
      <w:snapToGrid w:val="0"/>
      <w:jc w:val="left"/>
    </w:pPr>
    <w:rPr>
      <w:sz w:val="18"/>
      <w:szCs w:val="18"/>
    </w:rPr>
  </w:style>
  <w:style w:type="paragraph" w:styleId="10">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1">
    <w:name w:val="toc 1"/>
    <w:next w:val="1"/>
    <w:unhideWhenUsed/>
    <w:qFormat/>
    <w:uiPriority w:val="39"/>
    <w:pPr>
      <w:spacing w:beforeLines="38" w:afterLines="38"/>
    </w:pPr>
    <w:rPr>
      <w:rFonts w:ascii="Times New Roman" w:hAnsi="Times New Roman" w:eastAsia="宋体" w:cs="Times New Roman"/>
      <w:b/>
      <w:bCs/>
      <w:lang w:val="en-US" w:eastAsia="zh-CN" w:bidi="ar-SA"/>
    </w:rPr>
  </w:style>
  <w:style w:type="paragraph" w:styleId="12">
    <w:name w:val="toc 2"/>
    <w:basedOn w:val="1"/>
    <w:next w:val="1"/>
    <w:unhideWhenUsed/>
    <w:qFormat/>
    <w:uiPriority w:val="39"/>
    <w:pPr>
      <w:ind w:left="210"/>
      <w:jc w:val="left"/>
    </w:pPr>
    <w:rPr>
      <w:rFonts w:ascii="Times New Roman" w:hAnsi="Times New Roman" w:cs="Times New Roman"/>
      <w:smallCaps/>
      <w:sz w:val="20"/>
      <w:szCs w:val="20"/>
    </w:rPr>
  </w:style>
  <w:style w:type="paragraph" w:styleId="13">
    <w:name w:val="Normal (Web)"/>
    <w:basedOn w:val="1"/>
    <w:qFormat/>
    <w:uiPriority w:val="0"/>
    <w:pPr>
      <w:spacing w:before="0" w:beforeAutospacing="1" w:after="0" w:afterAutospacing="1"/>
      <w:ind w:left="0" w:right="0"/>
      <w:jc w:val="left"/>
    </w:pPr>
    <w:rPr>
      <w:kern w:val="0"/>
      <w:sz w:val="24"/>
      <w:lang w:val="en-US" w:eastAsia="zh-CN" w:bidi="ar"/>
    </w:rPr>
  </w:style>
  <w:style w:type="table" w:styleId="15">
    <w:name w:val="Table Grid"/>
    <w:basedOn w:val="14"/>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6">
    <w:name w:val="Table Professional"/>
    <w:basedOn w:val="14"/>
    <w:unhideWhenUsed/>
    <w:qFormat/>
    <w:uiPriority w:val="99"/>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b/>
        <w:bCs/>
        <w:color w:val="auto"/>
      </w:rPr>
      <w:tblPr/>
      <w:tcPr>
        <w:tcBorders>
          <w:top w:val="nil"/>
          <w:left w:val="nil"/>
          <w:bottom w:val="nil"/>
          <w:right w:val="nil"/>
          <w:insideH w:val="nil"/>
          <w:insideV w:val="nil"/>
          <w:tl2br w:val="nil"/>
          <w:tr2bl w:val="nil"/>
        </w:tcBorders>
        <w:shd w:val="solid" w:color="000000" w:fill="FFFFFF"/>
      </w:tcPr>
    </w:tblStylePr>
  </w:style>
  <w:style w:type="character" w:styleId="18">
    <w:name w:val="Strong"/>
    <w:basedOn w:val="17"/>
    <w:qFormat/>
    <w:uiPriority w:val="22"/>
    <w:rPr>
      <w:b/>
    </w:rPr>
  </w:style>
  <w:style w:type="character" w:styleId="19">
    <w:name w:val="Hyperlink"/>
    <w:basedOn w:val="17"/>
    <w:qFormat/>
    <w:uiPriority w:val="0"/>
    <w:rPr>
      <w:color w:val="0000FF"/>
      <w:u w:val="single"/>
    </w:rPr>
  </w:style>
  <w:style w:type="paragraph" w:customStyle="1" w:styleId="20">
    <w:name w:val="标准正文1 首行缩进:  0.85 厘米 + 首行缩进:  2 字符"/>
    <w:basedOn w:val="1"/>
    <w:qFormat/>
    <w:uiPriority w:val="0"/>
    <w:pPr>
      <w:spacing w:line="300" w:lineRule="auto"/>
      <w:jc w:val="left"/>
    </w:pPr>
    <w:rPr>
      <w:rFonts w:ascii="Times New Roman" w:hAnsi="Times New Roman" w:eastAsia="仿宋_GB2312" w:cs="宋体"/>
      <w:szCs w:val="20"/>
    </w:rPr>
  </w:style>
  <w:style w:type="paragraph" w:customStyle="1" w:styleId="21">
    <w:name w:val="List Paragraph1"/>
    <w:basedOn w:val="1"/>
    <w:qFormat/>
    <w:uiPriority w:val="99"/>
    <w:pPr>
      <w:ind w:firstLine="420"/>
    </w:pPr>
  </w:style>
  <w:style w:type="paragraph" w:customStyle="1" w:styleId="22">
    <w:name w:val="列出段落1"/>
    <w:basedOn w:val="1"/>
    <w:qFormat/>
    <w:uiPriority w:val="34"/>
    <w:pPr>
      <w:ind w:firstLine="420"/>
    </w:pPr>
  </w:style>
  <w:style w:type="character" w:customStyle="1" w:styleId="23">
    <w:name w:val="标题 2 Char"/>
    <w:link w:val="5"/>
    <w:qFormat/>
    <w:uiPriority w:val="99"/>
    <w:rPr>
      <w:rFonts w:ascii="Calibri Light" w:hAnsi="Calibri Light"/>
      <w:b/>
      <w:bCs/>
      <w:sz w:val="32"/>
      <w:szCs w:val="32"/>
    </w:rPr>
  </w:style>
  <w:style w:type="character" w:customStyle="1" w:styleId="24">
    <w:name w:val="标题 1 Char"/>
    <w:link w:val="4"/>
    <w:qFormat/>
    <w:uiPriority w:val="9"/>
    <w:rPr>
      <w:b/>
      <w:bCs/>
      <w:kern w:val="44"/>
      <w:sz w:val="44"/>
      <w:szCs w:val="4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3263</Words>
  <Characters>3508</Characters>
  <Lines>54</Lines>
  <Paragraphs>15</Paragraphs>
  <TotalTime>0</TotalTime>
  <ScaleCrop>false</ScaleCrop>
  <LinksUpToDate>false</LinksUpToDate>
  <CharactersWithSpaces>3599</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2024-04-28T01:59:00Z</dcterms:created>
  <dc:creator>左边口袋</dc:creator>
  <cp:lastModifiedBy>李星煌</cp:lastModifiedBy>
  <dcterms:modified xsi:type="dcterms:W3CDTF">2025-11-13T11:36:58Z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779509DC1F6D4F979526EE19F83C97B4_13</vt:lpwstr>
  </property>
  <property fmtid="{D5CDD505-2E9C-101B-9397-08002B2CF9AE}" pid="4" name="KSOTemplateDocerSaveRecord">
    <vt:lpwstr>eyJoZGlkIjoiY2RjMWQzMTkxODM4YmEzMDg4NjliMmVlMDZhOGU1MjEifQ==</vt:lpwstr>
  </property>
</Properties>
</file>