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-52070</wp:posOffset>
                </wp:positionH>
                <wp:positionV relativeFrom="paragraph">
                  <wp:posOffset>818515</wp:posOffset>
                </wp:positionV>
                <wp:extent cx="5902960" cy="2814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02960" cy="281495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w:t>
                            </w:r>
                            <w:r>
                              <w:rPr>
                                <w:rFonts w:hint="eastAsia" w:ascii="微软雅黑" w:hAnsi="微软雅黑" w:eastAsia="微软雅黑"/>
                                <w:sz w:val="52"/>
                                <w:szCs w:val="52"/>
                                <w:highlight w:val="none"/>
                                <w:lang w:eastAsia="zh-CN"/>
                              </w:rPr>
                              <w:t>务（</w:t>
                            </w:r>
                            <w:r>
                              <w:rPr>
                                <w:rFonts w:hint="default" w:ascii="微软雅黑" w:hAnsi="微软雅黑" w:eastAsia="微软雅黑"/>
                                <w:sz w:val="52"/>
                                <w:szCs w:val="52"/>
                                <w:highlight w:val="none"/>
                                <w:lang w:val="en-US" w:eastAsia="zh-CN"/>
                              </w:rPr>
                              <w:t>基于无人机安装的铁塔防鸟刺部署装置</w:t>
                            </w:r>
                            <w:r>
                              <w:rPr>
                                <w:rFonts w:hint="eastAsia" w:ascii="微软雅黑" w:hAnsi="微软雅黑" w:eastAsia="微软雅黑"/>
                                <w:sz w:val="52"/>
                                <w:szCs w:val="52"/>
                                <w:highlight w:val="none"/>
                                <w:lang w:val="en-US" w:eastAsia="zh-CN"/>
                              </w:rPr>
                              <w:t>的研究</w:t>
                            </w:r>
                            <w:r>
                              <w:rPr>
                                <w:rFonts w:hint="eastAsia" w:ascii="微软雅黑" w:hAnsi="微软雅黑" w:eastAsia="微软雅黑"/>
                                <w:sz w:val="52"/>
                                <w:szCs w:val="52"/>
                                <w:highlight w:val="none"/>
                                <w:lang w:eastAsia="zh-CN"/>
                              </w:rPr>
                              <w:t>）零</w:t>
                            </w:r>
                            <w:r>
                              <w:rPr>
                                <w:rFonts w:hint="eastAsia" w:ascii="微软雅黑" w:hAnsi="微软雅黑" w:eastAsia="微软雅黑"/>
                                <w:sz w:val="52"/>
                                <w:szCs w:val="52"/>
                                <w:lang w:eastAsia="zh-CN"/>
                              </w:rPr>
                              <w:t>星采购项目</w:t>
                            </w:r>
                          </w:p>
                        </w:txbxContent>
                      </wps:txbx>
                      <wps:bodyPr upright="1">
                        <a:noAutofit/>
                      </wps:bodyPr>
                    </wps:wsp>
                  </a:graphicData>
                </a:graphic>
              </wp:anchor>
            </w:drawing>
          </mc:Choice>
          <mc:Fallback>
            <w:pict>
              <v:shape id="_x0000_s1026" o:spid="_x0000_s1026" o:spt="202" type="#_x0000_t202" style="position:absolute;left:0pt;margin-left:-4.1pt;margin-top:64.45pt;height:221.65pt;width:464.8pt;z-index:251660288;mso-width-relative:page;mso-height-relative:page;" filled="f" stroked="f" coordsize="21600,21600" o:gfxdata="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6JYu9cAAAAKAQAADwAAAAAAAAABACAAAAAiAAAAZHJzL2Rvd25yZXYueG1sUEsBAhQA&#10;FAAAAAgAh07iQFohhcS6AQAAaQMAAA4AAAAAAAAAAQAgAAAAJgEAAGRycy9lMm9Eb2MueG1sUEsF&#10;BgAAAAAGAAYAWQEAAFIFA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w:t>
                      </w:r>
                      <w:r>
                        <w:rPr>
                          <w:rFonts w:hint="eastAsia" w:ascii="微软雅黑" w:hAnsi="微软雅黑" w:eastAsia="微软雅黑"/>
                          <w:sz w:val="52"/>
                          <w:szCs w:val="52"/>
                          <w:highlight w:val="none"/>
                          <w:lang w:eastAsia="zh-CN"/>
                        </w:rPr>
                        <w:t>务（</w:t>
                      </w:r>
                      <w:r>
                        <w:rPr>
                          <w:rFonts w:hint="default" w:ascii="微软雅黑" w:hAnsi="微软雅黑" w:eastAsia="微软雅黑"/>
                          <w:sz w:val="52"/>
                          <w:szCs w:val="52"/>
                          <w:highlight w:val="none"/>
                          <w:lang w:val="en-US" w:eastAsia="zh-CN"/>
                        </w:rPr>
                        <w:t>基于无人机安装的铁塔防鸟刺部署装置</w:t>
                      </w:r>
                      <w:r>
                        <w:rPr>
                          <w:rFonts w:hint="eastAsia" w:ascii="微软雅黑" w:hAnsi="微软雅黑" w:eastAsia="微软雅黑"/>
                          <w:sz w:val="52"/>
                          <w:szCs w:val="52"/>
                          <w:highlight w:val="none"/>
                          <w:lang w:val="en-US" w:eastAsia="zh-CN"/>
                        </w:rPr>
                        <w:t>的研究</w:t>
                      </w:r>
                      <w:r>
                        <w:rPr>
                          <w:rFonts w:hint="eastAsia" w:ascii="微软雅黑" w:hAnsi="微软雅黑" w:eastAsia="微软雅黑"/>
                          <w:sz w:val="52"/>
                          <w:szCs w:val="52"/>
                          <w:highlight w:val="none"/>
                          <w:lang w:eastAsia="zh-CN"/>
                        </w:rPr>
                        <w:t>）零</w:t>
                      </w:r>
                      <w:r>
                        <w:rPr>
                          <w:rFonts w:hint="eastAsia" w:ascii="微软雅黑" w:hAnsi="微软雅黑" w:eastAsia="微软雅黑"/>
                          <w:sz w:val="52"/>
                          <w:szCs w:val="52"/>
                          <w:lang w:eastAsia="zh-CN"/>
                        </w:rPr>
                        <w:t>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highlight w:val="none"/>
                              </w:rPr>
                            </w:pPr>
                            <w:r>
                              <w:rPr>
                                <w:rFonts w:hint="eastAsia"/>
                                <w:sz w:val="28"/>
                                <w:szCs w:val="28"/>
                                <w:highlight w:val="none"/>
                              </w:rPr>
                              <w:t>202</w:t>
                            </w:r>
                            <w:r>
                              <w:rPr>
                                <w:rFonts w:hint="eastAsia"/>
                                <w:sz w:val="28"/>
                                <w:szCs w:val="28"/>
                                <w:highlight w:val="none"/>
                                <w:lang w:val="en-US" w:eastAsia="zh-CN"/>
                              </w:rPr>
                              <w:t>5</w:t>
                            </w:r>
                            <w:r>
                              <w:rPr>
                                <w:rFonts w:hint="eastAsia"/>
                                <w:sz w:val="28"/>
                                <w:szCs w:val="28"/>
                                <w:highlight w:val="none"/>
                              </w:rPr>
                              <w:t>年</w:t>
                            </w:r>
                            <w:r>
                              <w:rPr>
                                <w:rFonts w:hint="eastAsia"/>
                                <w:sz w:val="28"/>
                                <w:szCs w:val="28"/>
                                <w:highlight w:val="none"/>
                                <w:lang w:val="en-US" w:eastAsia="zh-CN"/>
                              </w:rPr>
                              <w:t>11</w:t>
                            </w:r>
                            <w:r>
                              <w:rPr>
                                <w:rFonts w:hint="eastAsia"/>
                                <w:sz w:val="28"/>
                                <w:szCs w:val="28"/>
                                <w:highlight w:val="none"/>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highlight w:val="none"/>
                        </w:rPr>
                      </w:pPr>
                      <w:r>
                        <w:rPr>
                          <w:rFonts w:hint="eastAsia"/>
                          <w:sz w:val="28"/>
                          <w:szCs w:val="28"/>
                          <w:highlight w:val="none"/>
                        </w:rPr>
                        <w:t>202</w:t>
                      </w:r>
                      <w:r>
                        <w:rPr>
                          <w:rFonts w:hint="eastAsia"/>
                          <w:sz w:val="28"/>
                          <w:szCs w:val="28"/>
                          <w:highlight w:val="none"/>
                          <w:lang w:val="en-US" w:eastAsia="zh-CN"/>
                        </w:rPr>
                        <w:t>5</w:t>
                      </w:r>
                      <w:r>
                        <w:rPr>
                          <w:rFonts w:hint="eastAsia"/>
                          <w:sz w:val="28"/>
                          <w:szCs w:val="28"/>
                          <w:highlight w:val="none"/>
                        </w:rPr>
                        <w:t>年</w:t>
                      </w:r>
                      <w:r>
                        <w:rPr>
                          <w:rFonts w:hint="eastAsia"/>
                          <w:sz w:val="28"/>
                          <w:szCs w:val="28"/>
                          <w:highlight w:val="none"/>
                          <w:lang w:val="en-US" w:eastAsia="zh-CN"/>
                        </w:rPr>
                        <w:t>11</w:t>
                      </w:r>
                      <w:r>
                        <w:rPr>
                          <w:rFonts w:hint="eastAsia"/>
                          <w:sz w:val="28"/>
                          <w:szCs w:val="28"/>
                          <w:highlight w:val="none"/>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1123950</wp:posOffset>
                </wp:positionH>
                <wp:positionV relativeFrom="paragraph">
                  <wp:posOffset>810260</wp:posOffset>
                </wp:positionV>
                <wp:extent cx="3266440"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266440"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88.5pt;margin-top:63.8pt;height:37.2pt;width:257.2pt;z-index:251661312;mso-width-relative:page;mso-height-relative:page;" filled="f" stroked="f" coordsize="21600,21600" o:gfxdata="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BWDD+2AAA&#10;AAsBAAAPAAAAAAAAAAEAIAAAACIAAABkcnMvZG93bnJldi54bWxQSwECFAAUAAAACACHTuJAmKAL&#10;2KwBAABOAwAADgAAAAAAAAABACAAAAAnAQAAZHJzL2Uyb0RvYy54bWxQSwUGAAAAAAYABgBZAQAA&#10;RQU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1"/>
        <w:tabs>
          <w:tab w:val="right" w:leader="dot" w:pos="8306"/>
        </w:tabs>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rPr>
          <w:rFonts w:eastAsia="仿宋_GB2312"/>
          <w:color w:val="000000"/>
        </w:rPr>
        <w:fldChar w:fldCharType="begin"/>
      </w:r>
      <w:r>
        <w:rPr>
          <w:rFonts w:eastAsia="仿宋_GB2312"/>
        </w:rPr>
        <w:instrText xml:space="preserve"> HYPERLINK \l _Toc18121 </w:instrText>
      </w:r>
      <w:r>
        <w:rPr>
          <w:rFonts w:eastAsia="仿宋_GB2312"/>
        </w:rPr>
        <w:fldChar w:fldCharType="separate"/>
      </w:r>
      <w:r>
        <w:rPr>
          <w:rFonts w:hint="eastAsia"/>
        </w:rPr>
        <w:t>一、总则</w:t>
      </w:r>
      <w:r>
        <w:tab/>
      </w:r>
      <w:r>
        <w:fldChar w:fldCharType="begin"/>
      </w:r>
      <w:r>
        <w:instrText xml:space="preserve"> PAGEREF _Toc18121 \h </w:instrText>
      </w:r>
      <w:r>
        <w:fldChar w:fldCharType="separate"/>
      </w:r>
      <w:r>
        <w:t>1</w:t>
      </w:r>
      <w:r>
        <w:fldChar w:fldCharType="end"/>
      </w:r>
      <w:r>
        <w:rPr>
          <w:rFonts w:eastAsia="仿宋_GB2312"/>
          <w:color w:val="000000"/>
        </w:rPr>
        <w:fldChar w:fldCharType="end"/>
      </w:r>
    </w:p>
    <w:p>
      <w:pPr>
        <w:pStyle w:val="12"/>
        <w:tabs>
          <w:tab w:val="right" w:leader="dot" w:pos="8306"/>
        </w:tabs>
      </w:pPr>
      <w:r>
        <w:fldChar w:fldCharType="begin"/>
      </w:r>
      <w:r>
        <w:instrText xml:space="preserve"> HYPERLINK \l _Toc6979 </w:instrText>
      </w:r>
      <w:r>
        <w:fldChar w:fldCharType="separate"/>
      </w:r>
      <w:r>
        <w:rPr>
          <w:rFonts w:hint="eastAsia"/>
        </w:rPr>
        <w:t>1.1</w:t>
      </w:r>
      <w:r>
        <w:t xml:space="preserve"> </w:t>
      </w:r>
      <w:r>
        <w:rPr>
          <w:rFonts w:hint="eastAsia"/>
        </w:rPr>
        <w:t>一般要求</w:t>
      </w:r>
      <w:r>
        <w:tab/>
      </w:r>
      <w:r>
        <w:fldChar w:fldCharType="begin"/>
      </w:r>
      <w:r>
        <w:instrText xml:space="preserve"> PAGEREF _Toc6979 \h </w:instrText>
      </w:r>
      <w:r>
        <w:fldChar w:fldCharType="separate"/>
      </w:r>
      <w:r>
        <w:t>1</w:t>
      </w:r>
      <w:r>
        <w:fldChar w:fldCharType="end"/>
      </w:r>
      <w:r>
        <w:fldChar w:fldCharType="end"/>
      </w:r>
    </w:p>
    <w:p>
      <w:pPr>
        <w:pStyle w:val="12"/>
        <w:tabs>
          <w:tab w:val="right" w:leader="dot" w:pos="8306"/>
        </w:tabs>
      </w:pPr>
      <w:r>
        <w:fldChar w:fldCharType="begin"/>
      </w:r>
      <w:r>
        <w:instrText xml:space="preserve"> HYPERLINK \l _Toc21511 </w:instrText>
      </w:r>
      <w:r>
        <w:fldChar w:fldCharType="separate"/>
      </w:r>
      <w:r>
        <w:rPr>
          <w:rFonts w:hint="eastAsia"/>
        </w:rPr>
        <w:t>1.2</w:t>
      </w:r>
      <w:r>
        <w:t>标准和规范</w:t>
      </w:r>
      <w:r>
        <w:tab/>
      </w:r>
      <w:r>
        <w:fldChar w:fldCharType="begin"/>
      </w:r>
      <w:r>
        <w:instrText xml:space="preserve"> PAGEREF _Toc21511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_Toc6871 </w:instrText>
      </w:r>
      <w:r>
        <w:fldChar w:fldCharType="separate"/>
      </w:r>
      <w:r>
        <w:rPr>
          <w:rFonts w:hint="eastAsia"/>
        </w:rPr>
        <w:t>二、技术要求</w:t>
      </w:r>
      <w:r>
        <w:tab/>
      </w:r>
      <w:r>
        <w:fldChar w:fldCharType="begin"/>
      </w:r>
      <w:r>
        <w:instrText xml:space="preserve"> PAGEREF _Toc6871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_Toc30722 </w:instrText>
      </w:r>
      <w: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_Toc30722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_Toc31968 </w:instrText>
      </w:r>
      <w:r>
        <w:fldChar w:fldCharType="separate"/>
      </w:r>
      <w:r>
        <w:rPr>
          <w:rFonts w:hint="eastAsia" w:ascii="宋体" w:hAnsi="宋体" w:cs="宋体"/>
          <w:szCs w:val="24"/>
          <w:lang w:val="en-US" w:eastAsia="zh-CN"/>
        </w:rPr>
        <w:t>2</w:t>
      </w:r>
      <w:r>
        <w:rPr>
          <w:rFonts w:hint="eastAsia" w:ascii="宋体" w:hAnsi="宋体" w:cs="宋体"/>
          <w:szCs w:val="24"/>
        </w:rPr>
        <w:t>.2</w:t>
      </w:r>
      <w:r>
        <w:rPr>
          <w:rFonts w:hint="eastAsia" w:ascii="宋体" w:hAnsi="宋体" w:cs="宋体"/>
          <w:szCs w:val="24"/>
          <w:lang w:val="en-US" w:eastAsia="zh-CN"/>
        </w:rPr>
        <w:t xml:space="preserve"> </w:t>
      </w:r>
      <w:r>
        <w:rPr>
          <w:rFonts w:hint="eastAsia" w:ascii="宋体" w:hAnsi="宋体" w:cs="宋体"/>
          <w:szCs w:val="24"/>
        </w:rPr>
        <w:t>项目研究内容</w:t>
      </w:r>
      <w:r>
        <w:tab/>
      </w:r>
      <w:r>
        <w:fldChar w:fldCharType="begin"/>
      </w:r>
      <w:r>
        <w:instrText xml:space="preserve"> PAGEREF _Toc31968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_Toc17813 </w:instrText>
      </w:r>
      <w:r>
        <w:fldChar w:fldCharType="separate"/>
      </w:r>
      <w:r>
        <w:rPr>
          <w:rFonts w:hint="eastAsia" w:ascii="宋体" w:hAnsi="宋体" w:cs="宋体"/>
          <w:szCs w:val="24"/>
          <w:lang w:val="en-US" w:eastAsia="zh-CN"/>
        </w:rPr>
        <w:t>2</w:t>
      </w:r>
      <w:r>
        <w:rPr>
          <w:rFonts w:hint="eastAsia" w:ascii="宋体" w:hAnsi="宋体" w:cs="宋体"/>
          <w:szCs w:val="24"/>
        </w:rPr>
        <w:t>.3</w:t>
      </w:r>
      <w:r>
        <w:rPr>
          <w:rFonts w:hint="eastAsia" w:ascii="宋体" w:hAnsi="宋体" w:cs="宋体"/>
          <w:szCs w:val="24"/>
          <w:lang w:val="en-US" w:eastAsia="zh-CN"/>
        </w:rPr>
        <w:t xml:space="preserve"> </w:t>
      </w:r>
      <w:r>
        <w:rPr>
          <w:rFonts w:hint="eastAsia" w:ascii="宋体" w:hAnsi="宋体" w:cs="宋体"/>
          <w:szCs w:val="24"/>
        </w:rPr>
        <w:t>技术指标要求</w:t>
      </w:r>
      <w:r>
        <w:tab/>
      </w:r>
      <w:r>
        <w:fldChar w:fldCharType="begin"/>
      </w:r>
      <w:r>
        <w:instrText xml:space="preserve"> PAGEREF _Toc17813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_Toc8248 </w:instrText>
      </w:r>
      <w:r>
        <w:fldChar w:fldCharType="separate"/>
      </w:r>
      <w:r>
        <w:rPr>
          <w:rFonts w:hint="eastAsia" w:ascii="宋体" w:hAnsi="宋体" w:cs="宋体"/>
          <w:szCs w:val="24"/>
          <w:lang w:val="en-US" w:eastAsia="zh-CN"/>
        </w:rPr>
        <w:t>2</w:t>
      </w:r>
      <w:r>
        <w:rPr>
          <w:rFonts w:hint="eastAsia" w:ascii="宋体" w:hAnsi="宋体" w:cs="宋体"/>
          <w:szCs w:val="24"/>
        </w:rPr>
        <w:t>.4</w:t>
      </w:r>
      <w:r>
        <w:rPr>
          <w:rFonts w:hint="eastAsia" w:ascii="宋体" w:hAnsi="宋体" w:cs="宋体"/>
          <w:szCs w:val="24"/>
          <w:lang w:val="en-US" w:eastAsia="zh-CN"/>
        </w:rPr>
        <w:t xml:space="preserve"> </w:t>
      </w:r>
      <w:r>
        <w:rPr>
          <w:rFonts w:hint="eastAsia" w:ascii="宋体" w:hAnsi="宋体" w:cs="宋体"/>
          <w:szCs w:val="24"/>
        </w:rPr>
        <w:t>设备研究所需材料</w:t>
      </w:r>
      <w:r>
        <w:tab/>
      </w:r>
      <w:r>
        <w:fldChar w:fldCharType="begin"/>
      </w:r>
      <w:r>
        <w:instrText xml:space="preserve"> PAGEREF _Toc8248 \h </w:instrText>
      </w:r>
      <w:r>
        <w:fldChar w:fldCharType="separate"/>
      </w:r>
      <w:r>
        <w:t>5</w:t>
      </w:r>
      <w:r>
        <w:fldChar w:fldCharType="end"/>
      </w:r>
      <w:r>
        <w:fldChar w:fldCharType="end"/>
      </w:r>
    </w:p>
    <w:p>
      <w:pPr>
        <w:pStyle w:val="12"/>
        <w:tabs>
          <w:tab w:val="right" w:leader="dot" w:pos="8306"/>
        </w:tabs>
      </w:pPr>
      <w:r>
        <w:fldChar w:fldCharType="begin"/>
      </w:r>
      <w:r>
        <w:instrText xml:space="preserve"> HYPERLINK \l _Toc502 </w:instrText>
      </w:r>
      <w:r>
        <w:fldChar w:fldCharType="separate"/>
      </w:r>
      <w:r>
        <w:rPr>
          <w:rFonts w:hint="eastAsia" w:ascii="宋体" w:hAnsi="宋体" w:cs="宋体"/>
          <w:szCs w:val="24"/>
          <w:lang w:val="en-US" w:eastAsia="zh-CN"/>
        </w:rPr>
        <w:t>2</w:t>
      </w:r>
      <w:r>
        <w:rPr>
          <w:rFonts w:hint="eastAsia" w:ascii="宋体" w:hAnsi="宋体" w:cs="宋体"/>
          <w:szCs w:val="24"/>
        </w:rPr>
        <w:t>.5</w:t>
      </w:r>
      <w:r>
        <w:rPr>
          <w:rFonts w:hint="eastAsia" w:ascii="宋体" w:hAnsi="宋体" w:cs="宋体"/>
          <w:szCs w:val="24"/>
          <w:lang w:val="en-US" w:eastAsia="zh-CN"/>
        </w:rPr>
        <w:t xml:space="preserve"> </w:t>
      </w:r>
      <w:r>
        <w:rPr>
          <w:rFonts w:hint="eastAsia" w:ascii="宋体" w:hAnsi="宋体" w:cs="宋体"/>
          <w:szCs w:val="24"/>
        </w:rPr>
        <w:t>加工服务地点和期限</w:t>
      </w:r>
      <w:r>
        <w:tab/>
      </w:r>
      <w:r>
        <w:fldChar w:fldCharType="begin"/>
      </w:r>
      <w:r>
        <w:instrText xml:space="preserve"> PAGEREF _Toc502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_Toc6137 </w:instrText>
      </w:r>
      <w:r>
        <w:fldChar w:fldCharType="separate"/>
      </w:r>
      <w:r>
        <w:rPr>
          <w:rFonts w:hint="eastAsia"/>
        </w:rPr>
        <w:t>三、研究开发成果交付物</w:t>
      </w:r>
      <w:r>
        <w:tab/>
      </w:r>
      <w:r>
        <w:fldChar w:fldCharType="begin"/>
      </w:r>
      <w:r>
        <w:instrText xml:space="preserve"> PAGEREF _Toc6137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_Toc13225 </w:instrText>
      </w:r>
      <w:r>
        <w:fldChar w:fldCharType="separate"/>
      </w:r>
      <w:r>
        <w:rPr>
          <w:rFonts w:hint="eastAsia"/>
        </w:rPr>
        <w:t>四、开发人员</w:t>
      </w:r>
      <w:r>
        <w:tab/>
      </w:r>
      <w:r>
        <w:fldChar w:fldCharType="begin"/>
      </w:r>
      <w:r>
        <w:instrText xml:space="preserve"> PAGEREF _Toc13225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_Toc22815 </w:instrText>
      </w:r>
      <w:r>
        <w:fldChar w:fldCharType="separate"/>
      </w:r>
      <w:r>
        <w:rPr>
          <w:rFonts w:hint="eastAsia"/>
        </w:rPr>
        <w:t>五、投标技术文件编制要求</w:t>
      </w:r>
      <w:r>
        <w:tab/>
      </w:r>
      <w:r>
        <w:fldChar w:fldCharType="begin"/>
      </w:r>
      <w:r>
        <w:instrText xml:space="preserve"> PAGEREF _Toc22815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_Toc2588 </w:instrText>
      </w:r>
      <w:r>
        <w:fldChar w:fldCharType="separate"/>
      </w:r>
      <w:r>
        <w:rPr>
          <w:rFonts w:hint="eastAsia"/>
        </w:rPr>
        <w:t>5.1</w:t>
      </w:r>
      <w:r>
        <w:t xml:space="preserve"> </w:t>
      </w:r>
      <w:r>
        <w:rPr>
          <w:rFonts w:hint="eastAsia"/>
        </w:rPr>
        <w:t>研究内容</w:t>
      </w:r>
      <w:r>
        <w:tab/>
      </w:r>
      <w:r>
        <w:fldChar w:fldCharType="begin"/>
      </w:r>
      <w:r>
        <w:instrText xml:space="preserve"> PAGEREF _Toc2588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_Toc12859 </w:instrText>
      </w:r>
      <w:r>
        <w:fldChar w:fldCharType="separate"/>
      </w:r>
      <w:r>
        <w:rPr>
          <w:rFonts w:hint="eastAsia"/>
        </w:rPr>
        <w:t>5.</w:t>
      </w:r>
      <w:r>
        <w:t xml:space="preserve">2 </w:t>
      </w:r>
      <w:r>
        <w:rPr>
          <w:rFonts w:hint="eastAsia"/>
        </w:rPr>
        <w:t>研究思路与技术路线</w:t>
      </w:r>
      <w:r>
        <w:tab/>
      </w:r>
      <w:r>
        <w:fldChar w:fldCharType="begin"/>
      </w:r>
      <w:r>
        <w:instrText xml:space="preserve"> PAGEREF _Toc12859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_Toc27403 </w:instrText>
      </w:r>
      <w:r>
        <w:fldChar w:fldCharType="separate"/>
      </w:r>
      <w:r>
        <w:rPr>
          <w:rFonts w:hint="eastAsia"/>
        </w:rPr>
        <w:t>5.</w:t>
      </w:r>
      <w:r>
        <w:t xml:space="preserve">3 </w:t>
      </w:r>
      <w:r>
        <w:rPr>
          <w:rFonts w:hint="eastAsia"/>
        </w:rPr>
        <w:t>研究进度目标及指标</w:t>
      </w:r>
      <w:r>
        <w:tab/>
      </w:r>
      <w:r>
        <w:fldChar w:fldCharType="begin"/>
      </w:r>
      <w:r>
        <w:instrText xml:space="preserve"> PAGEREF _Toc27403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_Toc17858 </w:instrText>
      </w:r>
      <w:r>
        <w:fldChar w:fldCharType="separate"/>
      </w:r>
      <w:r>
        <w:rPr>
          <w:rFonts w:hint="eastAsia"/>
        </w:rPr>
        <w:t>5.</w:t>
      </w:r>
      <w:r>
        <w:t xml:space="preserve">4 </w:t>
      </w:r>
      <w:r>
        <w:rPr>
          <w:rFonts w:hint="eastAsia"/>
        </w:rPr>
        <w:t>项目实施的组织、管理</w:t>
      </w:r>
      <w:r>
        <w:tab/>
      </w:r>
      <w:r>
        <w:fldChar w:fldCharType="begin"/>
      </w:r>
      <w:r>
        <w:instrText xml:space="preserve"> PAGEREF _Toc17858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_Toc7198 </w:instrText>
      </w:r>
      <w:r>
        <w:fldChar w:fldCharType="separate"/>
      </w:r>
      <w:r>
        <w:rPr>
          <w:rFonts w:hint="eastAsia"/>
        </w:rPr>
        <w:t>5.</w:t>
      </w:r>
      <w:r>
        <w:t xml:space="preserve">5 </w:t>
      </w:r>
      <w:r>
        <w:rPr>
          <w:rFonts w:hint="eastAsia"/>
        </w:rPr>
        <w:t>承担能力说明</w:t>
      </w:r>
      <w:r>
        <w:tab/>
      </w:r>
      <w:r>
        <w:fldChar w:fldCharType="begin"/>
      </w:r>
      <w:r>
        <w:instrText xml:space="preserve"> PAGEREF _Toc7198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_Toc17332 </w:instrText>
      </w:r>
      <w:r>
        <w:fldChar w:fldCharType="separate"/>
      </w:r>
      <w:r>
        <w:rPr>
          <w:rFonts w:hint="eastAsia"/>
        </w:rPr>
        <w:t>5.6</w:t>
      </w:r>
      <w:r>
        <w:t xml:space="preserve"> </w:t>
      </w:r>
      <w:r>
        <w:rPr>
          <w:rFonts w:hint="eastAsia"/>
        </w:rPr>
        <w:t>成果产生的数量、形式</w:t>
      </w:r>
      <w:r>
        <w:tab/>
      </w:r>
      <w:r>
        <w:fldChar w:fldCharType="begin"/>
      </w:r>
      <w:r>
        <w:instrText xml:space="preserve"> PAGEREF _Toc17332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_Toc29281 </w:instrText>
      </w:r>
      <w:r>
        <w:fldChar w:fldCharType="separate"/>
      </w:r>
      <w:r>
        <w:rPr>
          <w:rFonts w:hint="eastAsia"/>
        </w:rPr>
        <w:t>5.7</w:t>
      </w:r>
      <w:r>
        <w:rPr>
          <w:rFonts w:hint="eastAsia"/>
          <w:lang w:val="en-US" w:eastAsia="zh-CN"/>
        </w:rPr>
        <w:t xml:space="preserve"> </w:t>
      </w:r>
      <w:r>
        <w:rPr>
          <w:rFonts w:hint="eastAsia"/>
        </w:rPr>
        <w:t>技术方案中涉及技术秘密的申明</w:t>
      </w:r>
      <w:r>
        <w:tab/>
      </w:r>
      <w:r>
        <w:fldChar w:fldCharType="begin"/>
      </w:r>
      <w:r>
        <w:instrText xml:space="preserve"> PAGEREF _Toc29281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_Toc17850 </w:instrText>
      </w:r>
      <w:r>
        <w:fldChar w:fldCharType="separate"/>
      </w:r>
      <w:r>
        <w:rPr>
          <w:rFonts w:hint="eastAsia"/>
          <w:lang w:val="en-US" w:eastAsia="zh-CN"/>
        </w:rPr>
        <w:t>5.8 售后服务承诺</w:t>
      </w:r>
      <w:r>
        <w:tab/>
      </w:r>
      <w:r>
        <w:fldChar w:fldCharType="begin"/>
      </w:r>
      <w:r>
        <w:instrText xml:space="preserve"> PAGEREF _Toc17850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_Toc32386 </w:instrText>
      </w:r>
      <w:r>
        <w:fldChar w:fldCharType="separate"/>
      </w:r>
      <w:r>
        <w:rPr>
          <w:rFonts w:hint="eastAsia"/>
          <w:bCs/>
        </w:rPr>
        <w:t>六、技术资料和文件</w:t>
      </w:r>
      <w:r>
        <w:tab/>
      </w:r>
      <w:r>
        <w:fldChar w:fldCharType="begin"/>
      </w:r>
      <w:r>
        <w:instrText xml:space="preserve"> PAGEREF _Toc32386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_Toc2277 </w:instrText>
      </w:r>
      <w:r>
        <w:fldChar w:fldCharType="separate"/>
      </w:r>
      <w:r>
        <w:rPr>
          <w:rFonts w:hint="eastAsia"/>
        </w:rPr>
        <w:t>七、项目联络</w:t>
      </w:r>
      <w:r>
        <w:tab/>
      </w:r>
      <w:r>
        <w:fldChar w:fldCharType="begin"/>
      </w:r>
      <w:r>
        <w:instrText xml:space="preserve"> PAGEREF _Toc2277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_Toc9208 </w:instrText>
      </w:r>
      <w:r>
        <w:fldChar w:fldCharType="separate"/>
      </w:r>
      <w:r>
        <w:rPr>
          <w:rFonts w:hint="eastAsia"/>
        </w:rPr>
        <w:t>八、评审与验收</w:t>
      </w:r>
      <w:r>
        <w:tab/>
      </w:r>
      <w:r>
        <w:fldChar w:fldCharType="begin"/>
      </w:r>
      <w:r>
        <w:instrText xml:space="preserve"> PAGEREF _Toc9208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_Toc23222 </w:instrText>
      </w:r>
      <w:r>
        <w:fldChar w:fldCharType="separate"/>
      </w:r>
      <w:r>
        <w:rPr>
          <w:rFonts w:hint="eastAsia"/>
        </w:rPr>
        <w:t>九、售后服务</w:t>
      </w:r>
      <w:r>
        <w:tab/>
      </w:r>
      <w:r>
        <w:fldChar w:fldCharType="begin"/>
      </w:r>
      <w:r>
        <w:instrText xml:space="preserve"> PAGEREF _Toc23222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_Toc14985 </w:instrText>
      </w:r>
      <w:r>
        <w:fldChar w:fldCharType="separate"/>
      </w:r>
      <w:r>
        <w:rPr>
          <w:rFonts w:hint="eastAsia"/>
        </w:rPr>
        <w:t>十、其他相关要求</w:t>
      </w:r>
      <w:r>
        <w:tab/>
      </w:r>
      <w:r>
        <w:fldChar w:fldCharType="begin"/>
      </w:r>
      <w:r>
        <w:instrText xml:space="preserve"> PAGEREF _Toc14985 \h </w:instrText>
      </w:r>
      <w:r>
        <w:fldChar w:fldCharType="separate"/>
      </w:r>
      <w:r>
        <w:t>12</w:t>
      </w:r>
      <w:r>
        <w:fldChar w:fldCharType="end"/>
      </w:r>
      <w:r>
        <w:fldChar w:fldCharType="end"/>
      </w:r>
    </w:p>
    <w:p>
      <w:pPr>
        <w:pStyle w:val="11"/>
        <w:tabs>
          <w:tab w:val="right" w:leader="dot" w:pos="8306"/>
        </w:tabs>
      </w:pPr>
      <w:r>
        <w:fldChar w:fldCharType="begin"/>
      </w:r>
      <w:r>
        <w:instrText xml:space="preserve"> HYPERLINK \l _Toc31513 </w:instrText>
      </w:r>
      <w:r>
        <w:fldChar w:fldCharType="separate"/>
      </w:r>
      <w:r>
        <w:rPr>
          <w:bCs/>
        </w:rPr>
        <w:t>1</w:t>
      </w:r>
      <w:r>
        <w:rPr>
          <w:rFonts w:hint="eastAsia"/>
          <w:bCs/>
        </w:rPr>
        <w:t>0</w:t>
      </w:r>
      <w:r>
        <w:rPr>
          <w:bCs/>
        </w:rPr>
        <w:t>.1</w:t>
      </w:r>
      <w:r>
        <w:rPr>
          <w:rFonts w:hint="eastAsia"/>
          <w:bCs/>
          <w:lang w:val="en-US" w:eastAsia="zh-CN"/>
        </w:rPr>
        <w:t xml:space="preserve"> </w:t>
      </w:r>
      <w:r>
        <w:rPr>
          <w:rFonts w:hint="eastAsia"/>
          <w:bCs/>
        </w:rPr>
        <w:t>技术配合</w:t>
      </w:r>
      <w:r>
        <w:tab/>
      </w:r>
      <w:r>
        <w:fldChar w:fldCharType="begin"/>
      </w:r>
      <w:r>
        <w:instrText xml:space="preserve"> PAGEREF _Toc31513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_Toc5313 </w:instrText>
      </w:r>
      <w:r>
        <w:fldChar w:fldCharType="separate"/>
      </w:r>
      <w:r>
        <w:t>1</w:t>
      </w:r>
      <w:r>
        <w:rPr>
          <w:rFonts w:hint="eastAsia"/>
        </w:rPr>
        <w:t>0</w:t>
      </w:r>
      <w:r>
        <w:t>.2</w:t>
      </w:r>
      <w:r>
        <w:rPr>
          <w:rFonts w:hint="eastAsia"/>
          <w:lang w:val="en-US" w:eastAsia="zh-CN"/>
        </w:rPr>
        <w:t xml:space="preserve"> </w:t>
      </w:r>
      <w:r>
        <w:rPr>
          <w:rFonts w:hint="eastAsia"/>
        </w:rPr>
        <w:t>现场服务</w:t>
      </w:r>
      <w:r>
        <w:tab/>
      </w:r>
      <w:r>
        <w:fldChar w:fldCharType="begin"/>
      </w:r>
      <w:r>
        <w:instrText xml:space="preserve"> PAGEREF _Toc5313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_Toc881 </w:instrText>
      </w:r>
      <w:r>
        <w:fldChar w:fldCharType="separate"/>
      </w:r>
      <w:r>
        <w:t>1</w:t>
      </w:r>
      <w:r>
        <w:rPr>
          <w:rFonts w:hint="eastAsia"/>
        </w:rPr>
        <w:t>0</w:t>
      </w:r>
      <w:r>
        <w:t>.3</w:t>
      </w:r>
      <w:r>
        <w:rPr>
          <w:rFonts w:hint="eastAsia"/>
          <w:lang w:val="en-US" w:eastAsia="zh-CN"/>
        </w:rPr>
        <w:t xml:space="preserve"> </w:t>
      </w:r>
      <w:r>
        <w:rPr>
          <w:rFonts w:hint="eastAsia"/>
        </w:rPr>
        <w:t>培训</w:t>
      </w:r>
      <w:r>
        <w:tab/>
      </w:r>
      <w:r>
        <w:fldChar w:fldCharType="begin"/>
      </w:r>
      <w:r>
        <w:instrText xml:space="preserve"> PAGEREF _Toc881 \h </w:instrText>
      </w:r>
      <w:r>
        <w:fldChar w:fldCharType="separate"/>
      </w:r>
      <w:r>
        <w:t>13</w:t>
      </w:r>
      <w:r>
        <w:fldChar w:fldCharType="end"/>
      </w:r>
      <w:r>
        <w:fldChar w:fldCharType="end"/>
      </w:r>
    </w:p>
    <w:p>
      <w:pPr>
        <w:pStyle w:val="12"/>
        <w:tabs>
          <w:tab w:val="right" w:leader="dot" w:pos="8306"/>
        </w:tabs>
      </w:pPr>
      <w:r>
        <w:fldChar w:fldCharType="begin"/>
      </w:r>
      <w:r>
        <w:instrText xml:space="preserve"> HYPERLINK \l _Toc23383 </w:instrText>
      </w:r>
      <w:r>
        <w:fldChar w:fldCharType="separate"/>
      </w:r>
      <w:r>
        <w:rPr>
          <w:rFonts w:hint="eastAsia"/>
        </w:rPr>
        <w:t>1</w:t>
      </w:r>
      <w:r>
        <w:rPr>
          <w:rFonts w:hint="eastAsia"/>
          <w:lang w:val="en-US" w:eastAsia="zh-CN"/>
        </w:rPr>
        <w:t>0</w:t>
      </w:r>
      <w:r>
        <w:rPr>
          <w:rFonts w:hint="eastAsia"/>
        </w:rPr>
        <w:t>.4 知识产权约定</w:t>
      </w:r>
      <w:r>
        <w:tab/>
      </w:r>
      <w:r>
        <w:fldChar w:fldCharType="begin"/>
      </w:r>
      <w:r>
        <w:instrText xml:space="preserve"> PAGEREF _Toc23383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_Toc8949 </w:instrText>
      </w:r>
      <w:r>
        <w:fldChar w:fldCharType="separate"/>
      </w:r>
      <w:r>
        <w:rPr>
          <w:rFonts w:hint="eastAsia"/>
        </w:rPr>
        <w:t>附件</w:t>
      </w:r>
      <w:r>
        <w:tab/>
      </w:r>
      <w:r>
        <w:fldChar w:fldCharType="begin"/>
      </w:r>
      <w:r>
        <w:instrText xml:space="preserve"> PAGEREF _Toc8949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_Toc27802 </w:instrText>
      </w:r>
      <w:r>
        <w:fldChar w:fldCharType="separate"/>
      </w:r>
      <w:r>
        <w:rPr>
          <w:rFonts w:hint="eastAsia"/>
        </w:rPr>
        <w:t>1、差异表</w:t>
      </w:r>
      <w:r>
        <w:tab/>
      </w:r>
      <w:r>
        <w:fldChar w:fldCharType="begin"/>
      </w:r>
      <w:r>
        <w:instrText xml:space="preserve"> PAGEREF _Toc27802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_Toc17121 </w:instrText>
      </w:r>
      <w:r>
        <w:fldChar w:fldCharType="separate"/>
      </w:r>
      <w:r>
        <w:rPr>
          <w:rFonts w:hint="eastAsia"/>
        </w:rPr>
        <w:t>2、投标方需要说明的其它问题</w:t>
      </w:r>
      <w:r>
        <w:tab/>
      </w:r>
      <w:r>
        <w:fldChar w:fldCharType="begin"/>
      </w:r>
      <w:r>
        <w:instrText xml:space="preserve"> PAGEREF _Toc17121 \h </w:instrText>
      </w:r>
      <w:r>
        <w:fldChar w:fldCharType="separate"/>
      </w:r>
      <w:r>
        <w:t>14</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cols w:space="720" w:num="1"/>
          <w:docGrid w:type="lines" w:linePitch="312" w:charSpace="0"/>
        </w:sectPr>
      </w:pPr>
      <w:r>
        <w:fldChar w:fldCharType="end"/>
      </w:r>
      <w:bookmarkStart w:id="0" w:name="_Toc353939550"/>
      <w:bookmarkStart w:id="1" w:name="_Toc299606277"/>
      <w:bookmarkStart w:id="2" w:name="_Toc353940788"/>
      <w:bookmarkStart w:id="3" w:name="_Toc444945507"/>
    </w:p>
    <w:p>
      <w:pPr>
        <w:pStyle w:val="4"/>
        <w:numPr>
          <w:ilvl w:val="0"/>
          <w:numId w:val="0"/>
        </w:numPr>
        <w:bidi w:val="0"/>
        <w:ind w:left="432" w:leftChars="0"/>
      </w:pPr>
      <w:bookmarkStart w:id="4" w:name="_Toc18121"/>
      <w:r>
        <w:rPr>
          <w:rFonts w:hint="eastAsia"/>
        </w:rPr>
        <w:t>一、总则</w:t>
      </w:r>
      <w:bookmarkEnd w:id="0"/>
      <w:bookmarkEnd w:id="1"/>
      <w:bookmarkEnd w:id="2"/>
      <w:bookmarkEnd w:id="3"/>
      <w:bookmarkEnd w:id="4"/>
    </w:p>
    <w:p>
      <w:pPr>
        <w:pStyle w:val="5"/>
      </w:pPr>
      <w:bookmarkStart w:id="5" w:name="_Toc444945508"/>
      <w:bookmarkStart w:id="6" w:name="_Toc6979"/>
      <w:bookmarkStart w:id="7" w:name="_Toc318799924"/>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353940791"/>
      <w:bookmarkStart w:id="9" w:name="_Toc299606280"/>
      <w:bookmarkStart w:id="10" w:name="_Toc353939553"/>
      <w:bookmarkStart w:id="11" w:name="_Toc444945511"/>
      <w:r>
        <w:rPr>
          <w:rFonts w:hint="eastAsia" w:ascii="宋体" w:hAnsi="宋体"/>
        </w:rPr>
        <w:t>1.1.1 本技术条款主要描述广西电网有限责任公司</w:t>
      </w:r>
      <w:r>
        <w:rPr>
          <w:rFonts w:hint="eastAsia" w:ascii="宋体" w:hAnsi="宋体"/>
          <w:lang w:eastAsia="zh-CN"/>
        </w:rPr>
        <w:t>防城港</w:t>
      </w:r>
      <w:r>
        <w:rPr>
          <w:rFonts w:hint="eastAsia" w:ascii="宋体" w:hAnsi="宋体"/>
        </w:rPr>
        <w:t>供</w:t>
      </w:r>
      <w:r>
        <w:rPr>
          <w:rFonts w:hint="eastAsia" w:ascii="宋体" w:hAnsi="宋体"/>
          <w:highlight w:val="none"/>
        </w:rPr>
        <w:t>电</w:t>
      </w:r>
      <w:r>
        <w:rPr>
          <w:rFonts w:hint="eastAsia" w:ascii="宋体" w:hAnsi="宋体" w:eastAsia="宋体"/>
          <w:highlight w:val="none"/>
        </w:rPr>
        <w:t>局</w:t>
      </w:r>
      <w:r>
        <w:rPr>
          <w:rFonts w:hint="default" w:ascii="宋体" w:hAnsi="宋体" w:eastAsia="宋体"/>
          <w:color w:val="auto"/>
          <w:highlight w:val="none"/>
          <w:lang w:val="en-US" w:eastAsia="zh-CN"/>
        </w:rPr>
        <w:t>基于无人机安装的铁塔防鸟刺部署装置</w:t>
      </w:r>
      <w:r>
        <w:rPr>
          <w:rFonts w:hint="eastAsia" w:ascii="宋体" w:hAnsi="宋体" w:eastAsia="宋体"/>
          <w:color w:val="auto"/>
          <w:highlight w:val="none"/>
          <w:lang w:val="en-US" w:eastAsia="zh-CN"/>
        </w:rPr>
        <w:t>的研究</w:t>
      </w:r>
      <w:r>
        <w:rPr>
          <w:rFonts w:hint="eastAsia" w:ascii="宋体" w:hAnsi="宋体" w:eastAsia="宋体"/>
          <w:highlight w:val="none"/>
        </w:rPr>
        <w:t>项</w:t>
      </w:r>
      <w:r>
        <w:rPr>
          <w:rFonts w:hint="eastAsia" w:ascii="宋体" w:hAnsi="宋体"/>
          <w:highlight w:val="none"/>
        </w:rPr>
        <w:t>目研究内容有关事项。投标方必须认</w:t>
      </w:r>
      <w:r>
        <w:rPr>
          <w:rFonts w:hint="eastAsia" w:ascii="宋体" w:hAnsi="宋体"/>
        </w:rPr>
        <w:t>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252486971"/>
      <w:bookmarkStart w:id="13" w:name="_Toc582"/>
      <w:bookmarkStart w:id="14" w:name="_Toc21511"/>
      <w:bookmarkStart w:id="15" w:name="_Toc261810243"/>
      <w:bookmarkStart w:id="16" w:name="_Toc255894290"/>
      <w:bookmarkStart w:id="17" w:name="_Toc252485428"/>
      <w:bookmarkStart w:id="18" w:name="_Toc293665071"/>
      <w:bookmarkStart w:id="19" w:name="_Toc222711875"/>
      <w:bookmarkStart w:id="20" w:name="_Toc445194080"/>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ascii="Times New Roman" w:hAnsi="Times New Roman" w:cs="Times New Roman"/>
          <w:color w:val="000000"/>
          <w:szCs w:val="21"/>
          <w:lang w:val="zh-CN"/>
        </w:rPr>
        <w:t>投标方如果采用自己的标准或规范，必须向招标方提供中文复印件并经招标方同意后方</w:t>
      </w:r>
      <w:r>
        <w:rPr>
          <w:rFonts w:ascii="Times New Roman" w:hAnsi="Times New Roman" w:cs="Times New Roman"/>
          <w:color w:val="000000" w:themeColor="text1"/>
          <w:szCs w:val="21"/>
          <w:lang w:val="zh-CN"/>
          <w14:textFill>
            <w14:solidFill>
              <w14:schemeClr w14:val="tx1"/>
            </w14:solidFill>
          </w14:textFill>
        </w:rPr>
        <w:t>可采用，但不能低于GB、JB有关规定。</w:t>
      </w:r>
    </w:p>
    <w:p>
      <w:pPr>
        <w:autoSpaceDE w:val="0"/>
        <w:autoSpaceDN w:val="0"/>
        <w:adjustRightInd w:val="0"/>
        <w:ind w:firstLine="480"/>
        <w:rPr>
          <w:rFonts w:ascii="Times New Roman" w:hAnsi="Times New Roman" w:cs="Times New Roman"/>
          <w:color w:val="000000" w:themeColor="text1"/>
          <w:szCs w:val="21"/>
          <w:highlight w:val="none"/>
          <w:lang w:val="zh-CN"/>
          <w14:textFill>
            <w14:solidFill>
              <w14:schemeClr w14:val="tx1"/>
            </w14:solidFill>
          </w14:textFill>
        </w:rPr>
      </w:pPr>
      <w:r>
        <w:rPr>
          <w:rFonts w:ascii="Times New Roman" w:hAnsi="Times New Roman" w:cs="Times New Roman"/>
          <w:color w:val="000000" w:themeColor="text1"/>
          <w:szCs w:val="21"/>
          <w:lang w:val="zh-CN"/>
          <w14:textFill>
            <w14:solidFill>
              <w14:schemeClr w14:val="tx1"/>
            </w14:solidFill>
          </w14:textFill>
        </w:rPr>
        <w:t>下列标准所包括的条文，通过在本规定中引用而构成本规定的条文。本标准出版时，所示版本均为有效。所有标准都会被修订，使用本标准的各方应探讨使用</w:t>
      </w:r>
      <w:r>
        <w:rPr>
          <w:rFonts w:ascii="Times New Roman" w:hAnsi="Times New Roman" w:cs="Times New Roman"/>
          <w:color w:val="000000" w:themeColor="text1"/>
          <w:szCs w:val="21"/>
          <w:highlight w:val="none"/>
          <w:lang w:val="zh-CN"/>
          <w14:textFill>
            <w14:solidFill>
              <w14:schemeClr w14:val="tx1"/>
            </w14:solidFill>
          </w14:textFill>
        </w:rPr>
        <w:t>下列标准最新版本的可能性。</w:t>
      </w:r>
    </w:p>
    <w:p>
      <w:pPr>
        <w:autoSpaceDE w:val="0"/>
        <w:autoSpaceDN w:val="0"/>
        <w:adjustRightInd w:val="0"/>
        <w:ind w:firstLine="480"/>
        <w:rPr>
          <w:rFonts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GB/T 18037-2008</w:t>
      </w:r>
      <w:r>
        <w:rPr>
          <w:rFonts w:hint="eastAsia"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zh-CN"/>
        </w:rPr>
        <w:t>带电作业工具基本技术要求与设计导则》</w:t>
      </w:r>
    </w:p>
    <w:p>
      <w:pPr>
        <w:autoSpaceDE w:val="0"/>
        <w:autoSpaceDN w:val="0"/>
        <w:adjustRightInd w:val="0"/>
        <w:ind w:firstLine="480"/>
        <w:rPr>
          <w:rFonts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DL/T976</w:t>
      </w:r>
      <w:r>
        <w:rPr>
          <w:rFonts w:hint="eastAsia" w:ascii="Times New Roman" w:hAnsi="Times New Roman" w:cs="Times New Roman"/>
          <w:color w:val="auto"/>
          <w:szCs w:val="21"/>
          <w:highlight w:val="none"/>
        </w:rPr>
        <w:t>-</w:t>
      </w:r>
      <w:r>
        <w:rPr>
          <w:rFonts w:hint="eastAsia" w:ascii="Times New Roman" w:hAnsi="Times New Roman" w:cs="Times New Roman"/>
          <w:color w:val="auto"/>
          <w:szCs w:val="21"/>
          <w:highlight w:val="none"/>
          <w:lang w:val="zh-CN"/>
        </w:rPr>
        <w:t>2017 《带电作业工具、装置和设备预防性试验规程》</w:t>
      </w:r>
    </w:p>
    <w:p>
      <w:pPr>
        <w:autoSpaceDE w:val="0"/>
        <w:autoSpaceDN w:val="0"/>
        <w:adjustRightInd w:val="0"/>
        <w:ind w:firstLine="480"/>
        <w:rPr>
          <w:rFonts w:hint="eastAsia" w:ascii="Times New Roman" w:hAnsi="Times New Roman" w:cs="Times New Roman"/>
          <w:color w:val="auto"/>
          <w:szCs w:val="21"/>
          <w:highlight w:val="none"/>
          <w:lang w:eastAsia="zh-CN"/>
        </w:rPr>
      </w:pPr>
      <w:r>
        <w:rPr>
          <w:rFonts w:hint="eastAsia" w:ascii="Times New Roman" w:hAnsi="Times New Roman" w:cs="Times New Roman"/>
          <w:color w:val="auto"/>
          <w:szCs w:val="21"/>
          <w:highlight w:val="none"/>
          <w:lang w:val="zh-CN"/>
        </w:rPr>
        <w:t>GB</w:t>
      </w:r>
      <w:r>
        <w:rPr>
          <w:rFonts w:hint="eastAsia" w:ascii="Times New Roman" w:hAnsi="Times New Roman" w:cs="Times New Roman"/>
          <w:color w:val="auto"/>
          <w:szCs w:val="21"/>
          <w:highlight w:val="none"/>
          <w:lang w:val="en-US" w:eastAsia="zh-CN"/>
        </w:rPr>
        <w:t xml:space="preserve"> 42590-2023</w:t>
      </w:r>
      <w:r>
        <w:rPr>
          <w:rFonts w:hint="eastAsia" w:ascii="Times New Roman" w:hAnsi="Times New Roman" w:cs="Times New Roman"/>
          <w:color w:val="auto"/>
          <w:szCs w:val="21"/>
          <w:highlight w:val="none"/>
        </w:rPr>
        <w:t xml:space="preserve"> </w:t>
      </w:r>
      <w:r>
        <w:rPr>
          <w:rFonts w:hint="eastAsia" w:ascii="Times New Roman" w:hAnsi="Times New Roman" w:cs="Times New Roman"/>
          <w:color w:val="auto"/>
          <w:szCs w:val="21"/>
          <w:highlight w:val="none"/>
          <w:lang w:eastAsia="zh-CN"/>
        </w:rPr>
        <w:t>《民用无人驾驶航空器系统安全要求》</w:t>
      </w:r>
    </w:p>
    <w:p>
      <w:pPr>
        <w:autoSpaceDE w:val="0"/>
        <w:autoSpaceDN w:val="0"/>
        <w:adjustRightInd w:val="0"/>
        <w:ind w:firstLine="480"/>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zh-CN"/>
        </w:rPr>
        <w:t>Q_321281JYA01-2019</w:t>
      </w:r>
      <w:r>
        <w:rPr>
          <w:rFonts w:hint="eastAsia" w:ascii="Times New Roman" w:hAnsi="Times New Roman" w:cs="Times New Roman"/>
          <w:color w:val="auto"/>
          <w:szCs w:val="21"/>
          <w:highlight w:val="none"/>
          <w:lang w:val="en-US" w:eastAsia="zh-CN"/>
        </w:rPr>
        <w:t xml:space="preserve"> 《</w:t>
      </w:r>
      <w:r>
        <w:rPr>
          <w:rFonts w:hint="eastAsia" w:ascii="Times New Roman" w:hAnsi="Times New Roman" w:cs="Times New Roman"/>
          <w:color w:val="auto"/>
          <w:szCs w:val="21"/>
          <w:highlight w:val="none"/>
          <w:lang w:val="zh-CN"/>
        </w:rPr>
        <w:t>防鸟刺》</w:t>
      </w:r>
    </w:p>
    <w:p>
      <w:pPr>
        <w:autoSpaceDE w:val="0"/>
        <w:autoSpaceDN w:val="0"/>
        <w:adjustRightInd w:val="0"/>
        <w:ind w:firstLine="480"/>
        <w:rPr>
          <w:rFonts w:hint="eastAsia"/>
          <w:highlight w:val="none"/>
        </w:rPr>
      </w:pPr>
      <w:r>
        <w:rPr>
          <w:rFonts w:hint="eastAsia" w:ascii="Times New Roman" w:hAnsi="Times New Roman" w:cs="Times New Roman"/>
          <w:color w:val="auto"/>
          <w:szCs w:val="21"/>
          <w:highlight w:val="none"/>
          <w:lang w:val="zh-CN"/>
        </w:rPr>
        <w:t>GB/T 2423.10-2019 《电工电子产品环境试验 第2部分：振动试验》</w:t>
      </w:r>
      <w:bookmarkEnd w:id="8"/>
      <w:bookmarkEnd w:id="9"/>
      <w:bookmarkEnd w:id="10"/>
      <w:bookmarkEnd w:id="11"/>
      <w:bookmarkStart w:id="21" w:name="_Toc444945516"/>
      <w:bookmarkStart w:id="22" w:name="_Toc6871"/>
    </w:p>
    <w:p>
      <w:pPr>
        <w:pStyle w:val="4"/>
        <w:keepNext w:val="0"/>
        <w:keepLines w:val="0"/>
        <w:pageBreakBefore w:val="0"/>
        <w:widowControl w:val="0"/>
        <w:numPr>
          <w:ilvl w:val="0"/>
          <w:numId w:val="0"/>
        </w:numPr>
        <w:tabs>
          <w:tab w:val="clear" w:pos="432"/>
        </w:tabs>
        <w:kinsoku/>
        <w:wordWrap/>
        <w:overflowPunct/>
        <w:topLinePunct w:val="0"/>
        <w:autoSpaceDE/>
        <w:autoSpaceDN/>
        <w:bidi w:val="0"/>
        <w:adjustRightInd/>
        <w:snapToGrid/>
        <w:spacing w:line="579" w:lineRule="auto"/>
        <w:textAlignment w:val="auto"/>
        <w:rPr>
          <w:rFonts w:hint="eastAsia"/>
        </w:rPr>
      </w:pPr>
      <w:r>
        <w:rPr>
          <w:rFonts w:hint="eastAsia"/>
        </w:rPr>
        <w:t>二、技术要求</w:t>
      </w:r>
      <w:bookmarkEnd w:id="21"/>
      <w:bookmarkEnd w:id="22"/>
    </w:p>
    <w:p>
      <w:pPr>
        <w:pStyle w:val="5"/>
        <w:tabs>
          <w:tab w:val="left" w:pos="0"/>
        </w:tabs>
        <w:spacing w:before="0" w:after="0" w:line="360" w:lineRule="auto"/>
        <w:rPr>
          <w:rFonts w:ascii="宋体" w:hAnsi="宋体" w:cs="宋体"/>
          <w:sz w:val="28"/>
          <w:szCs w:val="24"/>
          <w:highlight w:val="none"/>
        </w:rPr>
      </w:pPr>
      <w:bookmarkStart w:id="23" w:name="_Toc437603900"/>
      <w:bookmarkStart w:id="24" w:name="_Toc444945517"/>
      <w:bookmarkStart w:id="25" w:name="_Toc30722"/>
      <w:r>
        <w:rPr>
          <w:rFonts w:hint="eastAsia" w:ascii="宋体" w:hAnsi="宋体" w:cs="宋体"/>
          <w:sz w:val="28"/>
          <w:szCs w:val="24"/>
          <w:lang w:val="en-US" w:eastAsia="zh-CN"/>
        </w:rPr>
        <w:t>2</w:t>
      </w:r>
      <w:r>
        <w:rPr>
          <w:rFonts w:hint="eastAsia" w:ascii="宋体" w:hAnsi="宋体" w:cs="宋体"/>
          <w:sz w:val="28"/>
          <w:szCs w:val="24"/>
        </w:rPr>
        <w:t>.1</w:t>
      </w:r>
      <w:r>
        <w:rPr>
          <w:rFonts w:hint="eastAsia" w:ascii="宋体" w:hAnsi="宋体" w:cs="宋体"/>
          <w:sz w:val="28"/>
          <w:szCs w:val="24"/>
          <w:highlight w:val="none"/>
        </w:rPr>
        <w:t xml:space="preserve"> 项目</w:t>
      </w:r>
      <w:bookmarkEnd w:id="23"/>
      <w:bookmarkEnd w:id="24"/>
      <w:r>
        <w:rPr>
          <w:rFonts w:hint="eastAsia" w:ascii="宋体" w:hAnsi="宋体" w:cs="宋体"/>
          <w:sz w:val="28"/>
          <w:szCs w:val="24"/>
          <w:highlight w:val="none"/>
        </w:rPr>
        <w:t>研究对象</w:t>
      </w:r>
      <w:bookmarkEnd w:id="25"/>
    </w:p>
    <w:p>
      <w:pPr>
        <w:ind w:firstLine="480"/>
        <w:rPr>
          <w:rFonts w:hint="default" w:ascii="宋体" w:hAnsi="宋体" w:eastAsia="宋体" w:cs="黑体"/>
          <w:color w:val="auto"/>
          <w:kern w:val="2"/>
          <w:sz w:val="24"/>
          <w:szCs w:val="22"/>
          <w:highlight w:val="none"/>
          <w:lang w:val="en-US" w:eastAsia="zh-CN" w:bidi="ar-SA"/>
        </w:rPr>
      </w:pPr>
      <w:bookmarkStart w:id="26" w:name="_Toc437603901"/>
      <w:bookmarkStart w:id="27" w:name="_Toc444945518"/>
      <w:r>
        <w:rPr>
          <w:rFonts w:hint="eastAsia" w:ascii="宋体" w:hAnsi="宋体" w:eastAsia="宋体" w:cs="黑体"/>
          <w:color w:val="auto"/>
          <w:kern w:val="2"/>
          <w:sz w:val="24"/>
          <w:szCs w:val="22"/>
          <w:highlight w:val="none"/>
          <w:lang w:val="en-US" w:eastAsia="zh-CN" w:bidi="ar-SA"/>
        </w:rPr>
        <w:t>近年来，输电线路沿线生态环境持续向好，鸟类数量持续增加，鸟类在输电线路杆塔上活动频繁，因鸟类活动导致的线路鸟害故障频发，鸟害风险日渐凸显，线路运维部门的鸟害防控压力逐渐增大。杆塔上安装防鸟刺的防鸟害效果显著，且造价低廉、通用性强，目前市面上的防鸟刺产品均需人工登塔安装，如需大范围推广则加大了高空作业的风险。</w:t>
      </w:r>
    </w:p>
    <w:p>
      <w:pPr>
        <w:ind w:firstLine="480"/>
        <w:rPr>
          <w:rFonts w:hint="eastAsia" w:ascii="宋体" w:hAnsi="宋体" w:eastAsia="宋体" w:cs="黑体"/>
          <w:color w:val="auto"/>
          <w:kern w:val="2"/>
          <w:sz w:val="24"/>
          <w:szCs w:val="22"/>
          <w:highlight w:val="none"/>
          <w:lang w:val="en-US" w:eastAsia="zh-CN" w:bidi="ar-SA"/>
        </w:rPr>
      </w:pPr>
      <w:r>
        <w:rPr>
          <w:rFonts w:hint="eastAsia" w:ascii="宋体" w:hAnsi="宋体" w:eastAsia="宋体" w:cs="黑体"/>
          <w:color w:val="auto"/>
          <w:kern w:val="2"/>
          <w:sz w:val="24"/>
          <w:szCs w:val="22"/>
          <w:highlight w:val="none"/>
          <w:lang w:val="en-US" w:eastAsia="zh-CN" w:bidi="ar-SA"/>
        </w:rPr>
        <w:t>针对上述问题，本次研究项目旨在研发一款适用于无人机安装的防鸟刺全套装置，整合磁吸固定技术与防鸟刺物理驱避功能。系统通过无人机挂载定制化磁吸模块，结合轻量化防鸟刺阵列，可在铁塔横担、绝缘子串等目标区域实现“即贴即用”式布设，解决传统人工攀塔安装效率低、安全风险高等问题，极大降低安装的高空作业风险。</w:t>
      </w:r>
    </w:p>
    <w:p>
      <w:pPr>
        <w:pStyle w:val="5"/>
        <w:tabs>
          <w:tab w:val="left" w:pos="0"/>
        </w:tabs>
        <w:spacing w:before="0" w:after="0" w:line="360" w:lineRule="auto"/>
        <w:rPr>
          <w:rFonts w:ascii="宋体" w:hAnsi="宋体" w:cs="宋体"/>
          <w:sz w:val="28"/>
          <w:szCs w:val="24"/>
          <w:highlight w:val="none"/>
        </w:rPr>
      </w:pPr>
      <w:bookmarkStart w:id="28" w:name="_Toc31968"/>
      <w:r>
        <w:rPr>
          <w:rFonts w:hint="eastAsia" w:ascii="宋体" w:hAnsi="宋体" w:cs="宋体"/>
          <w:sz w:val="28"/>
          <w:szCs w:val="24"/>
          <w:highlight w:val="none"/>
          <w:lang w:val="en-US" w:eastAsia="zh-CN"/>
        </w:rPr>
        <w:t>2</w:t>
      </w:r>
      <w:r>
        <w:rPr>
          <w:rFonts w:hint="eastAsia" w:ascii="宋体" w:hAnsi="宋体" w:cs="宋体"/>
          <w:sz w:val="28"/>
          <w:szCs w:val="24"/>
          <w:highlight w:val="none"/>
        </w:rPr>
        <w:t>.2</w:t>
      </w:r>
      <w:r>
        <w:rPr>
          <w:rFonts w:hint="eastAsia" w:ascii="宋体" w:hAnsi="宋体" w:cs="宋体"/>
          <w:sz w:val="28"/>
          <w:szCs w:val="24"/>
          <w:highlight w:val="none"/>
          <w:lang w:val="en-US" w:eastAsia="zh-CN"/>
        </w:rPr>
        <w:t xml:space="preserve"> </w:t>
      </w:r>
      <w:r>
        <w:rPr>
          <w:rFonts w:hint="eastAsia" w:ascii="宋体" w:hAnsi="宋体" w:cs="宋体"/>
          <w:sz w:val="28"/>
          <w:szCs w:val="24"/>
          <w:highlight w:val="none"/>
        </w:rPr>
        <w:t>项目研究内容</w:t>
      </w:r>
      <w:bookmarkEnd w:id="26"/>
      <w:bookmarkEnd w:id="27"/>
      <w:bookmarkEnd w:id="28"/>
    </w:p>
    <w:p>
      <w:pPr>
        <w:ind w:firstLine="48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w:t>
      </w:r>
      <w:r>
        <w:rPr>
          <w:rFonts w:hint="eastAsia" w:ascii="宋体" w:hAnsi="宋体"/>
          <w:color w:val="000000" w:themeColor="text1"/>
          <w:highlight w:val="none"/>
          <w14:textFill>
            <w14:solidFill>
              <w14:schemeClr w14:val="tx1"/>
            </w14:solidFill>
          </w14:textFill>
        </w:rPr>
        <w:t>.2.1</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现有作业问题分析</w:t>
      </w:r>
    </w:p>
    <w:p>
      <w:pPr>
        <w:ind w:firstLine="480"/>
        <w:rPr>
          <w:rFonts w:hint="eastAsia" w:ascii="宋体" w:hAnsi="宋体"/>
          <w:color w:val="auto"/>
          <w:highlight w:val="none"/>
        </w:rPr>
      </w:pPr>
      <w:r>
        <w:rPr>
          <w:rFonts w:hint="eastAsia" w:ascii="宋体" w:hAnsi="宋体"/>
          <w:color w:val="C00000"/>
          <w:highlight w:val="none"/>
        </w:rPr>
        <w:t>（</w:t>
      </w:r>
      <w:r>
        <w:rPr>
          <w:rFonts w:hint="eastAsia" w:ascii="宋体" w:hAnsi="宋体"/>
          <w:color w:val="auto"/>
          <w:highlight w:val="none"/>
        </w:rPr>
        <w:t>1）</w:t>
      </w:r>
      <w:r>
        <w:rPr>
          <w:rFonts w:hint="default" w:ascii="宋体" w:hAnsi="宋体"/>
          <w:color w:val="auto"/>
          <w:highlight w:val="none"/>
        </w:rPr>
        <w:t>存在一定的安全隐患</w:t>
      </w:r>
      <w:r>
        <w:rPr>
          <w:rFonts w:hint="eastAsia" w:ascii="宋体" w:hAnsi="宋体"/>
          <w:color w:val="auto"/>
          <w:highlight w:val="none"/>
        </w:rPr>
        <w:t>：作业完全依赖运维人员人工登塔，在数十米高空进行安装操作，存在高空坠落、触电等重大人身安全隐患，安全管控压力巨大。</w:t>
      </w:r>
    </w:p>
    <w:p>
      <w:pPr>
        <w:ind w:firstLine="480"/>
        <w:rPr>
          <w:rFonts w:hint="eastAsia" w:ascii="宋体" w:hAnsi="宋体" w:eastAsia="宋体"/>
          <w:color w:val="auto"/>
          <w:highlight w:val="none"/>
          <w:lang w:eastAsia="zh-CN"/>
        </w:rPr>
      </w:pPr>
      <w:r>
        <w:rPr>
          <w:rFonts w:hint="eastAsia" w:ascii="宋体" w:hAnsi="宋体"/>
          <w:color w:val="auto"/>
          <w:highlight w:val="none"/>
        </w:rPr>
        <w:t>（2）</w:t>
      </w:r>
      <w:r>
        <w:rPr>
          <w:rFonts w:hint="eastAsia" w:ascii="宋体" w:hAnsi="宋体"/>
          <w:color w:val="auto"/>
          <w:highlight w:val="none"/>
          <w:lang w:eastAsia="zh-CN"/>
        </w:rPr>
        <w:t>停电才能安装</w:t>
      </w:r>
      <w:r>
        <w:rPr>
          <w:rFonts w:hint="eastAsia" w:ascii="宋体" w:hAnsi="宋体"/>
          <w:color w:val="auto"/>
          <w:highlight w:val="none"/>
        </w:rPr>
        <w:t>：</w:t>
      </w:r>
      <w:r>
        <w:rPr>
          <w:rFonts w:hint="eastAsia" w:ascii="宋体" w:hAnsi="宋体"/>
          <w:color w:val="auto"/>
          <w:highlight w:val="none"/>
          <w:lang w:eastAsia="zh-CN"/>
        </w:rPr>
        <w:t>当线路带电时工作人员无法进行防鸟刺安装，需等停电后开展，安装工作间隔长，无法随时随地安装。</w:t>
      </w:r>
    </w:p>
    <w:p>
      <w:pPr>
        <w:ind w:firstLine="480"/>
        <w:rPr>
          <w:rFonts w:hint="eastAsia" w:ascii="宋体" w:hAnsi="宋体"/>
          <w:color w:val="auto"/>
          <w:highlight w:val="none"/>
          <w:lang w:eastAsia="zh-CN"/>
        </w:rPr>
      </w:pPr>
      <w:r>
        <w:rPr>
          <w:rFonts w:hint="eastAsia" w:ascii="宋体" w:hAnsi="宋体"/>
          <w:color w:val="auto"/>
          <w:highlight w:val="none"/>
        </w:rPr>
        <w:t>（3）</w:t>
      </w:r>
      <w:r>
        <w:rPr>
          <w:rFonts w:hint="eastAsia" w:ascii="宋体" w:hAnsi="宋体"/>
          <w:color w:val="auto"/>
          <w:highlight w:val="none"/>
          <w:lang w:eastAsia="zh-CN"/>
        </w:rPr>
        <w:t>综合效率低下：人工攀爬、定位、安装流程繁琐，单次作业耗时过长，难以实现快速、大范围的防鸟刺部署与更换，无法满足现代电网高效运维的需求。</w:t>
      </w:r>
    </w:p>
    <w:p>
      <w:pPr>
        <w:ind w:firstLine="480"/>
        <w:rPr>
          <w:rFonts w:hint="eastAsia" w:ascii="宋体" w:hAnsi="宋体"/>
          <w:color w:val="auto"/>
          <w:highlight w:val="none"/>
          <w:lang w:eastAsia="zh-CN"/>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w:t>
      </w:r>
      <w:r>
        <w:rPr>
          <w:rFonts w:hint="eastAsia" w:ascii="宋体" w:hAnsi="宋体"/>
          <w:color w:val="auto"/>
          <w:highlight w:val="none"/>
          <w:lang w:eastAsia="zh-CN"/>
        </w:rPr>
        <w:t>环境耐受性不足：在</w:t>
      </w:r>
      <w:r>
        <w:rPr>
          <w:rFonts w:hint="eastAsia" w:ascii="宋体" w:hAnsi="宋体"/>
          <w:color w:val="auto"/>
          <w:highlight w:val="none"/>
          <w:lang w:val="en-US" w:eastAsia="zh-CN"/>
        </w:rPr>
        <w:t>大</w:t>
      </w:r>
      <w:r>
        <w:rPr>
          <w:rFonts w:hint="eastAsia" w:ascii="宋体" w:hAnsi="宋体"/>
          <w:color w:val="auto"/>
          <w:highlight w:val="none"/>
          <w:lang w:eastAsia="zh-CN"/>
        </w:rPr>
        <w:t>风区（如1</w:t>
      </w:r>
      <w:r>
        <w:rPr>
          <w:rFonts w:hint="eastAsia" w:ascii="宋体" w:hAnsi="宋体"/>
          <w:color w:val="auto"/>
          <w:highlight w:val="none"/>
          <w:lang w:val="en-US" w:eastAsia="zh-CN"/>
        </w:rPr>
        <w:t>2</w:t>
      </w:r>
      <w:r>
        <w:rPr>
          <w:rFonts w:hint="eastAsia" w:ascii="宋体" w:hAnsi="宋体"/>
          <w:color w:val="auto"/>
          <w:highlight w:val="none"/>
          <w:lang w:eastAsia="zh-CN"/>
        </w:rPr>
        <w:t>级以上大风），传统防鸟刺易发生塑性变形、位移或脱落，抗风载能力弱，耐久性差，导致防护寿命缩短。</w:t>
      </w:r>
    </w:p>
    <w:p>
      <w:pPr>
        <w:ind w:firstLine="480"/>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w:t>
      </w:r>
      <w:r>
        <w:rPr>
          <w:rFonts w:hint="eastAsia" w:ascii="宋体" w:hAnsi="宋体"/>
          <w:color w:val="000000" w:themeColor="text1"/>
          <w:highlight w:val="none"/>
          <w14:textFill>
            <w14:solidFill>
              <w14:schemeClr w14:val="tx1"/>
            </w14:solidFill>
          </w14:textFill>
        </w:rPr>
        <w:t>.2.2</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eastAsia="zh-CN"/>
          <w14:textFill>
            <w14:solidFill>
              <w14:schemeClr w14:val="tx1"/>
            </w14:solidFill>
          </w14:textFill>
        </w:rPr>
        <w:t>设计思路</w:t>
      </w:r>
    </w:p>
    <w:p>
      <w:pPr>
        <w:ind w:firstLine="480"/>
        <w:rPr>
          <w:rFonts w:hint="eastAsia" w:ascii="宋体" w:hAnsi="宋体"/>
          <w:color w:val="auto"/>
          <w:highlight w:val="none"/>
        </w:rPr>
      </w:pPr>
      <w:r>
        <w:rPr>
          <w:rFonts w:hint="eastAsia" w:ascii="宋体" w:hAnsi="宋体"/>
          <w:color w:val="auto"/>
          <w:highlight w:val="none"/>
        </w:rPr>
        <w:t>（1）</w:t>
      </w:r>
      <w:r>
        <w:rPr>
          <w:rFonts w:hint="default" w:ascii="宋体" w:hAnsi="宋体"/>
          <w:color w:val="auto"/>
          <w:highlight w:val="none"/>
        </w:rPr>
        <w:t>安全性</w:t>
      </w:r>
      <w:r>
        <w:rPr>
          <w:rFonts w:hint="eastAsia" w:ascii="宋体" w:hAnsi="宋体"/>
          <w:color w:val="auto"/>
          <w:highlight w:val="none"/>
        </w:rPr>
        <w:t>：</w:t>
      </w:r>
      <w:r>
        <w:rPr>
          <w:rFonts w:hint="eastAsia" w:ascii="宋体" w:hAnsi="宋体"/>
          <w:color w:val="auto"/>
          <w:highlight w:val="none"/>
          <w:lang w:eastAsia="zh-CN"/>
        </w:rPr>
        <w:t>在进行防鸟刺安装及拆除时，</w:t>
      </w:r>
      <w:r>
        <w:rPr>
          <w:rFonts w:hint="eastAsia" w:ascii="宋体" w:hAnsi="宋体"/>
          <w:color w:val="auto"/>
          <w:highlight w:val="none"/>
          <w:lang w:val="en-US" w:eastAsia="zh-CN"/>
        </w:rPr>
        <w:t>无人机挂载装置如何保证不同型号</w:t>
      </w:r>
      <w:r>
        <w:rPr>
          <w:rFonts w:hint="eastAsia" w:ascii="宋体" w:hAnsi="宋体"/>
          <w:color w:val="auto"/>
          <w:highlight w:val="none"/>
          <w:lang w:eastAsia="zh-CN"/>
        </w:rPr>
        <w:t>无人机与铁塔和导线保持在安全距离之外，不出现无人机划伤或</w:t>
      </w:r>
      <w:r>
        <w:rPr>
          <w:rFonts w:hint="eastAsia" w:ascii="宋体" w:hAnsi="宋体"/>
          <w:color w:val="auto"/>
          <w:highlight w:val="none"/>
          <w:lang w:val="en-US" w:eastAsia="zh-CN"/>
        </w:rPr>
        <w:t>触碰</w:t>
      </w:r>
      <w:r>
        <w:rPr>
          <w:rFonts w:hint="eastAsia" w:ascii="宋体" w:hAnsi="宋体"/>
          <w:color w:val="auto"/>
          <w:highlight w:val="none"/>
          <w:lang w:eastAsia="zh-CN"/>
        </w:rPr>
        <w:t>导线的情况，</w:t>
      </w:r>
      <w:r>
        <w:rPr>
          <w:rFonts w:hint="default" w:ascii="宋体" w:hAnsi="宋体"/>
          <w:color w:val="auto"/>
          <w:highlight w:val="none"/>
        </w:rPr>
        <w:t>设计时需将首要考虑。</w:t>
      </w:r>
    </w:p>
    <w:p>
      <w:pPr>
        <w:ind w:firstLine="480"/>
        <w:rPr>
          <w:rFonts w:hint="eastAsia" w:ascii="宋体" w:hAnsi="宋体"/>
          <w:color w:val="auto"/>
          <w:highlight w:val="none"/>
        </w:rPr>
      </w:pPr>
      <w:r>
        <w:rPr>
          <w:rFonts w:hint="eastAsia" w:ascii="宋体" w:hAnsi="宋体"/>
          <w:color w:val="auto"/>
          <w:highlight w:val="none"/>
        </w:rPr>
        <w:t>（2）</w:t>
      </w:r>
      <w:r>
        <w:rPr>
          <w:rFonts w:hint="default" w:ascii="宋体" w:hAnsi="宋体"/>
          <w:color w:val="auto"/>
          <w:highlight w:val="none"/>
        </w:rPr>
        <w:t>高效</w:t>
      </w:r>
      <w:r>
        <w:rPr>
          <w:rFonts w:hint="eastAsia" w:ascii="宋体" w:hAnsi="宋体"/>
          <w:color w:val="auto"/>
          <w:highlight w:val="none"/>
          <w:lang w:eastAsia="zh-CN"/>
        </w:rPr>
        <w:t>安装</w:t>
      </w:r>
      <w:r>
        <w:rPr>
          <w:rFonts w:hint="eastAsia" w:ascii="宋体" w:hAnsi="宋体"/>
          <w:color w:val="auto"/>
          <w:highlight w:val="none"/>
        </w:rPr>
        <w:t>：</w:t>
      </w:r>
      <w:r>
        <w:rPr>
          <w:rFonts w:hint="eastAsia" w:ascii="宋体" w:hAnsi="宋体"/>
          <w:color w:val="auto"/>
          <w:highlight w:val="none"/>
          <w:lang w:val="en-US" w:eastAsia="zh-CN"/>
        </w:rPr>
        <w:t>使用</w:t>
      </w:r>
      <w:r>
        <w:rPr>
          <w:rFonts w:hint="eastAsia" w:ascii="宋体" w:hAnsi="宋体"/>
          <w:color w:val="auto"/>
          <w:highlight w:val="none"/>
          <w:lang w:eastAsia="zh-CN"/>
        </w:rPr>
        <w:t>无人机</w:t>
      </w:r>
      <w:r>
        <w:rPr>
          <w:rFonts w:hint="eastAsia" w:ascii="宋体" w:hAnsi="宋体"/>
          <w:color w:val="auto"/>
          <w:highlight w:val="none"/>
          <w:lang w:val="en-US" w:eastAsia="zh-CN"/>
        </w:rPr>
        <w:t>挂载装置</w:t>
      </w:r>
      <w:r>
        <w:rPr>
          <w:rFonts w:hint="default" w:ascii="宋体" w:hAnsi="宋体"/>
          <w:color w:val="auto"/>
          <w:highlight w:val="none"/>
        </w:rPr>
        <w:t>，能够</w:t>
      </w:r>
      <w:r>
        <w:rPr>
          <w:rFonts w:hint="eastAsia" w:ascii="宋体" w:hAnsi="宋体"/>
          <w:color w:val="auto"/>
          <w:highlight w:val="none"/>
          <w:lang w:val="en-US" w:eastAsia="zh-CN"/>
        </w:rPr>
        <w:t>快速完成防鸟刺</w:t>
      </w:r>
      <w:r>
        <w:rPr>
          <w:rFonts w:hint="eastAsia" w:ascii="宋体" w:hAnsi="宋体"/>
          <w:color w:val="auto"/>
          <w:highlight w:val="none"/>
          <w:lang w:eastAsia="zh-CN"/>
        </w:rPr>
        <w:t>安装</w:t>
      </w:r>
      <w:r>
        <w:rPr>
          <w:rFonts w:hint="eastAsia" w:ascii="宋体" w:hAnsi="宋体"/>
          <w:color w:val="auto"/>
          <w:highlight w:val="none"/>
        </w:rPr>
        <w:t>。</w:t>
      </w:r>
    </w:p>
    <w:p>
      <w:pPr>
        <w:ind w:firstLine="480"/>
        <w:rPr>
          <w:rFonts w:hint="eastAsia" w:ascii="宋体" w:hAnsi="宋体"/>
          <w:color w:val="auto"/>
          <w:highlight w:val="none"/>
        </w:rPr>
      </w:pPr>
      <w:r>
        <w:rPr>
          <w:rFonts w:hint="eastAsia" w:ascii="宋体" w:hAnsi="宋体"/>
          <w:color w:val="auto"/>
          <w:highlight w:val="none"/>
        </w:rPr>
        <w:t>（3）</w:t>
      </w:r>
      <w:r>
        <w:rPr>
          <w:rFonts w:hint="default" w:ascii="宋体" w:hAnsi="宋体"/>
          <w:color w:val="auto"/>
          <w:highlight w:val="none"/>
        </w:rPr>
        <w:t>便携性与操作便捷性</w:t>
      </w:r>
      <w:r>
        <w:rPr>
          <w:rFonts w:hint="eastAsia" w:ascii="宋体" w:hAnsi="宋体"/>
          <w:color w:val="auto"/>
          <w:highlight w:val="none"/>
        </w:rPr>
        <w:t>：</w:t>
      </w:r>
      <w:r>
        <w:rPr>
          <w:rFonts w:hint="default" w:ascii="宋体" w:hAnsi="宋体"/>
          <w:color w:val="auto"/>
          <w:highlight w:val="none"/>
        </w:rPr>
        <w:t>设备需轻量化设计，便于携带和操作，同时</w:t>
      </w:r>
      <w:r>
        <w:rPr>
          <w:rFonts w:hint="eastAsia" w:ascii="宋体" w:hAnsi="宋体"/>
          <w:color w:val="auto"/>
          <w:highlight w:val="none"/>
          <w:lang w:val="en-US" w:eastAsia="zh-CN"/>
        </w:rPr>
        <w:t>可以</w:t>
      </w:r>
      <w:r>
        <w:rPr>
          <w:rFonts w:hint="eastAsia" w:ascii="宋体" w:hAnsi="宋体"/>
          <w:color w:val="auto"/>
          <w:highlight w:val="none"/>
          <w:lang w:eastAsia="zh-CN"/>
        </w:rPr>
        <w:t>多角度</w:t>
      </w:r>
      <w:r>
        <w:rPr>
          <w:rFonts w:hint="eastAsia" w:ascii="宋体" w:hAnsi="宋体"/>
          <w:color w:val="auto"/>
          <w:highlight w:val="none"/>
          <w:lang w:val="en-US" w:eastAsia="zh-CN"/>
        </w:rPr>
        <w:t>进行</w:t>
      </w:r>
      <w:r>
        <w:rPr>
          <w:rFonts w:hint="eastAsia" w:ascii="宋体" w:hAnsi="宋体"/>
          <w:color w:val="auto"/>
          <w:highlight w:val="none"/>
          <w:lang w:eastAsia="zh-CN"/>
        </w:rPr>
        <w:t>安装</w:t>
      </w:r>
      <w:r>
        <w:rPr>
          <w:rFonts w:hint="default" w:ascii="宋体" w:hAnsi="宋体"/>
          <w:color w:val="auto"/>
          <w:highlight w:val="none"/>
        </w:rPr>
        <w:t>，适应</w:t>
      </w:r>
      <w:r>
        <w:rPr>
          <w:rFonts w:hint="eastAsia" w:ascii="宋体" w:hAnsi="宋体"/>
          <w:color w:val="auto"/>
          <w:highlight w:val="none"/>
          <w:lang w:eastAsia="zh-CN"/>
        </w:rPr>
        <w:t>复杂的杆塔</w:t>
      </w:r>
      <w:r>
        <w:rPr>
          <w:rFonts w:hint="default" w:ascii="宋体" w:hAnsi="宋体"/>
          <w:color w:val="auto"/>
          <w:highlight w:val="none"/>
        </w:rPr>
        <w:t>作业环境</w:t>
      </w:r>
      <w:r>
        <w:rPr>
          <w:rFonts w:hint="eastAsia" w:ascii="宋体" w:hAnsi="宋体"/>
          <w:color w:val="auto"/>
          <w:highlight w:val="none"/>
        </w:rPr>
        <w:t>。</w:t>
      </w:r>
    </w:p>
    <w:p>
      <w:pPr>
        <w:ind w:firstLine="480"/>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2.2.3 </w:t>
      </w:r>
      <w:r>
        <w:rPr>
          <w:rFonts w:hint="default" w:ascii="宋体" w:hAnsi="宋体"/>
          <w:color w:val="000000" w:themeColor="text1"/>
          <w:highlight w:val="none"/>
          <w:lang w:val="en-US" w:eastAsia="zh-CN"/>
          <w14:textFill>
            <w14:solidFill>
              <w14:schemeClr w14:val="tx1"/>
            </w14:solidFill>
          </w14:textFill>
        </w:rPr>
        <w:t>工作原理</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本项目装置基于无人机挂载安装技术，其核心工作原理可分为以下两部分：</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（1）无人机精准投送：装置通过快装机构挂载于无人机，由无人机飞抵铁塔目标位。通过</w:t>
      </w:r>
      <w:r>
        <w:rPr>
          <w:rFonts w:hint="eastAsia" w:ascii="宋体" w:hAnsi="宋体" w:eastAsia="宋体" w:cs="黑体"/>
          <w:color w:val="auto"/>
          <w:sz w:val="24"/>
          <w:szCs w:val="22"/>
          <w:highlight w:val="none"/>
          <w:lang w:val="en-US" w:eastAsia="zh-CN"/>
        </w:rPr>
        <w:t>可视化对位辅助系统</w:t>
      </w:r>
      <w:r>
        <w:rPr>
          <w:rFonts w:hint="eastAsia" w:ascii="宋体" w:hAnsi="宋体"/>
          <w:color w:val="auto"/>
          <w:highlight w:val="none"/>
          <w:lang w:val="en-US" w:eastAsia="zh-CN"/>
        </w:rPr>
        <w:t>，对位安装后，控制挂载安装系统松脱，实现牢固的“一键式”安装。</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（2）防鸟刺强磁模块：在装置可靠吸附于铁塔后，装置凭借其强大的吸附力（≥150N），确保在大风、振动等复杂环境下能够长期稳定驻留，实现持久、高效的物理驱鸟功能。</w:t>
      </w:r>
    </w:p>
    <w:p>
      <w:pPr>
        <w:ind w:firstLine="480"/>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2.2.4 </w:t>
      </w:r>
      <w:r>
        <w:rPr>
          <w:rFonts w:hint="default" w:ascii="宋体" w:hAnsi="宋体"/>
          <w:color w:val="000000" w:themeColor="text1"/>
          <w:highlight w:val="none"/>
          <w:lang w:val="en-US" w:eastAsia="zh-CN"/>
          <w14:textFill>
            <w14:solidFill>
              <w14:schemeClr w14:val="tx1"/>
            </w14:solidFill>
          </w14:textFill>
        </w:rPr>
        <w:t>构造</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本装置采用模块化设计，主要由无人机挂载装置与轻量化防鸟刺阵列模组两大部分构成。</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（1）主体框架：以高强度挂载基座作为核心承力结构，确保整体轻量化与高强度。</w:t>
      </w:r>
    </w:p>
    <w:p>
      <w:pPr>
        <w:ind w:firstLine="480"/>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auto"/>
          <w:highlight w:val="none"/>
          <w:lang w:val="en-US" w:eastAsia="zh-CN"/>
        </w:rPr>
        <w:t>（2）电动驱动系统：该系统集成伺服减振电机以保障作业平稳性；通过电磁锁扣实现与无人机的快速连接与分离；采用电磁吸附系统提供强劲且可控的磁吸力；并由主控模块（MCU+传感器）作为智能控制中枢，协调整个部署流程的精准、自动执行。</w:t>
      </w:r>
    </w:p>
    <w:p>
      <w:pPr>
        <w:ind w:firstLine="480"/>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2.2.5 </w:t>
      </w:r>
      <w:r>
        <w:rPr>
          <w:rFonts w:hint="default" w:ascii="宋体" w:hAnsi="宋体"/>
          <w:color w:val="000000" w:themeColor="text1"/>
          <w:highlight w:val="none"/>
          <w:lang w:val="en-US" w:eastAsia="zh-CN"/>
          <w14:textFill>
            <w14:solidFill>
              <w14:schemeClr w14:val="tx1"/>
            </w14:solidFill>
          </w14:textFill>
        </w:rPr>
        <w:t>适用场景</w:t>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本装置适用于线路运维单位常用的中小型无人机，防鸟刺产品通用于各类型线路杆塔,向各个供电网区推广使用。</w:t>
      </w:r>
    </w:p>
    <w:p>
      <w:pPr>
        <w:pStyle w:val="5"/>
        <w:tabs>
          <w:tab w:val="left" w:pos="0"/>
        </w:tabs>
        <w:spacing w:before="0" w:after="0" w:line="360" w:lineRule="auto"/>
        <w:rPr>
          <w:rFonts w:ascii="宋体" w:hAnsi="宋体" w:cs="宋体"/>
          <w:sz w:val="28"/>
          <w:szCs w:val="24"/>
          <w:highlight w:val="none"/>
        </w:rPr>
      </w:pPr>
      <w:bookmarkStart w:id="29" w:name="_Toc17813"/>
      <w:r>
        <w:rPr>
          <w:rFonts w:hint="eastAsia" w:ascii="宋体" w:hAnsi="宋体" w:cs="宋体"/>
          <w:sz w:val="28"/>
          <w:szCs w:val="24"/>
          <w:highlight w:val="none"/>
          <w:lang w:val="en-US" w:eastAsia="zh-CN"/>
        </w:rPr>
        <w:t>2</w:t>
      </w:r>
      <w:r>
        <w:rPr>
          <w:rFonts w:hint="eastAsia" w:ascii="宋体" w:hAnsi="宋体" w:cs="宋体"/>
          <w:sz w:val="28"/>
          <w:szCs w:val="24"/>
          <w:highlight w:val="none"/>
        </w:rPr>
        <w:t>.3</w:t>
      </w:r>
      <w:r>
        <w:rPr>
          <w:rFonts w:hint="eastAsia" w:ascii="宋体" w:hAnsi="宋体" w:cs="宋体"/>
          <w:sz w:val="28"/>
          <w:szCs w:val="24"/>
          <w:highlight w:val="none"/>
          <w:lang w:val="en-US" w:eastAsia="zh-CN"/>
        </w:rPr>
        <w:t xml:space="preserve"> </w:t>
      </w:r>
      <w:r>
        <w:rPr>
          <w:rFonts w:hint="eastAsia" w:ascii="宋体" w:hAnsi="宋体" w:cs="宋体"/>
          <w:sz w:val="28"/>
          <w:szCs w:val="24"/>
          <w:highlight w:val="none"/>
        </w:rPr>
        <w:t>技术指标要求</w:t>
      </w:r>
      <w:bookmarkEnd w:id="29"/>
    </w:p>
    <w:tbl>
      <w:tblPr>
        <w:tblStyle w:val="16"/>
        <w:tblpPr w:leftFromText="180" w:rightFromText="180" w:vertAnchor="text" w:horzAnchor="page" w:tblpX="1926" w:tblpY="602"/>
        <w:tblOverlap w:val="never"/>
        <w:tblW w:w="831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9"/>
        <w:gridCol w:w="59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highlight w:val="none"/>
                <w14:textFill>
                  <w14:solidFill>
                    <w14:schemeClr w14:val="tx1"/>
                  </w14:solidFill>
                </w14:textFill>
              </w:rPr>
            </w:pPr>
            <w:bookmarkStart w:id="30" w:name="_Toc444945519"/>
            <w:bookmarkStart w:id="31" w:name="_Toc437603902"/>
            <w:r>
              <w:rPr>
                <w:rFonts w:hint="eastAsia" w:ascii="宋体" w:hAnsi="宋体"/>
                <w:color w:val="000000" w:themeColor="text1"/>
                <w:highlight w:val="none"/>
                <w14:textFill>
                  <w14:solidFill>
                    <w14:schemeClr w14:val="tx1"/>
                  </w14:solidFill>
                </w14:textFill>
              </w:rPr>
              <w:t>技术指标</w:t>
            </w:r>
          </w:p>
        </w:tc>
        <w:tc>
          <w:tcPr>
            <w:tcW w:w="5908"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FF0000"/>
                <w:highlight w:val="none"/>
              </w:rPr>
            </w:pPr>
            <w:r>
              <w:rPr>
                <w:rFonts w:hint="eastAsia" w:ascii="宋体" w:hAnsi="宋体"/>
                <w:color w:val="auto"/>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4"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center"/>
              <w:rPr>
                <w:rFonts w:ascii="宋体" w:hAnsi="宋体"/>
                <w:color w:val="auto"/>
                <w:highlight w:val="none"/>
              </w:rPr>
            </w:pPr>
            <w:r>
              <w:rPr>
                <w:rFonts w:hint="default" w:ascii="宋体" w:hAnsi="宋体"/>
                <w:color w:val="auto"/>
                <w:highlight w:val="none"/>
              </w:rPr>
              <w:t>模块化结构</w:t>
            </w:r>
          </w:p>
        </w:tc>
        <w:tc>
          <w:tcPr>
            <w:tcW w:w="5908" w:type="dxa"/>
            <w:tcBorders>
              <w:top w:val="single" w:color="auto" w:sz="4"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both"/>
              <w:rPr>
                <w:rFonts w:ascii="宋体" w:hAnsi="宋体"/>
                <w:color w:val="auto"/>
                <w:highlight w:val="none"/>
              </w:rPr>
            </w:pPr>
            <w:r>
              <w:rPr>
                <w:rFonts w:hint="default" w:ascii="宋体" w:hAnsi="宋体"/>
                <w:color w:val="auto"/>
                <w:highlight w:val="none"/>
              </w:rPr>
              <w:t>便于维修和更换部件，延长设备使用寿命。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center"/>
              <w:rPr>
                <w:rFonts w:hint="eastAsia" w:ascii="宋体" w:hAnsi="宋体"/>
                <w:color w:val="auto"/>
                <w:highlight w:val="none"/>
                <w:lang w:eastAsia="zh-CN"/>
              </w:rPr>
            </w:pPr>
            <w:r>
              <w:rPr>
                <w:rFonts w:hint="default" w:ascii="宋体" w:hAnsi="宋体"/>
                <w:color w:val="auto"/>
                <w:highlight w:val="none"/>
                <w:lang w:eastAsia="zh-CN"/>
              </w:rPr>
              <w:t>便捷性</w:t>
            </w:r>
          </w:p>
        </w:tc>
        <w:tc>
          <w:tcPr>
            <w:tcW w:w="5908"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both"/>
              <w:rPr>
                <w:rFonts w:hint="eastAsia" w:ascii="宋体" w:hAnsi="宋体"/>
                <w:color w:val="auto"/>
                <w:highlight w:val="none"/>
                <w:lang w:eastAsia="zh-CN"/>
              </w:rPr>
            </w:pPr>
            <w:r>
              <w:rPr>
                <w:rFonts w:hint="default" w:ascii="宋体" w:hAnsi="宋体"/>
                <w:color w:val="auto"/>
                <w:highlight w:val="none"/>
                <w:lang w:eastAsia="zh-CN"/>
              </w:rPr>
              <w:t>设备应设计合理，操作简单，便于携带和操作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center"/>
              <w:rPr>
                <w:rFonts w:ascii="宋体" w:hAnsi="宋体"/>
                <w:color w:val="auto"/>
                <w:highlight w:val="none"/>
              </w:rPr>
            </w:pPr>
            <w:r>
              <w:rPr>
                <w:rFonts w:hint="default" w:ascii="宋体" w:hAnsi="宋体"/>
                <w:color w:val="auto"/>
                <w:highlight w:val="none"/>
              </w:rPr>
              <w:t>耐用性</w:t>
            </w:r>
          </w:p>
        </w:tc>
        <w:tc>
          <w:tcPr>
            <w:tcW w:w="5908"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both"/>
              <w:rPr>
                <w:rFonts w:hint="eastAsia" w:ascii="宋体" w:hAnsi="宋体"/>
                <w:color w:val="auto"/>
                <w:highlight w:val="none"/>
                <w:lang w:eastAsia="zh-CN"/>
              </w:rPr>
            </w:pPr>
            <w:r>
              <w:rPr>
                <w:rFonts w:hint="default" w:ascii="宋体" w:hAnsi="宋体"/>
                <w:color w:val="auto"/>
                <w:highlight w:val="none"/>
              </w:rPr>
              <w:t>设备应具备较高的耐用性</w:t>
            </w:r>
            <w:r>
              <w:rPr>
                <w:rFonts w:hint="eastAsia" w:ascii="宋体" w:hAnsi="宋体"/>
                <w:color w:val="auto"/>
                <w:highlight w:val="none"/>
                <w:lang w:eastAsia="zh-CN"/>
              </w:rPr>
              <w:t>和</w:t>
            </w:r>
            <w:r>
              <w:rPr>
                <w:rFonts w:hint="default" w:ascii="宋体" w:hAnsi="宋体"/>
                <w:color w:val="auto"/>
                <w:highlight w:val="none"/>
              </w:rPr>
              <w:t>抗腐蚀性能，以防止在潮湿或高温环境下生锈或损坏</w:t>
            </w:r>
            <w:r>
              <w:rPr>
                <w:rFonts w:hint="eastAsia" w:ascii="宋体" w:hAnsi="宋体"/>
                <w:color w:val="auto"/>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center"/>
              <w:rPr>
                <w:rFonts w:ascii="宋体" w:hAnsi="宋体"/>
                <w:color w:val="auto"/>
                <w:highlight w:val="none"/>
              </w:rPr>
            </w:pPr>
            <w:r>
              <w:rPr>
                <w:rFonts w:ascii="宋体" w:hAnsi="宋体"/>
                <w:color w:val="auto"/>
                <w:highlight w:val="none"/>
              </w:rPr>
              <w:t>适应性</w:t>
            </w:r>
          </w:p>
        </w:tc>
        <w:tc>
          <w:tcPr>
            <w:tcW w:w="5908" w:type="dxa"/>
            <w:tcBorders>
              <w:top w:val="single" w:color="auto" w:sz="6" w:space="0"/>
              <w:left w:val="single" w:color="auto" w:sz="6" w:space="0"/>
              <w:bottom w:val="single" w:color="auto" w:sz="6" w:space="0"/>
              <w:right w:val="single" w:color="auto" w:sz="6" w:space="0"/>
            </w:tcBorders>
            <w:shd w:val="clear" w:color="auto" w:fill="FFFFFF"/>
            <w:vAlign w:val="center"/>
          </w:tcPr>
          <w:p>
            <w:pPr>
              <w:adjustRightInd w:val="0"/>
              <w:snapToGrid w:val="0"/>
              <w:ind w:firstLine="0" w:firstLineChars="0"/>
              <w:jc w:val="both"/>
              <w:rPr>
                <w:rFonts w:hint="default" w:ascii="宋体" w:hAnsi="宋体"/>
                <w:color w:val="auto"/>
                <w:highlight w:val="none"/>
                <w:lang w:val="en-US"/>
              </w:rPr>
            </w:pPr>
            <w:r>
              <w:rPr>
                <w:rFonts w:ascii="宋体" w:hAnsi="宋体"/>
                <w:color w:val="auto"/>
                <w:highlight w:val="none"/>
              </w:rPr>
              <w:t>应</w:t>
            </w:r>
            <w:r>
              <w:rPr>
                <w:rFonts w:hint="default" w:ascii="宋体" w:hAnsi="宋体"/>
                <w:color w:val="auto"/>
                <w:highlight w:val="none"/>
                <w:lang w:val="en-US" w:eastAsia="zh-CN"/>
              </w:rPr>
              <w:t>适用</w:t>
            </w:r>
            <w:r>
              <w:rPr>
                <w:rFonts w:hint="eastAsia" w:ascii="宋体" w:hAnsi="宋体"/>
                <w:color w:val="auto"/>
                <w:highlight w:val="none"/>
                <w:lang w:val="en-US" w:eastAsia="zh-CN"/>
              </w:rPr>
              <w:t>于不同型号的中小型无人机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auto" w:sz="6" w:space="0"/>
              <w:left w:val="single" w:color="000000" w:sz="6" w:space="0"/>
              <w:bottom w:val="single" w:color="000000" w:sz="6" w:space="0"/>
              <w:right w:val="single" w:color="000000" w:sz="6" w:space="0"/>
            </w:tcBorders>
            <w:vAlign w:val="center"/>
          </w:tcPr>
          <w:p>
            <w:pPr>
              <w:adjustRightInd w:val="0"/>
              <w:snapToGrid w:val="0"/>
              <w:ind w:firstLine="0" w:firstLineChars="0"/>
              <w:jc w:val="center"/>
              <w:rPr>
                <w:rFonts w:ascii="宋体" w:hAnsi="宋体"/>
                <w:color w:val="auto"/>
                <w:highlight w:val="none"/>
              </w:rPr>
            </w:pPr>
            <w:r>
              <w:rPr>
                <w:rFonts w:ascii="宋体" w:hAnsi="宋体"/>
                <w:color w:val="auto"/>
                <w:highlight w:val="none"/>
              </w:rPr>
              <w:t>安全性</w:t>
            </w:r>
          </w:p>
        </w:tc>
        <w:tc>
          <w:tcPr>
            <w:tcW w:w="5908" w:type="dxa"/>
            <w:tcBorders>
              <w:top w:val="single" w:color="auto" w:sz="6" w:space="0"/>
              <w:left w:val="single" w:color="000000" w:sz="6" w:space="0"/>
              <w:bottom w:val="single" w:color="000000" w:sz="6" w:space="0"/>
              <w:right w:val="single" w:color="000000" w:sz="6" w:space="0"/>
            </w:tcBorders>
            <w:vAlign w:val="center"/>
          </w:tcPr>
          <w:p>
            <w:pPr>
              <w:adjustRightInd w:val="0"/>
              <w:snapToGrid w:val="0"/>
              <w:ind w:firstLine="0" w:firstLineChars="0"/>
              <w:jc w:val="both"/>
              <w:rPr>
                <w:rFonts w:ascii="宋体" w:hAnsi="宋体"/>
                <w:color w:val="auto"/>
                <w:highlight w:val="none"/>
              </w:rPr>
            </w:pPr>
            <w:r>
              <w:rPr>
                <w:rFonts w:ascii="宋体" w:hAnsi="宋体"/>
                <w:color w:val="auto"/>
                <w:highlight w:val="none"/>
              </w:rPr>
              <w:t>设备和操作过程必须符合行业安全标准，最大限度降低</w:t>
            </w:r>
            <w:r>
              <w:rPr>
                <w:rFonts w:hint="eastAsia" w:ascii="宋体" w:hAnsi="宋体"/>
                <w:color w:val="auto"/>
                <w:highlight w:val="none"/>
                <w:lang w:val="en-US" w:eastAsia="zh-CN"/>
              </w:rPr>
              <w:t>无人机作业风险</w:t>
            </w:r>
            <w:r>
              <w:rPr>
                <w:rFonts w:ascii="宋体" w:hAnsi="宋体"/>
                <w:color w:val="auto"/>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trPr>
        <w:tc>
          <w:tcPr>
            <w:tcW w:w="2409"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ind w:firstLine="0" w:firstLineChars="0"/>
              <w:jc w:val="center"/>
              <w:rPr>
                <w:rFonts w:ascii="宋体" w:hAnsi="宋体"/>
                <w:color w:val="auto"/>
                <w:highlight w:val="none"/>
              </w:rPr>
            </w:pPr>
            <w:r>
              <w:rPr>
                <w:rFonts w:hint="default" w:ascii="宋体" w:hAnsi="宋体"/>
                <w:color w:val="auto"/>
                <w:highlight w:val="none"/>
              </w:rPr>
              <w:t>绝缘性</w:t>
            </w:r>
          </w:p>
        </w:tc>
        <w:tc>
          <w:tcPr>
            <w:tcW w:w="5908"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ind w:firstLine="0" w:firstLineChars="0"/>
              <w:jc w:val="both"/>
              <w:rPr>
                <w:rFonts w:ascii="宋体" w:hAnsi="宋体"/>
                <w:color w:val="auto"/>
                <w:highlight w:val="none"/>
              </w:rPr>
            </w:pPr>
            <w:r>
              <w:rPr>
                <w:rFonts w:hint="eastAsia" w:ascii="宋体" w:hAnsi="宋体"/>
                <w:color w:val="auto"/>
                <w:highlight w:val="none"/>
                <w:lang w:val="en-US" w:eastAsia="zh-CN"/>
              </w:rPr>
              <w:t>无人机挂载装置</w:t>
            </w:r>
            <w:r>
              <w:rPr>
                <w:rFonts w:hint="default" w:ascii="宋体" w:hAnsi="宋体"/>
                <w:color w:val="auto"/>
                <w:highlight w:val="none"/>
              </w:rPr>
              <w:t>应具备良好的绝缘性能，以防止</w:t>
            </w:r>
            <w:r>
              <w:rPr>
                <w:rFonts w:hint="eastAsia" w:ascii="宋体" w:hAnsi="宋体"/>
                <w:color w:val="auto"/>
                <w:highlight w:val="none"/>
                <w:lang w:val="en-US" w:eastAsia="zh-CN"/>
              </w:rPr>
              <w:t>影响线路正常运行</w:t>
            </w:r>
            <w:r>
              <w:rPr>
                <w:rFonts w:hint="default" w:ascii="宋体" w:hAnsi="宋体"/>
                <w:color w:val="auto"/>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409"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ind w:firstLine="0" w:firstLineChars="0"/>
              <w:jc w:val="center"/>
              <w:rPr>
                <w:rFonts w:hint="eastAsia" w:ascii="宋体" w:hAnsi="宋体"/>
                <w:color w:val="auto"/>
                <w:highlight w:val="none"/>
                <w:lang w:eastAsia="zh-CN"/>
              </w:rPr>
            </w:pPr>
            <w:r>
              <w:rPr>
                <w:rFonts w:hint="eastAsia" w:ascii="宋体" w:hAnsi="宋体"/>
                <w:color w:val="auto"/>
                <w:highlight w:val="none"/>
                <w:lang w:eastAsia="zh-CN"/>
              </w:rPr>
              <w:t>高效性</w:t>
            </w:r>
          </w:p>
        </w:tc>
        <w:tc>
          <w:tcPr>
            <w:tcW w:w="5908"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ind w:firstLine="0" w:firstLineChars="0"/>
              <w:jc w:val="both"/>
              <w:rPr>
                <w:rFonts w:hint="default" w:ascii="宋体" w:hAnsi="宋体"/>
                <w:color w:val="auto"/>
                <w:highlight w:val="none"/>
                <w:lang w:val="en-US"/>
              </w:rPr>
            </w:pPr>
            <w:r>
              <w:rPr>
                <w:rFonts w:hint="eastAsia" w:ascii="宋体" w:hAnsi="宋体"/>
                <w:color w:val="auto"/>
                <w:highlight w:val="none"/>
                <w:lang w:val="en-US" w:eastAsia="zh-CN"/>
              </w:rPr>
              <w:t>使用</w:t>
            </w:r>
            <w:r>
              <w:rPr>
                <w:rFonts w:hint="eastAsia" w:ascii="宋体" w:hAnsi="宋体"/>
                <w:color w:val="auto"/>
                <w:highlight w:val="none"/>
                <w:lang w:eastAsia="zh-CN"/>
              </w:rPr>
              <w:t>无人机</w:t>
            </w:r>
            <w:r>
              <w:rPr>
                <w:rFonts w:hint="eastAsia" w:ascii="宋体" w:hAnsi="宋体"/>
                <w:color w:val="auto"/>
                <w:highlight w:val="none"/>
                <w:lang w:val="en-US" w:eastAsia="zh-CN"/>
              </w:rPr>
              <w:t>挂载装置</w:t>
            </w:r>
            <w:r>
              <w:rPr>
                <w:rFonts w:hint="default" w:ascii="宋体" w:hAnsi="宋体"/>
                <w:color w:val="auto"/>
                <w:highlight w:val="none"/>
              </w:rPr>
              <w:t>，能够</w:t>
            </w:r>
            <w:r>
              <w:rPr>
                <w:rFonts w:hint="eastAsia" w:ascii="宋体" w:hAnsi="宋体"/>
                <w:color w:val="auto"/>
                <w:highlight w:val="none"/>
                <w:lang w:eastAsia="zh-CN"/>
              </w:rPr>
              <w:t>在</w:t>
            </w:r>
            <w:r>
              <w:rPr>
                <w:rFonts w:hint="eastAsia" w:ascii="宋体" w:hAnsi="宋体"/>
                <w:color w:val="auto"/>
                <w:highlight w:val="none"/>
                <w:lang w:val="en-US" w:eastAsia="zh-CN"/>
              </w:rPr>
              <w:t>快速完成防鸟刺</w:t>
            </w:r>
            <w:r>
              <w:rPr>
                <w:rFonts w:hint="eastAsia" w:ascii="宋体" w:hAnsi="宋体"/>
                <w:color w:val="auto"/>
                <w:highlight w:val="none"/>
                <w:lang w:eastAsia="zh-CN"/>
              </w:rPr>
              <w:t>安装。</w:t>
            </w:r>
          </w:p>
        </w:tc>
      </w:tr>
      <w:bookmarkEnd w:id="30"/>
      <w:bookmarkEnd w:id="31"/>
    </w:tbl>
    <w:p>
      <w:pPr>
        <w:pStyle w:val="5"/>
        <w:tabs>
          <w:tab w:val="left" w:pos="0"/>
        </w:tabs>
        <w:spacing w:before="0" w:after="0" w:line="360" w:lineRule="auto"/>
        <w:rPr>
          <w:rFonts w:hint="eastAsia" w:ascii="宋体" w:hAnsi="宋体" w:cs="宋体"/>
          <w:sz w:val="28"/>
          <w:szCs w:val="24"/>
          <w:highlight w:val="none"/>
        </w:rPr>
      </w:pPr>
      <w:bookmarkStart w:id="32" w:name="_Toc8248"/>
      <w:r>
        <w:rPr>
          <w:rFonts w:hint="eastAsia" w:ascii="宋体" w:hAnsi="宋体" w:cs="宋体"/>
          <w:sz w:val="28"/>
          <w:szCs w:val="24"/>
          <w:highlight w:val="none"/>
          <w:lang w:val="en-US" w:eastAsia="zh-CN"/>
        </w:rPr>
        <w:t>2</w:t>
      </w:r>
      <w:r>
        <w:rPr>
          <w:rFonts w:hint="eastAsia" w:ascii="宋体" w:hAnsi="宋体" w:cs="宋体"/>
          <w:sz w:val="28"/>
          <w:szCs w:val="24"/>
          <w:highlight w:val="none"/>
        </w:rPr>
        <w:t>.4</w:t>
      </w:r>
      <w:r>
        <w:rPr>
          <w:rFonts w:hint="eastAsia" w:ascii="宋体" w:hAnsi="宋体" w:cs="宋体"/>
          <w:sz w:val="28"/>
          <w:szCs w:val="24"/>
          <w:highlight w:val="none"/>
          <w:lang w:val="en-US" w:eastAsia="zh-CN"/>
        </w:rPr>
        <w:t xml:space="preserve"> </w:t>
      </w:r>
      <w:r>
        <w:rPr>
          <w:rFonts w:hint="eastAsia" w:ascii="宋体" w:hAnsi="宋体" w:cs="宋体"/>
          <w:sz w:val="28"/>
          <w:szCs w:val="24"/>
          <w:highlight w:val="none"/>
        </w:rPr>
        <w:t>设备研究所需材料</w:t>
      </w:r>
      <w:bookmarkEnd w:id="32"/>
    </w:p>
    <w:tbl>
      <w:tblPr>
        <w:tblStyle w:val="15"/>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eastAsia="宋体" w:cs="Times New Roman"/>
                <w:color w:val="auto"/>
                <w:sz w:val="24"/>
                <w:szCs w:val="24"/>
                <w:highlight w:val="none"/>
                <w:lang w:val="en-US" w:eastAsia="zh-CN"/>
              </w:rPr>
              <w:t>基于无人机安装的铁塔防鸟刺部署装置</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轻量化防鸟刺阵列模组</w:t>
            </w:r>
          </w:p>
        </w:tc>
        <w:tc>
          <w:tcPr>
            <w:tcW w:w="1075" w:type="pct"/>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套</w:t>
            </w:r>
          </w:p>
        </w:tc>
        <w:tc>
          <w:tcPr>
            <w:tcW w:w="1512" w:type="pct"/>
            <w:vAlign w:val="center"/>
          </w:tcPr>
          <w:p>
            <w:pPr>
              <w:adjustRightInd w:val="0"/>
              <w:snapToGrid w:val="0"/>
              <w:ind w:firstLine="0" w:firstLineChars="0"/>
              <w:jc w:val="center"/>
              <w:rPr>
                <w:rFonts w:hint="default"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10</w:t>
            </w:r>
          </w:p>
        </w:tc>
      </w:tr>
    </w:tbl>
    <w:p>
      <w:pPr>
        <w:rPr>
          <w:rFonts w:hint="eastAsia"/>
        </w:rPr>
      </w:pPr>
    </w:p>
    <w:p>
      <w:pPr>
        <w:pStyle w:val="5"/>
        <w:tabs>
          <w:tab w:val="left" w:pos="0"/>
        </w:tabs>
        <w:spacing w:before="0" w:after="0" w:line="360" w:lineRule="auto"/>
        <w:jc w:val="left"/>
        <w:rPr>
          <w:rFonts w:ascii="宋体" w:hAnsi="宋体" w:cs="宋体"/>
          <w:sz w:val="28"/>
          <w:szCs w:val="24"/>
          <w:highlight w:val="none"/>
        </w:rPr>
      </w:pPr>
      <w:bookmarkStart w:id="33" w:name="_Toc502"/>
      <w:r>
        <w:rPr>
          <w:rFonts w:hint="eastAsia" w:ascii="宋体" w:hAnsi="宋体" w:cs="宋体"/>
          <w:sz w:val="28"/>
          <w:szCs w:val="24"/>
          <w:highlight w:val="none"/>
          <w:lang w:val="en-US" w:eastAsia="zh-CN"/>
        </w:rPr>
        <w:t>2</w:t>
      </w:r>
      <w:r>
        <w:rPr>
          <w:rFonts w:hint="eastAsia" w:ascii="宋体" w:hAnsi="宋体" w:cs="宋体"/>
          <w:sz w:val="28"/>
          <w:szCs w:val="24"/>
          <w:highlight w:val="none"/>
        </w:rPr>
        <w:t>.5</w:t>
      </w:r>
      <w:r>
        <w:rPr>
          <w:rFonts w:hint="eastAsia" w:ascii="宋体" w:hAnsi="宋体" w:cs="宋体"/>
          <w:sz w:val="28"/>
          <w:szCs w:val="24"/>
          <w:highlight w:val="none"/>
          <w:lang w:val="en-US" w:eastAsia="zh-CN"/>
        </w:rPr>
        <w:t xml:space="preserve"> </w:t>
      </w:r>
      <w:r>
        <w:rPr>
          <w:rFonts w:hint="eastAsia" w:ascii="宋体" w:hAnsi="宋体" w:cs="宋体"/>
          <w:sz w:val="28"/>
          <w:szCs w:val="24"/>
          <w:highlight w:val="none"/>
        </w:rPr>
        <w:t>加工服务地点和期限</w:t>
      </w:r>
      <w:bookmarkEnd w:id="33"/>
      <w:bookmarkStart w:id="67" w:name="_GoBack"/>
      <w:bookmarkEnd w:id="67"/>
    </w:p>
    <w:p>
      <w:pPr>
        <w:widowControl/>
        <w:ind w:firstLine="0" w:firstLineChars="0"/>
        <w:jc w:val="left"/>
        <w:textAlignment w:val="center"/>
        <w:rPr>
          <w:rFonts w:hint="eastAsia" w:ascii="宋体" w:hAnsi="宋体" w:cs="宋体"/>
          <w:color w:val="000000"/>
          <w:kern w:val="0"/>
          <w:szCs w:val="24"/>
          <w:highlight w:val="none"/>
          <w:lang w:bidi="en-AU"/>
        </w:rPr>
      </w:pPr>
      <w:r>
        <w:rPr>
          <w:rFonts w:hint="eastAsia" w:ascii="宋体" w:hAnsi="宋体" w:cs="宋体"/>
          <w:color w:val="000000"/>
          <w:kern w:val="0"/>
          <w:szCs w:val="24"/>
          <w:highlight w:val="none"/>
          <w:lang w:bidi="en-AU"/>
        </w:rPr>
        <w:t>地点：防城港市金花茶大道60号</w:t>
      </w:r>
    </w:p>
    <w:p>
      <w:pPr>
        <w:ind w:firstLine="0" w:firstLineChars="0"/>
        <w:rPr>
          <w:rFonts w:ascii="宋体" w:hAnsi="宋体" w:cs="宋体"/>
          <w:color w:val="000000"/>
          <w:kern w:val="0"/>
          <w:szCs w:val="24"/>
          <w:highlight w:val="none"/>
          <w:lang w:bidi="en-AU"/>
        </w:rPr>
      </w:pPr>
      <w:r>
        <w:rPr>
          <w:rFonts w:hint="eastAsia" w:ascii="宋体" w:hAnsi="宋体" w:cs="宋体"/>
          <w:color w:val="000000"/>
          <w:kern w:val="0"/>
          <w:szCs w:val="24"/>
          <w:highlight w:val="none"/>
          <w:lang w:bidi="en-AU"/>
        </w:rPr>
        <w:t>服务期限：</w:t>
      </w:r>
      <w:bookmarkStart w:id="34" w:name="_Toc480800900"/>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p>
    <w:p>
      <w:pPr>
        <w:pStyle w:val="4"/>
        <w:numPr>
          <w:ilvl w:val="0"/>
          <w:numId w:val="0"/>
        </w:numPr>
        <w:tabs>
          <w:tab w:val="clear" w:pos="432"/>
        </w:tabs>
        <w:bidi w:val="0"/>
        <w:ind w:left="0" w:leftChars="0"/>
        <w:rPr>
          <w:rFonts w:hint="eastAsia"/>
          <w:highlight w:val="none"/>
        </w:rPr>
      </w:pPr>
      <w:bookmarkStart w:id="35" w:name="_Toc6137"/>
      <w:r>
        <w:rPr>
          <w:rFonts w:hint="eastAsia"/>
          <w:highlight w:val="none"/>
        </w:rPr>
        <w:t>三、研究开发成果交付</w:t>
      </w:r>
      <w:bookmarkEnd w:id="34"/>
      <w:r>
        <w:rPr>
          <w:rFonts w:hint="eastAsia"/>
          <w:highlight w:val="none"/>
        </w:rPr>
        <w:t>物</w:t>
      </w:r>
      <w:bookmarkEnd w:id="35"/>
    </w:p>
    <w:p>
      <w:pPr>
        <w:ind w:firstLine="480"/>
        <w:rPr>
          <w:rFonts w:hint="eastAsia" w:ascii="宋体" w:hAnsi="宋体" w:eastAsia="宋体"/>
          <w:highlight w:val="none"/>
          <w:lang w:eastAsia="zh-CN"/>
        </w:rPr>
      </w:pPr>
      <w:bookmarkStart w:id="36" w:name="_Toc480800901"/>
      <w:r>
        <w:rPr>
          <w:rFonts w:hint="eastAsia" w:ascii="宋体" w:hAnsi="宋体"/>
          <w:highlight w:val="none"/>
        </w:rPr>
        <w:t>研究开发成果交付的形式和数量</w:t>
      </w:r>
      <w:bookmarkEnd w:id="36"/>
      <w:r>
        <w:rPr>
          <w:rFonts w:hint="eastAsia" w:ascii="宋体" w:hAnsi="宋体"/>
          <w:highlight w:val="none"/>
          <w:lang w:eastAsia="zh-CN"/>
        </w:rPr>
        <w:t>：</w:t>
      </w:r>
    </w:p>
    <w:tbl>
      <w:tblPr>
        <w:tblStyle w:val="14"/>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型号规格</w:t>
            </w:r>
          </w:p>
          <w:p>
            <w:pPr>
              <w:ind w:firstLine="0" w:firstLineChars="0"/>
              <w:jc w:val="center"/>
              <w:rPr>
                <w:rFonts w:ascii="宋体" w:hAnsi="宋体" w:cs="宋体"/>
                <w:szCs w:val="24"/>
                <w:highlight w:val="none"/>
              </w:rPr>
            </w:pPr>
            <w:r>
              <w:rPr>
                <w:rFonts w:hint="eastAsia" w:ascii="宋体" w:hAnsi="宋体" w:cs="宋体"/>
                <w:szCs w:val="24"/>
                <w:highlight w:val="none"/>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r>
              <w:rPr>
                <w:rFonts w:hint="eastAsia" w:ascii="宋体" w:hAnsi="宋体" w:cs="宋体"/>
                <w:szCs w:val="24"/>
                <w:highlight w:val="none"/>
              </w:rPr>
              <w:t>备注</w:t>
            </w:r>
          </w:p>
        </w:tc>
      </w:tr>
      <w:tr>
        <w:tblPrEx>
          <w:tblCellMar>
            <w:top w:w="0" w:type="dxa"/>
            <w:left w:w="0" w:type="dxa"/>
            <w:bottom w:w="0" w:type="dxa"/>
            <w:right w:w="0" w:type="dxa"/>
          </w:tblCellMar>
        </w:tblPrEx>
        <w:trPr>
          <w:cantSplit/>
          <w:trHeight w:val="564"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highlight w:val="none"/>
              </w:rPr>
            </w:pPr>
            <w:r>
              <w:rPr>
                <w:rFonts w:hint="eastAsia" w:ascii="宋体" w:hAnsi="宋体" w:cs="宋体"/>
                <w:szCs w:val="24"/>
                <w:highlight w:val="none"/>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auto"/>
                <w:highlight w:val="none"/>
              </w:rPr>
            </w:pPr>
            <w:r>
              <w:rPr>
                <w:rFonts w:hint="default" w:ascii="宋体" w:hAnsi="宋体" w:eastAsia="宋体" w:cs="Times New Roman"/>
                <w:color w:val="auto"/>
                <w:sz w:val="21"/>
                <w:szCs w:val="21"/>
                <w:highlight w:val="none"/>
                <w:lang w:val="en-US" w:eastAsia="zh-CN"/>
              </w:rPr>
              <w:t>基于无人机安装的铁塔防鸟刺部署装置</w:t>
            </w:r>
            <w:r>
              <w:rPr>
                <w:rFonts w:hint="eastAsia" w:ascii="宋体" w:hAnsi="宋体" w:eastAsia="宋体" w:cs="Times New Roman"/>
                <w:color w:val="auto"/>
                <w:sz w:val="21"/>
                <w:szCs w:val="21"/>
                <w:highlight w:val="none"/>
                <w:lang w:val="en-US" w:eastAsia="zh-CN"/>
              </w:rPr>
              <w:t>无人机挂载装置</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2</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highlight w:val="none"/>
              </w:rPr>
            </w:pPr>
            <w:r>
              <w:rPr>
                <w:rFonts w:hint="eastAsia" w:ascii="宋体" w:hAnsi="宋体" w:cs="宋体"/>
                <w:szCs w:val="24"/>
                <w:highlight w:val="none"/>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auto"/>
                <w:highlight w:val="none"/>
              </w:rPr>
            </w:pPr>
            <w:r>
              <w:rPr>
                <w:rFonts w:hint="eastAsia" w:ascii="宋体" w:hAnsi="宋体" w:eastAsia="宋体" w:cs="Times New Roman"/>
                <w:color w:val="auto"/>
                <w:sz w:val="21"/>
                <w:szCs w:val="21"/>
                <w:highlight w:val="none"/>
                <w:lang w:val="en-US" w:eastAsia="zh-CN"/>
              </w:rPr>
              <w:t>轻量化防鸟刺阵列模组</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0</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highlight w:val="none"/>
              </w:rPr>
            </w:pPr>
            <w:r>
              <w:rPr>
                <w:rFonts w:hint="eastAsia" w:ascii="宋体" w:hAnsi="宋体" w:cs="宋体"/>
                <w:szCs w:val="24"/>
                <w:highlight w:val="none"/>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auto"/>
                <w:highlight w:val="none"/>
              </w:rPr>
            </w:pPr>
            <w:r>
              <w:rPr>
                <w:rFonts w:hint="default" w:ascii="宋体" w:hAnsi="宋体" w:eastAsia="宋体" w:cs="Times New Roman"/>
                <w:color w:val="auto"/>
                <w:sz w:val="21"/>
                <w:szCs w:val="21"/>
                <w:highlight w:val="none"/>
                <w:lang w:val="en-US" w:eastAsia="zh-CN"/>
              </w:rPr>
              <w:t>基于无人机安装的铁塔防鸟刺部署装置设计方案及图纸</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auto"/>
                <w:szCs w:val="24"/>
                <w:highlight w:val="none"/>
              </w:rPr>
            </w:pPr>
            <w:r>
              <w:rPr>
                <w:rFonts w:hint="eastAsia" w:ascii="宋体" w:hAnsi="宋体" w:cs="宋体"/>
                <w:color w:val="auto"/>
                <w:szCs w:val="24"/>
                <w:highlight w:val="none"/>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highlight w:val="none"/>
              </w:rPr>
            </w:pPr>
          </w:p>
        </w:tc>
      </w:tr>
    </w:tbl>
    <w:p>
      <w:pPr>
        <w:pStyle w:val="4"/>
        <w:numPr>
          <w:ilvl w:val="0"/>
          <w:numId w:val="0"/>
        </w:numPr>
        <w:tabs>
          <w:tab w:val="clear" w:pos="432"/>
        </w:tabs>
        <w:bidi w:val="0"/>
        <w:ind w:left="0" w:leftChars="0"/>
      </w:pPr>
      <w:bookmarkStart w:id="37" w:name="_Toc13225"/>
      <w:r>
        <w:rPr>
          <w:rFonts w:hint="eastAsia"/>
        </w:rPr>
        <w:t>四、开发人员</w:t>
      </w:r>
      <w:bookmarkEnd w:id="37"/>
    </w:p>
    <w:p>
      <w:pPr>
        <w:ind w:firstLine="480"/>
        <w:rPr>
          <w:rFonts w:ascii="宋体" w:hAnsi="宋体"/>
          <w:highlight w:val="yellow"/>
        </w:rPr>
      </w:pPr>
      <w:r>
        <w:rPr>
          <w:rFonts w:hint="eastAsia" w:ascii="宋体" w:hAnsi="宋体"/>
        </w:rPr>
        <w:t>投</w:t>
      </w:r>
      <w:r>
        <w:rPr>
          <w:rFonts w:ascii="宋体" w:hAnsi="宋体"/>
        </w:rPr>
        <w:t>标方应在投标时提供投入本项目</w:t>
      </w:r>
      <w:r>
        <w:rPr>
          <w:rFonts w:hint="eastAsia" w:ascii="宋体" w:hAnsi="宋体"/>
        </w:rPr>
        <w:t>工作</w:t>
      </w:r>
      <w:r>
        <w:rPr>
          <w:rFonts w:ascii="宋体" w:hAnsi="宋体"/>
        </w:rPr>
        <w:t>的项目组人员名单，</w:t>
      </w:r>
      <w:r>
        <w:rPr>
          <w:rFonts w:hint="eastAsia" w:ascii="宋体" w:hAnsi="宋体"/>
        </w:rPr>
        <w:t>列入</w:t>
      </w:r>
      <w:r>
        <w:rPr>
          <w:rFonts w:ascii="宋体" w:hAnsi="宋体"/>
        </w:rPr>
        <w:t>名单的人员应专职于本项目工作，</w:t>
      </w:r>
      <w:r>
        <w:rPr>
          <w:rFonts w:hint="eastAsia" w:ascii="宋体" w:hAnsi="宋体"/>
        </w:rPr>
        <w:t>专职</w:t>
      </w:r>
      <w:r>
        <w:rPr>
          <w:rFonts w:ascii="宋体" w:hAnsi="宋体"/>
        </w:rPr>
        <w:t>开发人员人数</w:t>
      </w:r>
      <w:r>
        <w:rPr>
          <w:rFonts w:hint="eastAsia" w:ascii="宋体" w:hAnsi="宋体"/>
        </w:rPr>
        <w:t>占名单总</w:t>
      </w:r>
      <w:r>
        <w:rPr>
          <w:rFonts w:ascii="宋体" w:hAnsi="宋体"/>
        </w:rPr>
        <w:t>人数</w:t>
      </w:r>
      <w:r>
        <w:rPr>
          <w:rFonts w:hint="eastAsia" w:ascii="宋体" w:hAnsi="宋体"/>
        </w:rPr>
        <w:t>比例</w:t>
      </w:r>
      <w:r>
        <w:rPr>
          <w:rFonts w:ascii="宋体" w:hAnsi="宋体"/>
        </w:rPr>
        <w:t>不得少于</w:t>
      </w:r>
      <w:r>
        <w:rPr>
          <w:rFonts w:hint="eastAsia" w:ascii="宋体" w:hAnsi="宋体"/>
        </w:rPr>
        <w:t>60%，</w:t>
      </w:r>
      <w:r>
        <w:rPr>
          <w:rFonts w:ascii="宋体" w:hAnsi="宋体"/>
        </w:rPr>
        <w:t>在项目验收未通过前，该</w:t>
      </w:r>
      <w:r>
        <w:rPr>
          <w:rFonts w:hint="eastAsia" w:ascii="宋体" w:hAnsi="宋体"/>
        </w:rPr>
        <w:t>名单</w:t>
      </w:r>
      <w:r>
        <w:rPr>
          <w:rFonts w:ascii="宋体" w:hAnsi="宋体"/>
        </w:rPr>
        <w:t>中</w:t>
      </w:r>
      <w:r>
        <w:rPr>
          <w:rFonts w:hint="eastAsia" w:ascii="宋体" w:hAnsi="宋体"/>
        </w:rPr>
        <w:t>的</w:t>
      </w:r>
      <w:r>
        <w:rPr>
          <w:rFonts w:ascii="宋体" w:hAnsi="宋体"/>
        </w:rPr>
        <w:t>人员变动不得超过</w:t>
      </w:r>
      <w:r>
        <w:rPr>
          <w:rFonts w:hint="eastAsia" w:ascii="宋体" w:hAnsi="宋体"/>
        </w:rPr>
        <w:t>25%。</w:t>
      </w:r>
    </w:p>
    <w:p>
      <w:pPr>
        <w:pStyle w:val="4"/>
        <w:numPr>
          <w:ilvl w:val="0"/>
          <w:numId w:val="0"/>
        </w:numPr>
        <w:tabs>
          <w:tab w:val="clear" w:pos="432"/>
        </w:tabs>
        <w:bidi w:val="0"/>
        <w:ind w:left="0" w:leftChars="0"/>
        <w:rPr>
          <w:rFonts w:hint="eastAsia"/>
        </w:rPr>
      </w:pPr>
      <w:bookmarkStart w:id="38" w:name="_Toc444945521"/>
      <w:bookmarkStart w:id="39" w:name="_Toc22815"/>
      <w:r>
        <w:rPr>
          <w:rFonts w:hint="eastAsia"/>
        </w:rPr>
        <w:t>五、投标技术文件编制要求</w:t>
      </w:r>
      <w:bookmarkEnd w:id="38"/>
      <w:bookmarkEnd w:id="39"/>
    </w:p>
    <w:p>
      <w:pPr>
        <w:pStyle w:val="20"/>
        <w:spacing w:line="360" w:lineRule="auto"/>
        <w:ind w:firstLine="480"/>
        <w:rPr>
          <w:rFonts w:eastAsia="宋体" w:cs="Times New Roman"/>
          <w:szCs w:val="24"/>
        </w:rPr>
      </w:pPr>
      <w:r>
        <w:rPr>
          <w:rFonts w:hint="eastAsia" w:eastAsia="宋体" w:cs="Times New Roman"/>
          <w:szCs w:val="24"/>
        </w:rPr>
        <w:t>投标方可以到现场实地考察，并根据科技项目研发总体目标和招标技术文件提出自己的技术研究方案、工程施工方案、工程进度表和商务报价，技术文件应包含（不仅限于）以下内容：</w:t>
      </w:r>
    </w:p>
    <w:p>
      <w:pPr>
        <w:pStyle w:val="5"/>
        <w:bidi w:val="0"/>
      </w:pPr>
      <w:bookmarkStart w:id="40" w:name="_Toc2588"/>
      <w:r>
        <w:rPr>
          <w:rFonts w:hint="eastAsia"/>
        </w:rPr>
        <w:t>5.1</w:t>
      </w:r>
      <w:r>
        <w:t xml:space="preserve"> </w:t>
      </w:r>
      <w:r>
        <w:rPr>
          <w:rFonts w:hint="eastAsia"/>
        </w:rPr>
        <w:t>研究内容</w:t>
      </w:r>
      <w:bookmarkEnd w:id="40"/>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国内外相关技术研究现状、发展趋势</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招标项目需解决的关键技术问题</w:t>
      </w:r>
    </w:p>
    <w:p>
      <w:pPr>
        <w:pStyle w:val="5"/>
        <w:bidi w:val="0"/>
      </w:pPr>
      <w:bookmarkStart w:id="41" w:name="_Toc12859"/>
      <w:r>
        <w:rPr>
          <w:rFonts w:hint="eastAsia"/>
        </w:rPr>
        <w:t>5.</w:t>
      </w:r>
      <w:r>
        <w:t xml:space="preserve">2 </w:t>
      </w:r>
      <w:r>
        <w:rPr>
          <w:rFonts w:hint="eastAsia"/>
        </w:rPr>
        <w:t>研究思路与技术路线</w:t>
      </w:r>
      <w:bookmarkEnd w:id="41"/>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研究思路</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技术路线</w:t>
      </w:r>
    </w:p>
    <w:p>
      <w:pPr>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pStyle w:val="5"/>
        <w:bidi w:val="0"/>
      </w:pPr>
      <w:bookmarkStart w:id="42" w:name="_Toc27403"/>
      <w:r>
        <w:rPr>
          <w:rFonts w:hint="eastAsia"/>
        </w:rPr>
        <w:t>5.</w:t>
      </w:r>
      <w:r>
        <w:t xml:space="preserve">3 </w:t>
      </w:r>
      <w:r>
        <w:rPr>
          <w:rFonts w:hint="eastAsia"/>
        </w:rPr>
        <w:t>研究进度目标及指标</w:t>
      </w:r>
      <w:bookmarkEnd w:id="42"/>
    </w:p>
    <w:p>
      <w:pPr>
        <w:ind w:firstLine="480"/>
        <w:rPr>
          <w:rFonts w:ascii="Times New Roman" w:hAnsi="Times New Roman" w:cs="Times New Roman"/>
          <w:szCs w:val="24"/>
        </w:rPr>
      </w:pPr>
      <w:r>
        <w:rPr>
          <w:rFonts w:hint="eastAsia" w:ascii="Times New Roman" w:hAnsi="Times New Roman" w:cs="Times New Roman"/>
          <w:szCs w:val="24"/>
        </w:rPr>
        <w:t>描述项目各项工作的进展计划，并明确标出完成各项工作预计所需时间及达到的阶段目标及项目结束时所要达到的总目标。</w:t>
      </w:r>
    </w:p>
    <w:p>
      <w:pPr>
        <w:ind w:firstLine="480"/>
        <w:rPr>
          <w:rFonts w:ascii="Times New Roman" w:hAnsi="Times New Roman" w:cs="Times New Roman"/>
          <w:szCs w:val="24"/>
        </w:rPr>
      </w:pPr>
      <w:r>
        <w:rPr>
          <w:rFonts w:hint="eastAsia" w:ascii="Times New Roman" w:hAnsi="Times New Roman" w:cs="Times New Roman"/>
          <w:szCs w:val="24"/>
        </w:rPr>
        <w:t>指标：与招标方提出的功能要求、主要技术经济指标的响应情况。</w:t>
      </w:r>
    </w:p>
    <w:p>
      <w:pPr>
        <w:spacing w:before="156" w:beforeLines="50" w:line="300" w:lineRule="auto"/>
        <w:ind w:firstLine="480"/>
        <w:jc w:val="center"/>
        <w:rPr>
          <w:rFonts w:ascii="宋体" w:hAnsi="宋体"/>
          <w:szCs w:val="21"/>
          <w:highlight w:val="none"/>
        </w:rPr>
      </w:pPr>
      <w:r>
        <w:rPr>
          <w:rFonts w:hint="eastAsia" w:ascii="宋体" w:hAnsi="宋体"/>
          <w:szCs w:val="21"/>
          <w:highlight w:val="none"/>
        </w:rPr>
        <w:t>技术参数响应表</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2051"/>
        <w:gridCol w:w="1858"/>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szCs w:val="21"/>
                <w:highlight w:val="none"/>
              </w:rPr>
            </w:pPr>
            <w:r>
              <w:rPr>
                <w:rFonts w:hint="eastAsia" w:ascii="宋体" w:hAnsi="宋体" w:cs="宋体"/>
                <w:kern w:val="1"/>
                <w:sz w:val="18"/>
                <w:szCs w:val="18"/>
                <w:highlight w:val="none"/>
              </w:rPr>
              <w:t>序号</w:t>
            </w:r>
          </w:p>
        </w:tc>
        <w:tc>
          <w:tcPr>
            <w:tcW w:w="2345" w:type="dxa"/>
          </w:tcPr>
          <w:p>
            <w:pPr>
              <w:spacing w:before="44" w:after="44"/>
              <w:ind w:firstLine="360"/>
              <w:jc w:val="left"/>
              <w:rPr>
                <w:rFonts w:ascii="宋体" w:hAnsi="宋体"/>
                <w:szCs w:val="21"/>
                <w:highlight w:val="none"/>
              </w:rPr>
            </w:pPr>
            <w:r>
              <w:rPr>
                <w:rFonts w:hint="eastAsia" w:ascii="宋体" w:hAnsi="宋体" w:cs="宋体"/>
                <w:kern w:val="1"/>
                <w:sz w:val="18"/>
                <w:szCs w:val="18"/>
                <w:highlight w:val="none"/>
              </w:rPr>
              <w:t>交付成果名称</w:t>
            </w:r>
          </w:p>
        </w:tc>
        <w:tc>
          <w:tcPr>
            <w:tcW w:w="2051" w:type="dxa"/>
          </w:tcPr>
          <w:p>
            <w:pPr>
              <w:ind w:firstLine="360"/>
              <w:jc w:val="left"/>
              <w:rPr>
                <w:rFonts w:ascii="宋体" w:hAnsi="宋体"/>
                <w:szCs w:val="21"/>
                <w:highlight w:val="none"/>
              </w:rPr>
            </w:pPr>
            <w:r>
              <w:rPr>
                <w:rFonts w:hint="eastAsia" w:ascii="宋体" w:hAnsi="宋体" w:cs="宋体"/>
                <w:kern w:val="1"/>
                <w:sz w:val="18"/>
                <w:szCs w:val="18"/>
                <w:highlight w:val="none"/>
              </w:rPr>
              <w:t>招标人要求值</w:t>
            </w:r>
          </w:p>
        </w:tc>
        <w:tc>
          <w:tcPr>
            <w:tcW w:w="1858" w:type="dxa"/>
          </w:tcPr>
          <w:p>
            <w:pPr>
              <w:spacing w:before="44" w:after="44"/>
              <w:ind w:firstLine="360"/>
              <w:jc w:val="left"/>
              <w:rPr>
                <w:rFonts w:ascii="宋体" w:hAnsi="宋体"/>
                <w:szCs w:val="21"/>
                <w:highlight w:val="none"/>
              </w:rPr>
            </w:pPr>
            <w:r>
              <w:rPr>
                <w:rFonts w:hint="eastAsia" w:ascii="宋体" w:hAnsi="宋体" w:cs="宋体"/>
                <w:kern w:val="1"/>
                <w:sz w:val="18"/>
                <w:szCs w:val="18"/>
                <w:highlight w:val="none"/>
              </w:rPr>
              <w:t>投标人</w:t>
            </w:r>
            <w:r>
              <w:rPr>
                <w:rFonts w:ascii="宋体" w:hAnsi="宋体" w:cs="宋体"/>
                <w:kern w:val="1"/>
                <w:sz w:val="18"/>
                <w:szCs w:val="18"/>
                <w:highlight w:val="none"/>
              </w:rPr>
              <w:t>保证值</w:t>
            </w:r>
          </w:p>
        </w:tc>
        <w:tc>
          <w:tcPr>
            <w:tcW w:w="1205" w:type="dxa"/>
          </w:tcPr>
          <w:p>
            <w:pPr>
              <w:spacing w:before="44" w:after="44"/>
              <w:ind w:firstLine="360"/>
              <w:jc w:val="left"/>
              <w:rPr>
                <w:rFonts w:ascii="宋体" w:hAnsi="宋体"/>
                <w:szCs w:val="21"/>
                <w:highlight w:val="none"/>
              </w:rPr>
            </w:pPr>
            <w:r>
              <w:rPr>
                <w:rFonts w:hint="eastAsia" w:ascii="宋体" w:hAnsi="宋体" w:cs="宋体"/>
                <w:kern w:val="1"/>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vAlign w:val="center"/>
          </w:tcPr>
          <w:p>
            <w:pPr>
              <w:spacing w:before="156" w:beforeLines="50" w:line="300" w:lineRule="auto"/>
              <w:ind w:firstLine="0" w:firstLineChars="0"/>
              <w:jc w:val="center"/>
              <w:rPr>
                <w:rFonts w:ascii="宋体" w:hAnsi="宋体"/>
                <w:szCs w:val="21"/>
                <w:highlight w:val="none"/>
              </w:rPr>
            </w:pPr>
            <w:r>
              <w:rPr>
                <w:rFonts w:hint="eastAsia" w:ascii="宋体" w:hAnsi="宋体"/>
                <w:szCs w:val="21"/>
                <w:highlight w:val="none"/>
              </w:rPr>
              <w:t>1</w:t>
            </w:r>
          </w:p>
        </w:tc>
        <w:tc>
          <w:tcPr>
            <w:tcW w:w="2345" w:type="dxa"/>
            <w:vAlign w:val="center"/>
          </w:tcPr>
          <w:p>
            <w:pPr>
              <w:spacing w:before="156" w:beforeLines="50" w:line="300" w:lineRule="auto"/>
              <w:ind w:firstLine="0" w:firstLineChars="0"/>
              <w:jc w:val="both"/>
              <w:rPr>
                <w:rFonts w:hint="eastAsia" w:ascii="宋体" w:hAnsi="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基于无人机安装的铁塔防鸟刺部署装置无人机挂载装置</w:t>
            </w:r>
          </w:p>
        </w:tc>
        <w:tc>
          <w:tcPr>
            <w:tcW w:w="2051" w:type="dxa"/>
            <w:vAlign w:val="center"/>
          </w:tcPr>
          <w:p>
            <w:pPr>
              <w:spacing w:before="156" w:beforeLines="50" w:line="300" w:lineRule="auto"/>
              <w:ind w:firstLine="0" w:firstLineChars="0"/>
              <w:jc w:val="cente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达到技术指标要求</w:t>
            </w:r>
          </w:p>
        </w:tc>
        <w:tc>
          <w:tcPr>
            <w:tcW w:w="1858" w:type="dxa"/>
          </w:tcPr>
          <w:p>
            <w:pPr>
              <w:spacing w:before="156" w:beforeLines="50" w:line="300" w:lineRule="auto"/>
              <w:ind w:firstLine="480"/>
              <w:jc w:val="center"/>
              <w:rPr>
                <w:rFonts w:ascii="宋体" w:hAnsi="宋体"/>
                <w:szCs w:val="21"/>
                <w:highlight w:val="none"/>
              </w:rPr>
            </w:pPr>
          </w:p>
        </w:tc>
        <w:tc>
          <w:tcPr>
            <w:tcW w:w="1205" w:type="dxa"/>
          </w:tcPr>
          <w:p>
            <w:pPr>
              <w:spacing w:before="156" w:beforeLines="50" w:line="300" w:lineRule="auto"/>
              <w:ind w:firstLine="480"/>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vAlign w:val="center"/>
          </w:tcPr>
          <w:p>
            <w:pPr>
              <w:spacing w:before="156" w:beforeLines="50" w:line="300" w:lineRule="auto"/>
              <w:ind w:firstLine="0" w:firstLineChars="0"/>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2</w:t>
            </w:r>
          </w:p>
        </w:tc>
        <w:tc>
          <w:tcPr>
            <w:tcW w:w="2345" w:type="dxa"/>
            <w:vAlign w:val="center"/>
          </w:tcPr>
          <w:p>
            <w:pPr>
              <w:spacing w:before="156" w:beforeLines="50" w:line="300" w:lineRule="auto"/>
              <w:ind w:left="0" w:leftChars="0" w:firstLine="0" w:firstLineChars="0"/>
              <w:jc w:val="center"/>
              <w:rPr>
                <w:rFonts w:hint="eastAsia" w:ascii="宋体" w:hAnsi="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轻量化防鸟刺阵列模组</w:t>
            </w:r>
          </w:p>
        </w:tc>
        <w:tc>
          <w:tcPr>
            <w:tcW w:w="2051" w:type="dxa"/>
            <w:vAlign w:val="center"/>
          </w:tcPr>
          <w:p>
            <w:pPr>
              <w:spacing w:before="156" w:beforeLines="50" w:line="300" w:lineRule="auto"/>
              <w:ind w:left="0" w:leftChars="0" w:firstLine="0" w:firstLineChars="0"/>
              <w:jc w:val="cente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达到技术指标要求</w:t>
            </w:r>
          </w:p>
        </w:tc>
        <w:tc>
          <w:tcPr>
            <w:tcW w:w="1858" w:type="dxa"/>
          </w:tcPr>
          <w:p>
            <w:pPr>
              <w:spacing w:before="156" w:beforeLines="50" w:line="300" w:lineRule="auto"/>
              <w:ind w:firstLine="480"/>
              <w:jc w:val="center"/>
              <w:rPr>
                <w:rFonts w:ascii="宋体" w:hAnsi="宋体"/>
                <w:szCs w:val="21"/>
                <w:highlight w:val="none"/>
              </w:rPr>
            </w:pPr>
          </w:p>
        </w:tc>
        <w:tc>
          <w:tcPr>
            <w:tcW w:w="1205" w:type="dxa"/>
          </w:tcPr>
          <w:p>
            <w:pPr>
              <w:spacing w:before="156" w:beforeLines="50" w:line="300" w:lineRule="auto"/>
              <w:ind w:firstLine="480"/>
              <w:jc w:val="center"/>
              <w:rPr>
                <w:rFonts w:ascii="宋体" w:hAnsi="宋体"/>
                <w:szCs w:val="21"/>
                <w:highlight w:val="none"/>
              </w:rPr>
            </w:pPr>
          </w:p>
        </w:tc>
      </w:tr>
    </w:tbl>
    <w:p>
      <w:pPr>
        <w:pStyle w:val="5"/>
        <w:bidi w:val="0"/>
      </w:pPr>
      <w:bookmarkStart w:id="43" w:name="_Toc17858"/>
      <w:r>
        <w:rPr>
          <w:rFonts w:hint="eastAsia"/>
        </w:rPr>
        <w:t>5.</w:t>
      </w:r>
      <w:r>
        <w:t xml:space="preserve">4 </w:t>
      </w:r>
      <w:r>
        <w:rPr>
          <w:rFonts w:hint="eastAsia"/>
        </w:rPr>
        <w:t>项目实施的组织、管理</w:t>
      </w:r>
      <w:bookmarkEnd w:id="43"/>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pStyle w:val="5"/>
        <w:bidi w:val="0"/>
      </w:pPr>
      <w:bookmarkStart w:id="44" w:name="_Toc7198"/>
      <w:r>
        <w:rPr>
          <w:rFonts w:hint="eastAsia"/>
        </w:rPr>
        <w:t>5.</w:t>
      </w:r>
      <w:r>
        <w:t xml:space="preserve">5 </w:t>
      </w:r>
      <w:r>
        <w:rPr>
          <w:rFonts w:hint="eastAsia"/>
        </w:rPr>
        <w:t>承担能力说明</w:t>
      </w:r>
      <w:bookmarkEnd w:id="44"/>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联合投标单位基本情况及配套条件、责任与义务</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w:t>
      </w:r>
      <w:r>
        <w:rPr>
          <w:rFonts w:hint="eastAsia" w:ascii="Times New Roman" w:hAnsi="Times New Roman" w:cs="Times New Roman"/>
          <w:szCs w:val="24"/>
        </w:rPr>
        <w:t>其它需要说明的情况</w:t>
      </w:r>
      <w:r>
        <w:rPr>
          <w:rFonts w:hint="eastAsia" w:ascii="Times New Roman" w:hAnsi="Times New Roman" w:cs="Times New Roman"/>
          <w:szCs w:val="24"/>
          <w:lang w:eastAsia="zh-CN"/>
        </w:rPr>
        <w:t>。</w:t>
      </w:r>
    </w:p>
    <w:p>
      <w:pPr>
        <w:pStyle w:val="5"/>
        <w:bidi w:val="0"/>
      </w:pPr>
      <w:bookmarkStart w:id="45" w:name="_Toc17332"/>
      <w:r>
        <w:rPr>
          <w:rFonts w:hint="eastAsia"/>
        </w:rPr>
        <w:t>5.6</w:t>
      </w:r>
      <w:r>
        <w:t xml:space="preserve"> </w:t>
      </w:r>
      <w:r>
        <w:rPr>
          <w:rFonts w:hint="eastAsia"/>
        </w:rPr>
        <w:t>成果产生的数量、形式</w:t>
      </w:r>
      <w:bookmarkEnd w:id="45"/>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成果获得的可能性</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职务技术成果权益承诺、成果向社会转化方式</w:t>
      </w:r>
      <w:r>
        <w:rPr>
          <w:rFonts w:hint="eastAsia" w:ascii="Times New Roman" w:hAnsi="Times New Roman" w:cs="Times New Roman"/>
          <w:szCs w:val="24"/>
          <w:lang w:eastAsia="zh-CN"/>
        </w:rPr>
        <w:t>。</w:t>
      </w:r>
    </w:p>
    <w:p>
      <w:pPr>
        <w:pStyle w:val="5"/>
        <w:bidi w:val="0"/>
        <w:rPr>
          <w:rFonts w:hint="eastAsia"/>
        </w:rPr>
      </w:pPr>
      <w:bookmarkStart w:id="46" w:name="_Toc29281"/>
      <w:r>
        <w:rPr>
          <w:rFonts w:hint="eastAsia"/>
        </w:rPr>
        <w:t>5.7</w:t>
      </w:r>
      <w:r>
        <w:rPr>
          <w:rFonts w:hint="eastAsia"/>
          <w:lang w:val="en-US" w:eastAsia="zh-CN"/>
        </w:rPr>
        <w:t xml:space="preserve"> </w:t>
      </w:r>
      <w:r>
        <w:rPr>
          <w:rFonts w:hint="eastAsia"/>
        </w:rPr>
        <w:t>技术方案中涉及技术秘密的申明</w:t>
      </w:r>
      <w:bookmarkEnd w:id="46"/>
    </w:p>
    <w:p>
      <w:pPr>
        <w:pStyle w:val="21"/>
        <w:numPr>
          <w:ilvl w:val="0"/>
          <w:numId w:val="0"/>
        </w:numPr>
        <w:ind w:firstLine="240" w:firstLineChars="10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 xml:space="preserve">5.7.1 </w:t>
      </w:r>
      <w:r>
        <w:rPr>
          <w:rFonts w:hint="default" w:ascii="Times New Roman" w:hAnsi="Times New Roman" w:cs="Times New Roman"/>
          <w:szCs w:val="24"/>
          <w:lang w:val="en-US" w:eastAsia="zh-CN"/>
        </w:rPr>
        <w:t>声明范围</w:t>
      </w:r>
    </w:p>
    <w:p>
      <w:pPr>
        <w:pStyle w:val="21"/>
        <w:numPr>
          <w:ilvl w:val="0"/>
          <w:numId w:val="0"/>
        </w:numPr>
        <w:ind w:firstLine="240" w:firstLineChars="10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本技术方案中涉及的以下内容属于技术秘密，未经本公司书面授权，任何单位或个人不得以任何形式泄露、复制、传播或使用：</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技术原理：包括但不限于高空剪切钳的设计思路、工作原理、构造细节等。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5</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6</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核心技术：包括剪切刀片的材料选择、电动驱动系统的设计、防坠落装置的结构等。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7</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8</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工艺参数：包括剪切力的计算方法、材料的加工工艺、设备的装配要求等。</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（10）</w:t>
      </w:r>
      <w:r>
        <w:rPr>
          <w:rFonts w:hint="default" w:ascii="Times New Roman" w:hAnsi="Times New Roman" w:cs="Times New Roman"/>
          <w:szCs w:val="24"/>
          <w:lang w:val="en-US" w:eastAsia="zh-CN"/>
        </w:rPr>
        <w:t>其他相关内容：包括技术方案中未公开的实验数据、测试结果、优化方案等。</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 xml:space="preserve">5.7.2 </w:t>
      </w:r>
      <w:r>
        <w:rPr>
          <w:rFonts w:hint="default" w:ascii="Times New Roman" w:hAnsi="Times New Roman" w:cs="Times New Roman"/>
          <w:szCs w:val="24"/>
          <w:lang w:val="en-US" w:eastAsia="zh-CN"/>
        </w:rPr>
        <w:t>技术秘密的保护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本技术方案中的技术秘密受《中华人民共和国反不正当竞争法》</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《中华人民共和国专利法》等相关法律法规的保护。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任何未经授权的泄露、使用或传播技术秘密的行为，均视为侵权行为，本公司有权依法追究其法律责任。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3</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保密义务</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本技术方案的接收方（包括但不限于合作单位、技术人员、顾问等）应严格遵守保密义务，不得将技术秘密用于非授权用途。</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接收方应采取必要措施（如限制文件传播、签署保密协议等）保护技术秘密，防止其泄露。</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4</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违约责任</w:t>
      </w:r>
    </w:p>
    <w:p>
      <w:pPr>
        <w:pStyle w:val="21"/>
        <w:numPr>
          <w:ilvl w:val="0"/>
          <w:numId w:val="0"/>
        </w:numPr>
        <w:ind w:firstLine="480" w:firstLineChars="200"/>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对于违反本声明要求，导致技术秘密泄露的行为，本公司将依法追究其民事责任和刑事责任。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声明生效</w:t>
      </w:r>
    </w:p>
    <w:p>
      <w:pPr>
        <w:pStyle w:val="21"/>
        <w:numPr>
          <w:ilvl w:val="0"/>
          <w:numId w:val="0"/>
        </w:numPr>
        <w:ind w:firstLine="480" w:firstLineChars="200"/>
        <w:jc w:val="both"/>
        <w:rPr>
          <w:rFonts w:hint="eastAsia"/>
        </w:rPr>
      </w:pPr>
      <w:r>
        <w:rPr>
          <w:rFonts w:hint="default" w:ascii="Times New Roman" w:hAnsi="Times New Roman" w:cs="Times New Roman"/>
          <w:szCs w:val="24"/>
          <w:lang w:val="en-US" w:eastAsia="zh-CN"/>
        </w:rPr>
        <w:t>本声明自发布之日起生效，长期有效。</w:t>
      </w:r>
    </w:p>
    <w:p>
      <w:pPr>
        <w:pStyle w:val="5"/>
        <w:bidi w:val="0"/>
        <w:rPr>
          <w:rFonts w:hint="eastAsia"/>
          <w:lang w:val="en-US" w:eastAsia="zh-CN"/>
        </w:rPr>
      </w:pPr>
      <w:bookmarkStart w:id="47" w:name="_Toc17850"/>
      <w:r>
        <w:rPr>
          <w:rFonts w:hint="eastAsia"/>
          <w:lang w:val="en-US" w:eastAsia="zh-CN"/>
        </w:rPr>
        <w:t>5.8 售后服务承诺</w:t>
      </w:r>
      <w:bookmarkEnd w:id="47"/>
    </w:p>
    <w:p>
      <w:pPr>
        <w:ind w:left="0" w:leftChars="0" w:firstLine="0" w:firstLineChars="0"/>
        <w:rPr>
          <w:rFonts w:ascii="宋体" w:hAnsi="宋体"/>
        </w:rPr>
      </w:pPr>
      <w:r>
        <w:rPr>
          <w:rFonts w:hint="eastAsia" w:ascii="宋体" w:hAnsi="宋体"/>
          <w:lang w:eastAsia="zh-CN"/>
        </w:rPr>
        <w:t>（</w:t>
      </w:r>
      <w:r>
        <w:rPr>
          <w:rFonts w:hint="eastAsia" w:ascii="宋体" w:hAnsi="宋体"/>
        </w:rPr>
        <w:t>1）投标方维护服务管理体系，须在招标方当地有专业维护人员，能按要求及时响应。</w:t>
      </w:r>
    </w:p>
    <w:p>
      <w:pPr>
        <w:ind w:left="0" w:leftChars="0" w:firstLine="0" w:firstLineChars="0"/>
        <w:rPr>
          <w:rFonts w:ascii="宋体" w:hAnsi="宋体"/>
        </w:rPr>
      </w:pPr>
      <w:r>
        <w:rPr>
          <w:rFonts w:hint="eastAsia" w:ascii="宋体" w:hAnsi="宋体"/>
          <w:lang w:eastAsia="zh-CN"/>
        </w:rPr>
        <w:t>（</w:t>
      </w:r>
      <w:r>
        <w:rPr>
          <w:rFonts w:hint="eastAsia" w:ascii="宋体" w:hAnsi="宋体"/>
        </w:rPr>
        <w:t>2）提出保修期后每年的收费维修、维护内容，费用和服务方式、范围（产品、技术、模块、部件），供招标方选择。</w:t>
      </w:r>
    </w:p>
    <w:p>
      <w:pPr>
        <w:ind w:left="0" w:leftChars="0" w:firstLine="0" w:firstLineChars="0"/>
        <w:rPr>
          <w:rFonts w:ascii="宋体" w:hAnsi="宋体"/>
        </w:rPr>
      </w:pPr>
      <w:r>
        <w:rPr>
          <w:rFonts w:hint="eastAsia" w:ascii="宋体" w:hAnsi="宋体"/>
          <w:lang w:eastAsia="zh-CN"/>
        </w:rPr>
        <w:t>（</w:t>
      </w:r>
      <w:r>
        <w:rPr>
          <w:rFonts w:hint="eastAsia" w:ascii="宋体" w:hAnsi="宋体"/>
        </w:rPr>
        <w:t>3）按照本技术规范第十条售后服务要求的响应情况进行说明。</w:t>
      </w:r>
    </w:p>
    <w:p>
      <w:pPr>
        <w:pStyle w:val="4"/>
        <w:numPr>
          <w:ilvl w:val="0"/>
          <w:numId w:val="0"/>
        </w:numPr>
        <w:tabs>
          <w:tab w:val="clear" w:pos="432"/>
        </w:tabs>
        <w:spacing w:before="0" w:after="0" w:line="240" w:lineRule="auto"/>
        <w:ind w:left="0"/>
        <w:rPr>
          <w:rFonts w:hint="eastAsia" w:ascii="Calibri" w:hAnsi="Calibri" w:cs="黑体"/>
          <w:sz w:val="44"/>
          <w:szCs w:val="44"/>
        </w:rPr>
      </w:pPr>
      <w:bookmarkStart w:id="48" w:name="_Toc32386"/>
      <w:r>
        <w:rPr>
          <w:rFonts w:hint="eastAsia"/>
          <w:b/>
          <w:bCs/>
        </w:rPr>
        <w:t>六、技术资料和文件</w:t>
      </w:r>
      <w:bookmarkEnd w:id="48"/>
      <w:r>
        <w:rPr>
          <w:rFonts w:hint="eastAsia" w:ascii="Calibri" w:hAnsi="Calibri" w:cs="黑体"/>
          <w:sz w:val="44"/>
          <w:szCs w:val="44"/>
        </w:rPr>
        <w:t xml:space="preserve"> </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rPr>
        <w:t>1）</w:t>
      </w:r>
      <w:r>
        <w:rPr>
          <w:rFonts w:ascii="Times New Roman" w:hAnsi="Times New Roman" w:cs="Times New Roman"/>
          <w:szCs w:val="21"/>
          <w:lang w:val="zh-CN"/>
        </w:rPr>
        <w:t>在合同签字后</w:t>
      </w:r>
      <w:r>
        <w:rPr>
          <w:rFonts w:hint="eastAsia" w:ascii="Times New Roman" w:hAnsi="Times New Roman" w:cs="Times New Roman"/>
          <w:szCs w:val="21"/>
          <w:u w:val="single"/>
        </w:rPr>
        <w:t xml:space="preserve">   5日  </w:t>
      </w:r>
      <w:r>
        <w:rPr>
          <w:rFonts w:ascii="Times New Roman" w:hAnsi="Times New Roman" w:cs="Times New Roman"/>
          <w:szCs w:val="21"/>
          <w:lang w:val="zh-CN"/>
        </w:rPr>
        <w:t>内，</w:t>
      </w:r>
      <w:r>
        <w:rPr>
          <w:rFonts w:ascii="Times New Roman" w:hAnsi="Times New Roman" w:cs="Times New Roman"/>
          <w:szCs w:val="24"/>
          <w:lang w:val="zh-CN"/>
        </w:rPr>
        <w:t>中标方</w:t>
      </w:r>
      <w:r>
        <w:rPr>
          <w:rFonts w:ascii="Times New Roman" w:hAnsi="Times New Roman" w:cs="Times New Roman"/>
          <w:szCs w:val="21"/>
          <w:lang w:val="zh-CN"/>
        </w:rPr>
        <w:t>应提供详细的技术研究方案和工程进度表</w:t>
      </w:r>
      <w:r>
        <w:rPr>
          <w:rFonts w:ascii="Times New Roman" w:hAnsi="Times New Roman" w:cs="Times New Roman"/>
          <w:color w:val="000000"/>
          <w:szCs w:val="24"/>
        </w:rPr>
        <w:t>。</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lang w:val="en-US" w:eastAsia="zh-CN"/>
        </w:rPr>
        <w:t>2</w:t>
      </w:r>
      <w:r>
        <w:rPr>
          <w:rFonts w:hint="eastAsia" w:ascii="宋体" w:hAnsi="宋体"/>
        </w:rPr>
        <w:t>）</w:t>
      </w:r>
      <w:r>
        <w:rPr>
          <w:rFonts w:ascii="Times New Roman" w:hAnsi="Times New Roman" w:cs="Times New Roman"/>
          <w:szCs w:val="21"/>
          <w:lang w:val="zh-CN"/>
        </w:rPr>
        <w:t>项目研究过程中，中标方应提供相关理论研究报告、设计方案、试验数据、图谱、研究成果</w:t>
      </w:r>
      <w:r>
        <w:rPr>
          <w:rFonts w:hint="eastAsia" w:ascii="Times New Roman" w:hAnsi="Times New Roman" w:cs="Times New Roman"/>
          <w:szCs w:val="21"/>
          <w:lang w:val="zh-CN"/>
        </w:rPr>
        <w:t>、</w:t>
      </w:r>
      <w:r>
        <w:rPr>
          <w:rFonts w:ascii="Times New Roman" w:hAnsi="Times New Roman" w:cs="Times New Roman"/>
          <w:szCs w:val="21"/>
          <w:lang w:val="zh-CN"/>
        </w:rPr>
        <w:t>研究报告</w:t>
      </w:r>
      <w:r>
        <w:rPr>
          <w:rFonts w:hint="eastAsia" w:ascii="Times New Roman" w:hAnsi="Times New Roman" w:cs="Times New Roman"/>
          <w:szCs w:val="21"/>
          <w:lang w:val="zh-CN"/>
        </w:rPr>
        <w:t>、工作总结报告</w:t>
      </w:r>
      <w:r>
        <w:rPr>
          <w:rFonts w:ascii="Times New Roman" w:hAnsi="Times New Roman" w:cs="Times New Roman"/>
          <w:szCs w:val="21"/>
          <w:lang w:val="zh-CN"/>
        </w:rPr>
        <w:t>等</w:t>
      </w:r>
      <w:r>
        <w:rPr>
          <w:rFonts w:ascii="Times New Roman" w:hAnsi="Times New Roman" w:cs="Times New Roman"/>
          <w:color w:val="000000"/>
          <w:szCs w:val="24"/>
        </w:rPr>
        <w:t>。</w:t>
      </w:r>
    </w:p>
    <w:p>
      <w:pPr>
        <w:autoSpaceDE w:val="0"/>
        <w:autoSpaceDN w:val="0"/>
        <w:adjustRightInd w:val="0"/>
        <w:ind w:left="0" w:leftChars="0" w:firstLine="0" w:firstLineChars="0"/>
        <w:rPr>
          <w:rFonts w:ascii="Times New Roman" w:hAnsi="Times New Roman" w:cs="Times New Roman"/>
          <w:szCs w:val="21"/>
          <w:lang w:val="zh-CN"/>
        </w:rPr>
      </w:pPr>
      <w:r>
        <w:rPr>
          <w:rFonts w:hint="eastAsia" w:ascii="宋体" w:hAnsi="宋体"/>
          <w:lang w:eastAsia="zh-CN"/>
        </w:rPr>
        <w:t>（</w:t>
      </w:r>
      <w:r>
        <w:rPr>
          <w:rFonts w:hint="eastAsia" w:ascii="宋体" w:hAnsi="宋体"/>
          <w:lang w:val="en-US" w:eastAsia="zh-CN"/>
        </w:rPr>
        <w:t>3</w:t>
      </w:r>
      <w:r>
        <w:rPr>
          <w:rFonts w:hint="eastAsia" w:ascii="宋体" w:hAnsi="宋体"/>
        </w:rPr>
        <w:t>）</w:t>
      </w:r>
      <w:r>
        <w:rPr>
          <w:rFonts w:ascii="Times New Roman" w:hAnsi="Times New Roman" w:cs="Times New Roman"/>
          <w:szCs w:val="21"/>
          <w:lang w:val="zh-CN"/>
        </w:rPr>
        <w:t>交货时应提供系统软件的有资质的第三方评测报告</w:t>
      </w:r>
      <w:r>
        <w:rPr>
          <w:rFonts w:hint="eastAsia" w:ascii="Times New Roman" w:hAnsi="Times New Roman" w:cs="Times New Roman"/>
          <w:szCs w:val="21"/>
          <w:lang w:val="zh-CN"/>
        </w:rPr>
        <w:t>、研制样机技术指标第三方测试报告等。</w:t>
      </w:r>
    </w:p>
    <w:p>
      <w:pPr>
        <w:pStyle w:val="4"/>
        <w:numPr>
          <w:ilvl w:val="0"/>
          <w:numId w:val="0"/>
        </w:numPr>
        <w:tabs>
          <w:tab w:val="clear" w:pos="432"/>
        </w:tabs>
        <w:bidi w:val="0"/>
        <w:ind w:left="0" w:leftChars="0"/>
      </w:pPr>
      <w:bookmarkStart w:id="49" w:name="_Toc2277"/>
      <w:r>
        <w:rPr>
          <w:rFonts w:hint="eastAsia"/>
        </w:rPr>
        <w:t>七、项目联络</w:t>
      </w:r>
      <w:bookmarkEnd w:id="49"/>
    </w:p>
    <w:p>
      <w:pPr>
        <w:ind w:firstLine="480"/>
        <w:rPr>
          <w:rFonts w:ascii="宋体" w:hAnsi="宋体"/>
        </w:rPr>
      </w:pPr>
      <w:r>
        <w:rPr>
          <w:rFonts w:hint="eastAsia" w:ascii="宋体" w:hAnsi="宋体"/>
        </w:rPr>
        <w:t>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rPr>
        <w:t>联络会的内容如下：</w:t>
      </w:r>
    </w:p>
    <w:p>
      <w:pPr>
        <w:numPr>
          <w:ilvl w:val="0"/>
          <w:numId w:val="0"/>
        </w:numPr>
        <w:tabs>
          <w:tab w:val="left" w:pos="900"/>
        </w:tabs>
        <w:ind w:firstLine="480" w:firstLineChars="200"/>
        <w:rPr>
          <w:rFonts w:ascii="宋体" w:hAnsi="宋体"/>
        </w:rPr>
      </w:pPr>
      <w:r>
        <w:rPr>
          <w:rFonts w:hint="eastAsia" w:ascii="宋体" w:hAnsi="宋体"/>
          <w:lang w:eastAsia="zh-CN"/>
        </w:rPr>
        <w:t>（</w:t>
      </w:r>
      <w:r>
        <w:rPr>
          <w:rFonts w:hint="eastAsia" w:ascii="宋体" w:hAnsi="宋体"/>
        </w:rPr>
        <w:t>1）确认服务、工作产品的性能是否满足规范书要求。</w:t>
      </w:r>
    </w:p>
    <w:p>
      <w:pPr>
        <w:numPr>
          <w:ilvl w:val="0"/>
          <w:numId w:val="0"/>
        </w:numPr>
        <w:tabs>
          <w:tab w:val="left" w:pos="900"/>
        </w:tabs>
        <w:ind w:firstLine="480" w:firstLineChars="200"/>
        <w:rPr>
          <w:rFonts w:ascii="宋体" w:hAnsi="宋体"/>
        </w:rPr>
      </w:pPr>
      <w:r>
        <w:rPr>
          <w:rFonts w:hint="eastAsia" w:ascii="宋体" w:hAnsi="宋体"/>
          <w:lang w:val="en-US" w:eastAsia="zh-CN"/>
        </w:rPr>
        <w:t>（2</w:t>
      </w:r>
      <w:r>
        <w:rPr>
          <w:rFonts w:hint="eastAsia" w:ascii="宋体" w:hAnsi="宋体"/>
        </w:rPr>
        <w:t>）确认服务、工作产品的实施方案。</w:t>
      </w:r>
    </w:p>
    <w:p>
      <w:pPr>
        <w:numPr>
          <w:ilvl w:val="0"/>
          <w:numId w:val="0"/>
        </w:numPr>
        <w:tabs>
          <w:tab w:val="left" w:pos="900"/>
        </w:tabs>
        <w:ind w:firstLine="480" w:firstLineChars="200"/>
        <w:rPr>
          <w:rFonts w:ascii="宋体" w:hAnsi="宋体"/>
        </w:rPr>
      </w:pPr>
      <w:r>
        <w:rPr>
          <w:rFonts w:hint="eastAsia" w:ascii="宋体" w:hAnsi="宋体"/>
          <w:lang w:val="en-US" w:eastAsia="zh-CN"/>
        </w:rPr>
        <w:t>（3</w:t>
      </w:r>
      <w:r>
        <w:rPr>
          <w:rFonts w:hint="eastAsia" w:ascii="宋体" w:hAnsi="宋体"/>
        </w:rPr>
        <w:t>）检查、确认投标方提供的技术文件和图纸。</w:t>
      </w:r>
    </w:p>
    <w:p>
      <w:pPr>
        <w:numPr>
          <w:ilvl w:val="0"/>
          <w:numId w:val="0"/>
        </w:numPr>
        <w:tabs>
          <w:tab w:val="left" w:pos="900"/>
        </w:tabs>
        <w:ind w:firstLine="480" w:firstLineChars="200"/>
        <w:rPr>
          <w:rFonts w:ascii="宋体" w:hAnsi="宋体"/>
        </w:rPr>
      </w:pPr>
      <w:r>
        <w:rPr>
          <w:rFonts w:hint="eastAsia" w:ascii="宋体" w:hAnsi="宋体"/>
          <w:lang w:val="en-US" w:eastAsia="zh-CN"/>
        </w:rPr>
        <w:t>（4</w:t>
      </w:r>
      <w:r>
        <w:rPr>
          <w:rFonts w:hint="eastAsia" w:ascii="宋体" w:hAnsi="宋体"/>
        </w:rPr>
        <w:t>）讨论、确定培训计划（包括课程安排、教材、进度）。</w:t>
      </w:r>
    </w:p>
    <w:p>
      <w:pPr>
        <w:numPr>
          <w:ilvl w:val="0"/>
          <w:numId w:val="0"/>
        </w:numPr>
        <w:tabs>
          <w:tab w:val="left" w:pos="900"/>
        </w:tabs>
        <w:ind w:firstLine="480" w:firstLineChars="200"/>
        <w:rPr>
          <w:rFonts w:ascii="宋体" w:hAnsi="宋体"/>
        </w:rPr>
      </w:pPr>
      <w:r>
        <w:rPr>
          <w:rFonts w:hint="eastAsia" w:ascii="宋体" w:hAnsi="宋体"/>
          <w:lang w:val="en-US" w:eastAsia="zh-CN"/>
        </w:rPr>
        <w:t>（5</w:t>
      </w:r>
      <w:r>
        <w:rPr>
          <w:rFonts w:hint="eastAsia" w:ascii="宋体" w:hAnsi="宋体"/>
        </w:rPr>
        <w:t>）其他有关事项。</w:t>
      </w:r>
    </w:p>
    <w:p>
      <w:pPr>
        <w:pStyle w:val="4"/>
        <w:numPr>
          <w:ilvl w:val="0"/>
          <w:numId w:val="0"/>
        </w:numPr>
        <w:tabs>
          <w:tab w:val="clear" w:pos="432"/>
        </w:tabs>
        <w:bidi w:val="0"/>
        <w:ind w:left="0" w:leftChars="0"/>
      </w:pPr>
      <w:bookmarkStart w:id="50" w:name="_Toc9208"/>
      <w:r>
        <w:rPr>
          <w:rFonts w:hint="eastAsia"/>
        </w:rPr>
        <w:t>八、评审与验收</w:t>
      </w:r>
      <w:bookmarkEnd w:id="50"/>
    </w:p>
    <w:p>
      <w:pPr>
        <w:ind w:firstLine="480"/>
        <w:rPr>
          <w:rFonts w:hint="eastAsia" w:ascii="宋体" w:hAnsi="宋体"/>
        </w:rPr>
      </w:pP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w:t>
      </w:r>
      <w:r>
        <w:rPr>
          <w:rFonts w:hint="eastAsia" w:ascii="宋体" w:hAnsi="宋体"/>
        </w:rPr>
        <w:t>形成验收文件。</w:t>
      </w:r>
    </w:p>
    <w:p>
      <w:pPr>
        <w:ind w:firstLine="480"/>
        <w:rPr>
          <w:rFonts w:hint="eastAsia" w:ascii="宋体" w:hAnsi="宋体"/>
          <w:lang w:val="en-US" w:eastAsia="zh-CN"/>
        </w:rPr>
      </w:pPr>
      <w:r>
        <w:rPr>
          <w:rFonts w:hint="eastAsia" w:ascii="宋体" w:hAnsi="宋体"/>
        </w:rPr>
        <w:t>验收方式</w:t>
      </w:r>
      <w:r>
        <w:rPr>
          <w:rFonts w:hint="eastAsia" w:ascii="宋体" w:hAnsi="宋体"/>
          <w:lang w:eastAsia="zh-CN"/>
        </w:rPr>
        <w:t>如下：</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项目成果经招标方和中标方共同确认满足验收条件后，由招标方组织专家对所有项目材料和相关成果进行评审，开展合同验收。</w:t>
      </w:r>
    </w:p>
    <w:p>
      <w:pPr>
        <w:ind w:firstLine="480"/>
        <w:rPr>
          <w:rFonts w:hint="eastAsia" w:ascii="宋体" w:hAnsi="宋体"/>
        </w:rPr>
      </w:pPr>
      <w:r>
        <w:rPr>
          <w:rFonts w:hint="eastAsia" w:ascii="宋体" w:hAnsi="宋体"/>
          <w:lang w:val="en-US" w:eastAsia="zh-CN"/>
        </w:rPr>
        <w:t>（2</w:t>
      </w:r>
      <w:r>
        <w:rPr>
          <w:rFonts w:hint="eastAsia" w:ascii="宋体" w:hAnsi="宋体"/>
        </w:rPr>
        <w:t>）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tabs>
          <w:tab w:val="clear" w:pos="432"/>
        </w:tabs>
        <w:bidi w:val="0"/>
        <w:ind w:left="0" w:leftChars="0"/>
      </w:pPr>
      <w:bookmarkStart w:id="51" w:name="_Toc23222"/>
      <w:r>
        <w:rPr>
          <w:rFonts w:hint="eastAsia"/>
        </w:rPr>
        <w:t>九、售后服务</w:t>
      </w:r>
      <w:bookmarkEnd w:id="51"/>
      <w:r>
        <w:rPr>
          <w:rFonts w:hint="eastAsia"/>
        </w:rPr>
        <w:t xml:space="preserve"> </w:t>
      </w:r>
    </w:p>
    <w:p>
      <w:pPr>
        <w:ind w:left="0" w:leftChars="0" w:firstLine="0" w:firstLineChars="0"/>
        <w:rPr>
          <w:rFonts w:ascii="宋体" w:hAnsi="宋体"/>
        </w:rPr>
      </w:pPr>
      <w:r>
        <w:rPr>
          <w:rFonts w:hint="eastAsia" w:ascii="宋体" w:hAnsi="宋体"/>
          <w:lang w:eastAsia="zh-CN"/>
        </w:rPr>
        <w:t>（</w:t>
      </w:r>
      <w:r>
        <w:rPr>
          <w:rFonts w:hint="eastAsia" w:ascii="宋体" w:hAnsi="宋体"/>
        </w:rPr>
        <w:t>1）所有工作产品均须由投标方提供壹年以上的免费维护、保修服务，自项目验收签字之日起计算。</w:t>
      </w:r>
    </w:p>
    <w:p>
      <w:pPr>
        <w:ind w:left="0" w:leftChars="0" w:firstLine="0" w:firstLineChars="0"/>
        <w:rPr>
          <w:rFonts w:ascii="宋体" w:hAnsi="宋体"/>
        </w:rPr>
      </w:pPr>
      <w:r>
        <w:rPr>
          <w:rFonts w:hint="eastAsia" w:ascii="宋体" w:hAnsi="宋体"/>
          <w:lang w:val="en-US" w:eastAsia="zh-CN"/>
        </w:rPr>
        <w:t>（2</w:t>
      </w:r>
      <w:r>
        <w:rPr>
          <w:rFonts w:hint="eastAsia" w:ascii="宋体" w:hAnsi="宋体"/>
        </w:rPr>
        <w:t>）投标方必须提出保修期内的维护、保修内容和范围（产品、技术、模块、部件）。</w:t>
      </w:r>
    </w:p>
    <w:p>
      <w:pPr>
        <w:ind w:left="0" w:leftChars="0" w:firstLine="0" w:firstLineChars="0"/>
        <w:rPr>
          <w:rFonts w:ascii="宋体" w:hAnsi="宋体"/>
        </w:rPr>
      </w:pPr>
      <w:r>
        <w:rPr>
          <w:rFonts w:hint="eastAsia" w:ascii="宋体" w:hAnsi="宋体"/>
          <w:lang w:val="en-US" w:eastAsia="zh-CN"/>
        </w:rPr>
        <w:t>（3</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left="0" w:leftChars="0" w:firstLine="0" w:firstLineChars="0"/>
        <w:rPr>
          <w:rFonts w:ascii="宋体" w:hAnsi="宋体"/>
        </w:rPr>
      </w:pPr>
      <w:r>
        <w:rPr>
          <w:rFonts w:hint="eastAsia" w:ascii="宋体" w:hAnsi="宋体"/>
          <w:lang w:val="en-US" w:eastAsia="zh-CN"/>
        </w:rPr>
        <w:t>（4</w:t>
      </w:r>
      <w:r>
        <w:rPr>
          <w:rFonts w:hint="eastAsia" w:ascii="宋体" w:hAnsi="宋体"/>
        </w:rPr>
        <w:t>）如果故障在检修8小时后仍无法排除，投标方应在2天内提供解决方案，经招标方批准后负责实施，直至故障修复。</w:t>
      </w:r>
    </w:p>
    <w:p>
      <w:pPr>
        <w:ind w:left="0" w:leftChars="0" w:firstLine="0" w:firstLineChars="0"/>
        <w:rPr>
          <w:rFonts w:ascii="宋体" w:hAnsi="宋体"/>
        </w:rPr>
      </w:pPr>
      <w:r>
        <w:rPr>
          <w:rFonts w:hint="eastAsia" w:ascii="宋体" w:hAnsi="宋体"/>
          <w:lang w:val="en-US" w:eastAsia="zh-CN"/>
        </w:rPr>
        <w:t>（5</w:t>
      </w:r>
      <w:r>
        <w:rPr>
          <w:rFonts w:hint="eastAsia" w:ascii="宋体" w:hAnsi="宋体"/>
        </w:rPr>
        <w:t>）所有售后服务方式均为投标方上门，即由投标方或原厂商派员到用户使用现场。由此产生的一切费用均由投标方承担。</w:t>
      </w:r>
    </w:p>
    <w:p>
      <w:pPr>
        <w:ind w:left="0" w:leftChars="0" w:firstLine="0" w:firstLineChars="0"/>
        <w:rPr>
          <w:rFonts w:ascii="宋体" w:hAnsi="宋体"/>
        </w:rPr>
      </w:pPr>
      <w:r>
        <w:rPr>
          <w:rFonts w:hint="eastAsia" w:ascii="宋体" w:hAnsi="宋体"/>
          <w:lang w:val="en-US" w:eastAsia="zh-CN"/>
        </w:rPr>
        <w:t>（6</w:t>
      </w:r>
      <w:r>
        <w:rPr>
          <w:rFonts w:hint="eastAsia" w:ascii="宋体" w:hAnsi="宋体"/>
        </w:rPr>
        <w:t>）对于不能明确是否是投标方工作产品出现故障时，投标方应尽力配合招标方和其他供应商进行检查，在必要时，能在上述响应时间内到达现场协助排除问题。</w:t>
      </w:r>
    </w:p>
    <w:p>
      <w:pPr>
        <w:ind w:left="0" w:leftChars="0" w:firstLine="0" w:firstLineChars="0"/>
        <w:rPr>
          <w:rFonts w:ascii="宋体" w:hAnsi="宋体"/>
        </w:rPr>
      </w:pPr>
      <w:r>
        <w:rPr>
          <w:rFonts w:hint="eastAsia" w:ascii="宋体" w:hAnsi="宋体"/>
          <w:lang w:val="en-US" w:eastAsia="zh-CN"/>
        </w:rPr>
        <w:t>（7</w:t>
      </w:r>
      <w:r>
        <w:rPr>
          <w:rFonts w:hint="eastAsia" w:ascii="宋体" w:hAnsi="宋体"/>
        </w:rPr>
        <w:t>）投标方必须有专门的维护部门及规范的维护服务管理体系，须在招标方当地有专业维护人员，能按要求及时响应。</w:t>
      </w:r>
    </w:p>
    <w:p>
      <w:pPr>
        <w:ind w:left="0" w:leftChars="0" w:firstLine="0" w:firstLineChars="0"/>
        <w:rPr>
          <w:rFonts w:ascii="宋体" w:hAnsi="宋体"/>
        </w:rPr>
      </w:pPr>
      <w:r>
        <w:rPr>
          <w:rFonts w:hint="eastAsia" w:ascii="宋体" w:hAnsi="宋体"/>
          <w:lang w:val="en-US" w:eastAsia="zh-CN"/>
        </w:rPr>
        <w:t>（8</w:t>
      </w:r>
      <w:r>
        <w:rPr>
          <w:rFonts w:hint="eastAsia" w:ascii="宋体" w:hAnsi="宋体"/>
        </w:rPr>
        <w:t>）投标方需要提出保修期后每年的收费维修、维护内容，费用和服务方式、范围（产品、技术、模块、部件），供招标方选择。</w:t>
      </w:r>
    </w:p>
    <w:p>
      <w:pPr>
        <w:pStyle w:val="4"/>
        <w:keepNext w:val="0"/>
        <w:keepLines w:val="0"/>
        <w:numPr>
          <w:ilvl w:val="0"/>
          <w:numId w:val="0"/>
        </w:numPr>
        <w:tabs>
          <w:tab w:val="clear" w:pos="432"/>
        </w:tabs>
        <w:bidi w:val="0"/>
        <w:spacing w:line="579" w:lineRule="auto"/>
        <w:ind w:left="0" w:leftChars="0"/>
        <w:rPr>
          <w:rFonts w:hint="eastAsia"/>
        </w:rPr>
      </w:pPr>
      <w:bookmarkStart w:id="52" w:name="_Toc14985"/>
      <w:r>
        <w:rPr>
          <w:rFonts w:hint="eastAsia"/>
        </w:rPr>
        <w:t>十、其他相关要求</w:t>
      </w:r>
      <w:bookmarkEnd w:id="52"/>
    </w:p>
    <w:p>
      <w:pPr>
        <w:pStyle w:val="4"/>
        <w:numPr>
          <w:ilvl w:val="0"/>
          <w:numId w:val="0"/>
        </w:numPr>
        <w:bidi w:val="0"/>
        <w:rPr>
          <w:rFonts w:ascii="Times New Roman" w:hAnsi="Times New Roman" w:cs="Times New Roman"/>
        </w:rPr>
      </w:pPr>
      <w:bookmarkStart w:id="53" w:name="_Toc31513"/>
      <w:r>
        <w:rPr>
          <w:rStyle w:val="23"/>
          <w:b/>
          <w:bCs/>
        </w:rPr>
        <w:t>1</w:t>
      </w:r>
      <w:r>
        <w:rPr>
          <w:rStyle w:val="23"/>
          <w:rFonts w:hint="eastAsia"/>
          <w:b/>
          <w:bCs/>
        </w:rPr>
        <w:t>0</w:t>
      </w:r>
      <w:r>
        <w:rPr>
          <w:rStyle w:val="23"/>
          <w:b/>
          <w:bCs/>
        </w:rPr>
        <w:t>.1</w:t>
      </w:r>
      <w:r>
        <w:rPr>
          <w:rStyle w:val="23"/>
          <w:rFonts w:hint="eastAsia"/>
          <w:b/>
          <w:bCs/>
          <w:lang w:val="en-US" w:eastAsia="zh-CN"/>
        </w:rPr>
        <w:t xml:space="preserve"> </w:t>
      </w:r>
      <w:r>
        <w:rPr>
          <w:rStyle w:val="23"/>
          <w:rFonts w:hint="eastAsia"/>
          <w:b/>
          <w:bCs/>
        </w:rPr>
        <w:t>技术配合</w:t>
      </w:r>
      <w:bookmarkEnd w:id="53"/>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left="0" w:leftChars="0"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中标方须编制并向招标方提交系统设计报告。</w:t>
      </w:r>
    </w:p>
    <w:p>
      <w:pPr>
        <w:ind w:left="0" w:leftChars="0"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left="0" w:leftChars="0" w:firstLine="0" w:firstLineChars="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pStyle w:val="5"/>
        <w:bidi w:val="0"/>
      </w:pPr>
      <w:bookmarkStart w:id="54" w:name="_Toc5313"/>
      <w:r>
        <w:t>1</w:t>
      </w:r>
      <w:r>
        <w:rPr>
          <w:rFonts w:hint="eastAsia"/>
        </w:rPr>
        <w:t>0</w:t>
      </w:r>
      <w:r>
        <w:t>.2</w:t>
      </w:r>
      <w:r>
        <w:rPr>
          <w:rFonts w:hint="eastAsia"/>
          <w:lang w:val="en-US" w:eastAsia="zh-CN"/>
        </w:rPr>
        <w:t xml:space="preserve"> </w:t>
      </w:r>
      <w:r>
        <w:rPr>
          <w:rFonts w:hint="eastAsia"/>
        </w:rPr>
        <w:t>现场服务</w:t>
      </w:r>
      <w:bookmarkEnd w:id="54"/>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当招标方对监测结果存在疑问时，中标方应按合同规定及时派工程技术人员到达现场服务。</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中标方在项目实施过程中应至少为招标方免费提供一次技术指导和培训讲座，在不涉及机密资料泄露的情况下，中标方应尽最大可能将本单位相关算法、其他类似项目的研究结论等向招标方公开。</w:t>
      </w:r>
    </w:p>
    <w:p>
      <w:pPr>
        <w:pStyle w:val="5"/>
        <w:bidi w:val="0"/>
      </w:pPr>
      <w:bookmarkStart w:id="55" w:name="_Toc881"/>
      <w:r>
        <w:t>1</w:t>
      </w:r>
      <w:r>
        <w:rPr>
          <w:rFonts w:hint="eastAsia"/>
        </w:rPr>
        <w:t>0</w:t>
      </w:r>
      <w:r>
        <w:t>.3</w:t>
      </w:r>
      <w:r>
        <w:rPr>
          <w:rFonts w:hint="eastAsia"/>
          <w:lang w:val="en-US" w:eastAsia="zh-CN"/>
        </w:rPr>
        <w:t xml:space="preserve"> </w:t>
      </w:r>
      <w:r>
        <w:rPr>
          <w:rFonts w:hint="eastAsia"/>
        </w:rPr>
        <w:t>培训</w:t>
      </w:r>
      <w:bookmarkEnd w:id="55"/>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中标方应负责对招标方技术人员进行</w:t>
      </w:r>
      <w:r>
        <w:rPr>
          <w:rFonts w:hint="default" w:ascii="Times New Roman" w:hAnsi="Times New Roman" w:cs="Times New Roman"/>
          <w:lang w:val="en-US" w:eastAsia="zh-CN"/>
        </w:rPr>
        <w:t>基于无人机安装的铁塔防鸟刺部署装置</w:t>
      </w:r>
      <w:r>
        <w:rPr>
          <w:rFonts w:hint="eastAsia" w:ascii="Times New Roman" w:hAnsi="Times New Roman" w:cs="Times New Roman"/>
          <w:lang w:val="en-US" w:eastAsia="zh-CN"/>
        </w:rPr>
        <w:t>的</w:t>
      </w:r>
      <w:r>
        <w:rPr>
          <w:rFonts w:hint="eastAsia" w:ascii="Times New Roman" w:hAnsi="Times New Roman" w:cs="Times New Roman"/>
        </w:rPr>
        <w:t>操作</w:t>
      </w:r>
      <w:r>
        <w:rPr>
          <w:rFonts w:ascii="Times New Roman" w:hAnsi="Times New Roman" w:cs="Times New Roman"/>
        </w:rPr>
        <w:t>等各方面的技术培训，使他们掌握或熟悉原理、</w:t>
      </w:r>
      <w:r>
        <w:rPr>
          <w:rFonts w:hint="eastAsia" w:ascii="Times New Roman" w:hAnsi="Times New Roman" w:cs="Times New Roman"/>
          <w:lang w:val="en-US" w:eastAsia="zh-CN"/>
        </w:rPr>
        <w:t>操作使用</w:t>
      </w:r>
      <w:r>
        <w:rPr>
          <w:rFonts w:ascii="Times New Roman" w:hAnsi="Times New Roman" w:cs="Times New Roman"/>
        </w:rPr>
        <w:t>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w:t>
      </w:r>
      <w:r>
        <w:rPr>
          <w:rFonts w:ascii="Times New Roman" w:hAnsi="Times New Roman" w:cs="Times New Roman"/>
        </w:rPr>
        <w:t>培训内容包括中标方提供的</w:t>
      </w:r>
      <w:r>
        <w:rPr>
          <w:rFonts w:hint="default" w:ascii="Times New Roman" w:hAnsi="Times New Roman" w:cs="Times New Roman"/>
          <w:lang w:val="en-US" w:eastAsia="zh-CN"/>
        </w:rPr>
        <w:t>无人机安装的铁塔防鸟刺部署装置</w:t>
      </w:r>
      <w:r>
        <w:rPr>
          <w:rFonts w:ascii="Times New Roman" w:hAnsi="Times New Roman" w:cs="Times New Roman"/>
        </w:rPr>
        <w:t>、</w:t>
      </w:r>
      <w:r>
        <w:rPr>
          <w:rFonts w:hint="eastAsia" w:ascii="Times New Roman" w:hAnsi="Times New Roman" w:cs="Times New Roman"/>
          <w:lang w:val="en-US" w:eastAsia="zh-CN"/>
        </w:rPr>
        <w:t>安装注意事项、装置的全部</w:t>
      </w:r>
      <w:r>
        <w:rPr>
          <w:rFonts w:ascii="Times New Roman" w:hAnsi="Times New Roman" w:cs="Times New Roman"/>
        </w:rPr>
        <w:t>功能，各种模块间的联系和维护等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3</w:t>
      </w:r>
      <w:r>
        <w:rPr>
          <w:rFonts w:hint="eastAsia" w:ascii="Times New Roman" w:hAnsi="Times New Roman" w:cs="Times New Roman"/>
        </w:rPr>
        <w:t>）</w:t>
      </w:r>
      <w:r>
        <w:rPr>
          <w:rFonts w:ascii="Times New Roman" w:hAnsi="Times New Roman" w:cs="Times New Roman"/>
        </w:rPr>
        <w:t>中标方应提出培训的建议日期、地点、培训时间表和课程表，经招标方同意后，开展培训工作。</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4</w:t>
      </w:r>
      <w:r>
        <w:rPr>
          <w:rFonts w:hint="eastAsia" w:ascii="Times New Roman" w:hAnsi="Times New Roman" w:cs="Times New Roman"/>
        </w:rPr>
        <w:t>）</w:t>
      </w:r>
      <w:r>
        <w:rPr>
          <w:rFonts w:ascii="Times New Roman" w:hAnsi="Times New Roman" w:cs="Times New Roman"/>
        </w:rPr>
        <w:t>培训时间和参加人数</w:t>
      </w:r>
    </w:p>
    <w:p>
      <w:pPr>
        <w:ind w:left="0" w:leftChars="0" w:firstLine="480" w:firstLineChars="200"/>
        <w:rPr>
          <w:rFonts w:ascii="Times New Roman" w:hAnsi="Times New Roman" w:cs="Times New Roman"/>
        </w:rPr>
      </w:pPr>
      <w:r>
        <w:rPr>
          <w:rFonts w:hint="eastAsia" w:ascii="Times New Roman" w:hAnsi="Times New Roman" w:cs="Times New Roman"/>
        </w:rPr>
        <w:t>培训对象：招标方指定人员；</w:t>
      </w:r>
    </w:p>
    <w:p>
      <w:pPr>
        <w:ind w:left="0" w:leftChars="0" w:firstLine="480" w:firstLineChars="200"/>
        <w:rPr>
          <w:rFonts w:ascii="Times New Roman" w:hAnsi="Times New Roman" w:cs="Times New Roman"/>
        </w:rPr>
      </w:pPr>
      <w:r>
        <w:rPr>
          <w:rFonts w:hint="eastAsia" w:ascii="Times New Roman" w:hAnsi="Times New Roman" w:cs="Times New Roman"/>
        </w:rPr>
        <w:t>培训方式：授课培训、现场培训；</w:t>
      </w:r>
    </w:p>
    <w:p>
      <w:pPr>
        <w:ind w:left="0" w:leftChars="0" w:firstLine="480" w:firstLineChars="200"/>
        <w:rPr>
          <w:rFonts w:ascii="Times New Roman" w:hAnsi="Times New Roman" w:cs="Times New Roman"/>
        </w:rPr>
      </w:pPr>
      <w:r>
        <w:rPr>
          <w:rFonts w:hint="eastAsia" w:ascii="Times New Roman" w:hAnsi="Times New Roman" w:cs="Times New Roman"/>
        </w:rPr>
        <w:t>培训地点：招标方所在地或XX系统研发地；</w:t>
      </w:r>
    </w:p>
    <w:p>
      <w:pPr>
        <w:ind w:left="0" w:leftChars="0" w:firstLine="480" w:firstLineChars="200"/>
        <w:rPr>
          <w:rFonts w:ascii="Times New Roman" w:hAnsi="Times New Roman" w:cs="Times New Roman"/>
        </w:rPr>
      </w:pPr>
      <w:r>
        <w:rPr>
          <w:rFonts w:hint="eastAsia" w:ascii="Times New Roman" w:hAnsi="Times New Roman" w:cs="Times New Roman"/>
        </w:rPr>
        <w:t>培训时间：培训时间根据招标方的时间而定；</w:t>
      </w:r>
    </w:p>
    <w:p>
      <w:pPr>
        <w:ind w:left="0" w:leftChars="0" w:firstLine="480" w:firstLineChars="200"/>
        <w:rPr>
          <w:rFonts w:ascii="Times New Roman" w:hAnsi="Times New Roman" w:cs="Times New Roman"/>
        </w:rPr>
      </w:pPr>
      <w:r>
        <w:rPr>
          <w:rFonts w:hint="eastAsia" w:ascii="Times New Roman" w:hAnsi="Times New Roman" w:cs="Times New Roman"/>
        </w:rPr>
        <w:t>培训时长：对招标方的技术人员开展不少于2次的研发、测试、使用及维护理论等技术培训，每次培训对象不少于5人，每次时间不少于0.5天；并提供相应的培训资料。实操授课以招标方实际需求而定。</w:t>
      </w:r>
    </w:p>
    <w:p>
      <w:pPr>
        <w:pStyle w:val="5"/>
        <w:bidi w:val="0"/>
      </w:pPr>
      <w:bookmarkStart w:id="56" w:name="_Toc23383"/>
      <w:r>
        <w:rPr>
          <w:rFonts w:hint="eastAsia"/>
        </w:rPr>
        <w:t>1</w:t>
      </w:r>
      <w:r>
        <w:rPr>
          <w:rFonts w:hint="eastAsia"/>
          <w:lang w:val="en-US" w:eastAsia="zh-CN"/>
        </w:rPr>
        <w:t>0</w:t>
      </w:r>
      <w:r>
        <w:rPr>
          <w:rFonts w:hint="eastAsia"/>
        </w:rPr>
        <w:t>.4 知识产权约定</w:t>
      </w:r>
      <w:bookmarkEnd w:id="56"/>
    </w:p>
    <w:p>
      <w:pPr>
        <w:ind w:firstLine="0" w:firstLineChars="0"/>
        <w:rPr>
          <w:rFonts w:ascii="Times New Roman" w:hAnsi="Times New Roman" w:cs="Times New Roman"/>
        </w:rPr>
      </w:pPr>
      <w:r>
        <w:rPr>
          <w:rFonts w:hint="eastAsia" w:ascii="Times New Roman" w:hAnsi="Times New Roman" w:cs="Times New Roman"/>
        </w:rPr>
        <w:t>★（1）在项目完成以后，中标方应向招标方提供该项目所有技术成果、项目建设文档、使用及运维说明等。</w:t>
      </w:r>
      <w:r>
        <w:rPr>
          <w:rFonts w:ascii="Times New Roman" w:hAnsi="Times New Roman" w:cs="Times New Roman"/>
        </w:rPr>
        <w:t>项目实施过程中形成的专利</w:t>
      </w:r>
      <w:r>
        <w:rPr>
          <w:rFonts w:hint="eastAsia" w:ascii="Times New Roman" w:hAnsi="Times New Roman" w:cs="Times New Roman"/>
        </w:rPr>
        <w:t>、</w:t>
      </w:r>
      <w:r>
        <w:rPr>
          <w:rFonts w:ascii="Times New Roman" w:hAnsi="Times New Roman" w:cs="Times New Roman"/>
        </w:rPr>
        <w:t>软件著作权</w:t>
      </w:r>
      <w:r>
        <w:rPr>
          <w:rFonts w:hint="eastAsia" w:ascii="Times New Roman" w:hAnsi="Times New Roman" w:cs="Times New Roman"/>
        </w:rPr>
        <w:t>及论文招标方独有</w:t>
      </w:r>
      <w:r>
        <w:rPr>
          <w:rFonts w:ascii="Times New Roman" w:hAnsi="Times New Roman" w:cs="Times New Roman"/>
        </w:rPr>
        <w:t>。</w:t>
      </w:r>
    </w:p>
    <w:p>
      <w:pPr>
        <w:ind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pStyle w:val="4"/>
        <w:numPr>
          <w:ilvl w:val="0"/>
          <w:numId w:val="0"/>
        </w:numPr>
        <w:tabs>
          <w:tab w:val="clear" w:pos="432"/>
        </w:tabs>
        <w:ind w:left="0"/>
      </w:pPr>
      <w:bookmarkStart w:id="57" w:name="_Toc351129176"/>
      <w:bookmarkStart w:id="58" w:name="_Toc167003829"/>
      <w:bookmarkStart w:id="59" w:name="_Toc506186791"/>
      <w:bookmarkStart w:id="60" w:name="_Toc93490630"/>
      <w:bookmarkStart w:id="61" w:name="_Toc137397828"/>
      <w:bookmarkStart w:id="62" w:name="_Toc93490580"/>
      <w:bookmarkStart w:id="63" w:name="_Toc8949"/>
      <w:bookmarkStart w:id="64" w:name="_Toc93490801"/>
      <w:r>
        <w:rPr>
          <w:rFonts w:hint="eastAsia"/>
        </w:rPr>
        <w:t>附件</w:t>
      </w:r>
      <w:bookmarkEnd w:id="57"/>
      <w:bookmarkEnd w:id="58"/>
      <w:bookmarkEnd w:id="59"/>
      <w:bookmarkEnd w:id="60"/>
      <w:bookmarkEnd w:id="61"/>
      <w:bookmarkEnd w:id="62"/>
      <w:bookmarkEnd w:id="63"/>
      <w:bookmarkEnd w:id="64"/>
    </w:p>
    <w:p>
      <w:pPr>
        <w:pStyle w:val="5"/>
      </w:pPr>
      <w:bookmarkStart w:id="65" w:name="_Toc27802"/>
      <w:r>
        <w:rPr>
          <w:rFonts w:hint="eastAsia"/>
        </w:rPr>
        <w:t>1、差异表</w:t>
      </w:r>
      <w:bookmarkEnd w:id="65"/>
    </w:p>
    <w:tbl>
      <w:tblPr>
        <w:tblStyle w:val="1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66" w:name="_Toc17121"/>
      <w:r>
        <w:rPr>
          <w:rFonts w:hint="eastAsia"/>
        </w:rPr>
        <w:t>2、投标方需要说明的其它问题</w:t>
      </w:r>
      <w:bookmarkEnd w:id="66"/>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98141A"/>
    <w:rsid w:val="00B4230F"/>
    <w:rsid w:val="00BA5037"/>
    <w:rsid w:val="00C741BE"/>
    <w:rsid w:val="00D2099E"/>
    <w:rsid w:val="00D96A99"/>
    <w:rsid w:val="00D96B71"/>
    <w:rsid w:val="00D97C72"/>
    <w:rsid w:val="00ED31EF"/>
    <w:rsid w:val="00F46D15"/>
    <w:rsid w:val="0234382A"/>
    <w:rsid w:val="02D70A17"/>
    <w:rsid w:val="032234B3"/>
    <w:rsid w:val="036A38A7"/>
    <w:rsid w:val="03CE411A"/>
    <w:rsid w:val="03F11C32"/>
    <w:rsid w:val="04826D2E"/>
    <w:rsid w:val="06020126"/>
    <w:rsid w:val="064E4528"/>
    <w:rsid w:val="06E15F8D"/>
    <w:rsid w:val="07A248D9"/>
    <w:rsid w:val="07CA50D5"/>
    <w:rsid w:val="08004841"/>
    <w:rsid w:val="085F7B47"/>
    <w:rsid w:val="08B647E3"/>
    <w:rsid w:val="09156AA6"/>
    <w:rsid w:val="09331369"/>
    <w:rsid w:val="0974768F"/>
    <w:rsid w:val="0BED7D43"/>
    <w:rsid w:val="0C555658"/>
    <w:rsid w:val="0DAE0EE3"/>
    <w:rsid w:val="0E4372EE"/>
    <w:rsid w:val="0E524027"/>
    <w:rsid w:val="0EE03777"/>
    <w:rsid w:val="0EFE21CE"/>
    <w:rsid w:val="10A73228"/>
    <w:rsid w:val="12735A58"/>
    <w:rsid w:val="14870B74"/>
    <w:rsid w:val="16EC2DCC"/>
    <w:rsid w:val="183A374F"/>
    <w:rsid w:val="186950A5"/>
    <w:rsid w:val="1A680ED3"/>
    <w:rsid w:val="1CB966AD"/>
    <w:rsid w:val="1D443C03"/>
    <w:rsid w:val="1D936104"/>
    <w:rsid w:val="1EB52C70"/>
    <w:rsid w:val="20E526D1"/>
    <w:rsid w:val="21824F16"/>
    <w:rsid w:val="2183233A"/>
    <w:rsid w:val="223B582C"/>
    <w:rsid w:val="22484D4A"/>
    <w:rsid w:val="23394F8C"/>
    <w:rsid w:val="242A6565"/>
    <w:rsid w:val="245A7E6D"/>
    <w:rsid w:val="249828C7"/>
    <w:rsid w:val="24DE730D"/>
    <w:rsid w:val="25B744C0"/>
    <w:rsid w:val="26696741"/>
    <w:rsid w:val="26C5725D"/>
    <w:rsid w:val="27D36066"/>
    <w:rsid w:val="289F55F0"/>
    <w:rsid w:val="290D43C3"/>
    <w:rsid w:val="2D063AA5"/>
    <w:rsid w:val="2D4F134E"/>
    <w:rsid w:val="2D7012E8"/>
    <w:rsid w:val="2E051C5F"/>
    <w:rsid w:val="2E4F055C"/>
    <w:rsid w:val="2E700C2F"/>
    <w:rsid w:val="2F49686B"/>
    <w:rsid w:val="2F5D0B3F"/>
    <w:rsid w:val="2F7F7E86"/>
    <w:rsid w:val="31F42567"/>
    <w:rsid w:val="32830AE6"/>
    <w:rsid w:val="32F708AC"/>
    <w:rsid w:val="33A44248"/>
    <w:rsid w:val="33B23011"/>
    <w:rsid w:val="33C56D6A"/>
    <w:rsid w:val="33E3258B"/>
    <w:rsid w:val="33E74334"/>
    <w:rsid w:val="34AE29C8"/>
    <w:rsid w:val="34AF4725"/>
    <w:rsid w:val="34CA1AAC"/>
    <w:rsid w:val="35941976"/>
    <w:rsid w:val="37344CD6"/>
    <w:rsid w:val="38B45E55"/>
    <w:rsid w:val="3A395C58"/>
    <w:rsid w:val="3B0532F1"/>
    <w:rsid w:val="3B2B774D"/>
    <w:rsid w:val="3B946BCC"/>
    <w:rsid w:val="3BF32469"/>
    <w:rsid w:val="3C460065"/>
    <w:rsid w:val="3CBB635D"/>
    <w:rsid w:val="3FC72DAE"/>
    <w:rsid w:val="407441CC"/>
    <w:rsid w:val="40D73BB8"/>
    <w:rsid w:val="41A946C0"/>
    <w:rsid w:val="42E12EC5"/>
    <w:rsid w:val="436403A6"/>
    <w:rsid w:val="43A52806"/>
    <w:rsid w:val="446631C8"/>
    <w:rsid w:val="454F5136"/>
    <w:rsid w:val="45B40365"/>
    <w:rsid w:val="45E82713"/>
    <w:rsid w:val="468E6891"/>
    <w:rsid w:val="46963A2E"/>
    <w:rsid w:val="47084895"/>
    <w:rsid w:val="483F12A6"/>
    <w:rsid w:val="485B78C5"/>
    <w:rsid w:val="4876623F"/>
    <w:rsid w:val="49D44216"/>
    <w:rsid w:val="4A041E7F"/>
    <w:rsid w:val="4AFA32DF"/>
    <w:rsid w:val="4CD17A13"/>
    <w:rsid w:val="4DF276F2"/>
    <w:rsid w:val="4E0662AE"/>
    <w:rsid w:val="4E31544E"/>
    <w:rsid w:val="4E7979F0"/>
    <w:rsid w:val="4EDD03B5"/>
    <w:rsid w:val="4F5D5E43"/>
    <w:rsid w:val="51F9149B"/>
    <w:rsid w:val="52B1259E"/>
    <w:rsid w:val="52D9136B"/>
    <w:rsid w:val="55C32837"/>
    <w:rsid w:val="573024D4"/>
    <w:rsid w:val="57344239"/>
    <w:rsid w:val="5931729F"/>
    <w:rsid w:val="59404FBB"/>
    <w:rsid w:val="59725B9E"/>
    <w:rsid w:val="5DF50B4C"/>
    <w:rsid w:val="5E014EC9"/>
    <w:rsid w:val="5FDA68EF"/>
    <w:rsid w:val="61447E20"/>
    <w:rsid w:val="61E71313"/>
    <w:rsid w:val="62570309"/>
    <w:rsid w:val="63672F7C"/>
    <w:rsid w:val="64434485"/>
    <w:rsid w:val="645A1743"/>
    <w:rsid w:val="64FD4EB5"/>
    <w:rsid w:val="658D71C3"/>
    <w:rsid w:val="65B23EF2"/>
    <w:rsid w:val="6BA40927"/>
    <w:rsid w:val="6C0902EF"/>
    <w:rsid w:val="6C797AED"/>
    <w:rsid w:val="6E3603E6"/>
    <w:rsid w:val="6E57633D"/>
    <w:rsid w:val="6F463A67"/>
    <w:rsid w:val="6FC677CA"/>
    <w:rsid w:val="71E45665"/>
    <w:rsid w:val="72457288"/>
    <w:rsid w:val="736F3422"/>
    <w:rsid w:val="73901661"/>
    <w:rsid w:val="74EB7C82"/>
    <w:rsid w:val="77A108D3"/>
    <w:rsid w:val="786F5C73"/>
    <w:rsid w:val="793D18CD"/>
    <w:rsid w:val="79C627D6"/>
    <w:rsid w:val="79E70B47"/>
    <w:rsid w:val="7A3B3F33"/>
    <w:rsid w:val="7A6D52C9"/>
    <w:rsid w:val="7A865913"/>
    <w:rsid w:val="7BB945D5"/>
    <w:rsid w:val="7C6C5B5B"/>
    <w:rsid w:val="7CAD6C4D"/>
    <w:rsid w:val="7D1A4DCC"/>
    <w:rsid w:val="7E6A0FEA"/>
    <w:rsid w:val="7E9F446E"/>
    <w:rsid w:val="7EC55299"/>
    <w:rsid w:val="7F1144F9"/>
    <w:rsid w:val="7F4B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24"/>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link w:val="23"/>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2">
    <w:name w:val="toc 2"/>
    <w:basedOn w:val="1"/>
    <w:next w:val="1"/>
    <w:unhideWhenUsed/>
    <w:qFormat/>
    <w:uiPriority w:val="39"/>
    <w:pPr>
      <w:ind w:left="210"/>
      <w:jc w:val="left"/>
    </w:pPr>
    <w:rPr>
      <w:rFonts w:ascii="Times New Roman" w:hAnsi="Times New Roman" w:cs="Times New Roman"/>
      <w:smallCaps/>
      <w:sz w:val="20"/>
      <w:szCs w:val="2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Table Professional"/>
    <w:basedOn w:val="14"/>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paragraph" w:customStyle="1" w:styleId="20">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21">
    <w:name w:val="List Paragraph1"/>
    <w:basedOn w:val="1"/>
    <w:qFormat/>
    <w:uiPriority w:val="99"/>
    <w:pPr>
      <w:ind w:firstLine="420"/>
    </w:pPr>
  </w:style>
  <w:style w:type="paragraph" w:customStyle="1" w:styleId="22">
    <w:name w:val="列出段落1"/>
    <w:basedOn w:val="1"/>
    <w:qFormat/>
    <w:uiPriority w:val="34"/>
    <w:pPr>
      <w:ind w:firstLine="420"/>
    </w:pPr>
  </w:style>
  <w:style w:type="character" w:customStyle="1" w:styleId="23">
    <w:name w:val="标题 2 Char"/>
    <w:link w:val="5"/>
    <w:qFormat/>
    <w:uiPriority w:val="99"/>
    <w:rPr>
      <w:rFonts w:ascii="Calibri Light" w:hAnsi="Calibri Light"/>
      <w:b/>
      <w:bCs/>
      <w:sz w:val="32"/>
      <w:szCs w:val="32"/>
    </w:rPr>
  </w:style>
  <w:style w:type="character" w:customStyle="1" w:styleId="24">
    <w:name w:val="标题 1 Char"/>
    <w:link w:val="4"/>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7345</Words>
  <Characters>7699</Characters>
  <Lines>54</Lines>
  <Paragraphs>15</Paragraphs>
  <TotalTime>0</TotalTime>
  <ScaleCrop>false</ScaleCrop>
  <LinksUpToDate>false</LinksUpToDate>
  <CharactersWithSpaces>7818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2025-11-13T11:36:05Z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779509DC1F6D4F979526EE19F83C97B4_13</vt:lpwstr>
  </property>
  <property fmtid="{D5CDD505-2E9C-101B-9397-08002B2CF9AE}" pid="4" name="KSOTemplateDocerSaveRecord">
    <vt:lpwstr>eyJoZGlkIjoiNDA3NWEyODM5YjlmZjMxMjNkOWI4YjU1MjgxMzgxOTQiLCJ1c2VySWQiOiI4MjcxMTQyOTYifQ==</vt:lpwstr>
  </property>
</Properties>
</file>