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60288" behindDoc="0" locked="0" layoutInCell="1" allowOverlap="1">
                <wp:simplePos x="0" y="0"/>
                <wp:positionH relativeFrom="column">
                  <wp:posOffset>-52070</wp:posOffset>
                </wp:positionH>
                <wp:positionV relativeFrom="paragraph">
                  <wp:posOffset>636905</wp:posOffset>
                </wp:positionV>
                <wp:extent cx="5902960" cy="221678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02960" cy="2216785"/>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广西电网公司防城港供电局2025年职工创新项目加工服务（便携式杠杆液压拔除器）零星采购项目</w:t>
                            </w:r>
                          </w:p>
                        </w:txbxContent>
                      </wps:txbx>
                      <wps:bodyPr upright="1">
                        <a:noAutofit/>
                      </wps:bodyPr>
                    </wps:wsp>
                  </a:graphicData>
                </a:graphic>
              </wp:anchor>
            </w:drawing>
          </mc:Choice>
          <mc:Fallback>
            <w:pict>
              <v:shape id="_x0000_s1026" o:spid="_x0000_s1026" o:spt="202" type="#_x0000_t202" style="position:absolute;left:0pt;margin-left:-4.1pt;margin-top:50.15pt;height:174.55pt;width:464.8pt;z-index:251660288;mso-width-relative:page;mso-height-relative:page;" filled="f" stroked="f" coordsize="21600,21600" o:gfxdata="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yvIRU1gAAAAoBAAAPAAAAAAAAAAEAIAAAACIAAABkcnMvZG93bnJldi54bWxQSwECFAAU&#10;AAAACACHTuJAAL7n6boBAABpAwAADgAAAAAAAAABACAAAAAlAQAAZHJzL2Uyb0RvYy54bWxQSwUG&#10;AAAAAAYABgBZAQAAUQU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广西电网公司防城港供电局2025年职工创新项目加工服务（便携式杠杆液压拔除器）零星采购项目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N3v13Z&#10;AAAADQEAAA8AAAAAAAAAAQAgAAAAIgAAAGRycy9kb3ducmV2LnhtbFBLAQIUABQAAAAIAIdO4kAk&#10;LKE+rQEAAE4DAAAOAAAAAAAAAAEAIAAAACg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59264" behindDoc="0" locked="0" layoutInCell="1" allowOverlap="1">
                <wp:simplePos x="0" y="0"/>
                <wp:positionH relativeFrom="column">
                  <wp:posOffset>331470</wp:posOffset>
                </wp:positionH>
                <wp:positionV relativeFrom="paragraph">
                  <wp:posOffset>862965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26.1pt;margin-top:67.95pt;height:73.55pt;width:381.75pt;z-index:251659264;mso-width-relative:page;mso-height-relative:page;" filled="f" stroked="f" coordsize="21600,21600" o:gfxdata="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yXu8fY&#10;AAAACgEAAA8AAAAAAAAAAQAgAAAAIgAAAGRycy9kb3ducmV2LnhtbFBLAQIUABQAAAAIAIdO4kA/&#10;BmG6rgEAAE4DAAAOAAAAAAAAAAEAIAAAACcBAABkcnMvZTJvRG9jLnhtbFBLBQYAAAAABgAGAFkB&#10;AABHBQAAAAA=&#10;">
                <v:fill on="f" focussize="0,0"/>
                <v:stroke on="f"/>
                <v:imagedata o:title=""/>
                <o:lock v:ext="edit" aspectratio="f"/>
                <v:textbo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w:rPr>
          <w:highlight w:val="yellow"/>
        </w:rPr>
        <mc:AlternateContent>
          <mc:Choice Requires="wps">
            <w:drawing>
              <wp:anchor distT="0" distB="0" distL="114300" distR="114300" simplePos="0" relativeHeight="251661312" behindDoc="0" locked="0" layoutInCell="1" allowOverlap="1">
                <wp:simplePos x="0" y="0"/>
                <wp:positionH relativeFrom="column">
                  <wp:posOffset>923925</wp:posOffset>
                </wp:positionH>
                <wp:positionV relativeFrom="paragraph">
                  <wp:posOffset>810260</wp:posOffset>
                </wp:positionV>
                <wp:extent cx="391350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913505" cy="472440"/>
                        </a:xfrm>
                        <a:prstGeom prst="rect">
                          <a:avLst/>
                        </a:prstGeom>
                        <a:noFill/>
                        <a:ln>
                          <a:noFill/>
                        </a:ln>
                      </wps:spPr>
                      <wps:txb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txbxContent>
                      </wps:txbx>
                      <wps:bodyPr upright="1"/>
                    </wps:wsp>
                  </a:graphicData>
                </a:graphic>
              </wp:anchor>
            </w:drawing>
          </mc:Choice>
          <mc:Fallback>
            <w:pict>
              <v:shape id="_x0000_s1026" o:spid="_x0000_s1026" o:spt="202" type="#_x0000_t202" style="position:absolute;left:0pt;margin-left:72.75pt;margin-top:63.8pt;height:37.2pt;width:308.15pt;z-index:251661312;mso-width-relative:page;mso-height-relative:page;" filled="f" stroked="f" coordsize="21600,21600" o:gfxdata="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XLRbnX&#10;AAAACwEAAA8AAAAAAAAAAQAgAAAAIgAAAGRycy9kb3ducmV2LnhtbFBLAQIUABQAAAAIAIdO4kDb&#10;ar98rwEAAE4DAAAOAAAAAAAAAAEAIAAAACY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000000"/>
          <w:sz w:val="36"/>
          <w:szCs w:val="20"/>
        </w:rPr>
      </w:pPr>
    </w:p>
    <w:p>
      <w:pPr>
        <w:spacing w:before="1560" w:beforeLines="500" w:line="240" w:lineRule="auto"/>
        <w:ind w:firstLine="0" w:firstLineChars="0"/>
        <w:jc w:val="center"/>
        <w:rPr>
          <w:rFonts w:ascii="Times New Roman" w:hAnsi="Times New Roman" w:eastAsia="仿宋_GB2312" w:cs="Times New Roman"/>
          <w:b/>
          <w:color w:val="000000"/>
          <w:sz w:val="36"/>
          <w:szCs w:val="20"/>
        </w:rPr>
      </w:pPr>
      <w:r>
        <w:rPr>
          <w:rFonts w:hint="eastAsia" w:ascii="Times New Roman" w:hAnsi="Times New Roman" w:eastAsia="仿宋_GB2312" w:cs="Times New Roman"/>
          <w:b/>
          <w:color w:val="000000"/>
          <w:sz w:val="36"/>
          <w:szCs w:val="20"/>
        </w:rPr>
        <w:t>目录</w:t>
      </w:r>
    </w:p>
    <w:p>
      <w:pPr>
        <w:pStyle w:val="11"/>
        <w:tabs>
          <w:tab w:val="right" w:leader="dot" w:pos="8306"/>
        </w:tabs>
      </w:pPr>
      <w:r>
        <w:rPr>
          <w:rFonts w:eastAsia="仿宋_GB2312"/>
          <w:color w:val="000000"/>
          <w:sz w:val="36"/>
        </w:rPr>
        <w:fldChar w:fldCharType="begin"/>
      </w:r>
      <w:r>
        <w:rPr>
          <w:rFonts w:eastAsia="仿宋_GB2312"/>
          <w:color w:val="000000"/>
          <w:sz w:val="36"/>
        </w:rPr>
        <w:instrText xml:space="preserve">TOC \o "1-3" \t "" \h \z \u </w:instrText>
      </w:r>
      <w:r>
        <w:rPr>
          <w:rFonts w:eastAsia="仿宋_GB2312"/>
          <w:color w:val="000000"/>
          <w:sz w:val="36"/>
        </w:rPr>
        <w:fldChar w:fldCharType="separate"/>
      </w:r>
      <w:r>
        <w:rPr>
          <w:rFonts w:eastAsia="仿宋_GB2312"/>
          <w:color w:val="000000"/>
        </w:rPr>
        <w:fldChar w:fldCharType="begin"/>
      </w:r>
      <w:r>
        <w:rPr>
          <w:rFonts w:eastAsia="仿宋_GB2312"/>
        </w:rPr>
        <w:instrText xml:space="preserve"> HYPERLINK \l _Toc18121 </w:instrText>
      </w:r>
      <w:r>
        <w:rPr>
          <w:rFonts w:eastAsia="仿宋_GB2312"/>
        </w:rPr>
        <w:fldChar w:fldCharType="separate"/>
      </w:r>
      <w:r>
        <w:rPr>
          <w:rFonts w:hint="eastAsia"/>
        </w:rPr>
        <w:t>一、总则</w:t>
      </w:r>
      <w:r>
        <w:tab/>
      </w:r>
      <w:r>
        <w:fldChar w:fldCharType="begin"/>
      </w:r>
      <w:r>
        <w:instrText xml:space="preserve"> PAGEREF _Toc18121 \h </w:instrText>
      </w:r>
      <w:r>
        <w:fldChar w:fldCharType="separate"/>
      </w:r>
      <w:r>
        <w:t>1</w:t>
      </w:r>
      <w:r>
        <w:fldChar w:fldCharType="end"/>
      </w:r>
      <w:r>
        <w:rPr>
          <w:rFonts w:eastAsia="仿宋_GB2312"/>
          <w:color w:val="000000"/>
        </w:rPr>
        <w:fldChar w:fldCharType="end"/>
      </w:r>
    </w:p>
    <w:p>
      <w:pPr>
        <w:pStyle w:val="12"/>
        <w:tabs>
          <w:tab w:val="right" w:leader="dot" w:pos="8306"/>
        </w:tabs>
      </w:pPr>
      <w:r>
        <w:fldChar w:fldCharType="begin"/>
      </w:r>
      <w:r>
        <w:instrText xml:space="preserve"> HYPERLINK \l _Toc6979 </w:instrText>
      </w:r>
      <w:r>
        <w:fldChar w:fldCharType="separate"/>
      </w:r>
      <w:r>
        <w:rPr>
          <w:rFonts w:hint="eastAsia"/>
        </w:rPr>
        <w:t>1.1</w:t>
      </w:r>
      <w:r>
        <w:t xml:space="preserve"> </w:t>
      </w:r>
      <w:r>
        <w:rPr>
          <w:rFonts w:hint="eastAsia"/>
        </w:rPr>
        <w:t>一般要求</w:t>
      </w:r>
      <w:r>
        <w:tab/>
      </w:r>
      <w:r>
        <w:fldChar w:fldCharType="begin"/>
      </w:r>
      <w:r>
        <w:instrText xml:space="preserve"> PAGEREF _Toc6979 \h </w:instrText>
      </w:r>
      <w:r>
        <w:fldChar w:fldCharType="separate"/>
      </w:r>
      <w:r>
        <w:t>1</w:t>
      </w:r>
      <w:r>
        <w:fldChar w:fldCharType="end"/>
      </w:r>
      <w:r>
        <w:fldChar w:fldCharType="end"/>
      </w:r>
    </w:p>
    <w:p>
      <w:pPr>
        <w:pStyle w:val="12"/>
        <w:tabs>
          <w:tab w:val="right" w:leader="dot" w:pos="8306"/>
        </w:tabs>
      </w:pPr>
      <w:r>
        <w:fldChar w:fldCharType="begin"/>
      </w:r>
      <w:r>
        <w:instrText xml:space="preserve"> HYPERLINK \l _Toc21511 </w:instrText>
      </w:r>
      <w:r>
        <w:fldChar w:fldCharType="separate"/>
      </w:r>
      <w:r>
        <w:rPr>
          <w:rFonts w:hint="eastAsia"/>
        </w:rPr>
        <w:t>1.2</w:t>
      </w:r>
      <w:r>
        <w:t>标准和规范</w:t>
      </w:r>
      <w:r>
        <w:tab/>
      </w:r>
      <w:r>
        <w:fldChar w:fldCharType="begin"/>
      </w:r>
      <w:r>
        <w:instrText xml:space="preserve"> PAGEREF _Toc21511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_Toc6871 </w:instrText>
      </w:r>
      <w:r>
        <w:fldChar w:fldCharType="separate"/>
      </w:r>
      <w:r>
        <w:rPr>
          <w:rFonts w:hint="eastAsia"/>
        </w:rPr>
        <w:t>二、技术要求</w:t>
      </w:r>
      <w:r>
        <w:tab/>
      </w:r>
      <w:r>
        <w:fldChar w:fldCharType="begin"/>
      </w:r>
      <w:r>
        <w:instrText xml:space="preserve"> PAGEREF _Toc6871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_Toc30722 </w:instrText>
      </w:r>
      <w:r>
        <w:fldChar w:fldCharType="separate"/>
      </w:r>
      <w:r>
        <w:rPr>
          <w:rFonts w:hint="eastAsia" w:ascii="宋体" w:hAnsi="宋体" w:cs="宋体"/>
          <w:szCs w:val="24"/>
          <w:lang w:val="en-US" w:eastAsia="zh-CN"/>
        </w:rPr>
        <w:t>2</w:t>
      </w:r>
      <w:r>
        <w:rPr>
          <w:rFonts w:hint="eastAsia" w:ascii="宋体" w:hAnsi="宋体" w:cs="宋体"/>
          <w:szCs w:val="24"/>
        </w:rPr>
        <w:t>.1 项目研究对象</w:t>
      </w:r>
      <w:r>
        <w:tab/>
      </w:r>
      <w:r>
        <w:fldChar w:fldCharType="begin"/>
      </w:r>
      <w:r>
        <w:instrText xml:space="preserve"> PAGEREF _Toc30722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_Toc31968 </w:instrText>
      </w:r>
      <w:r>
        <w:fldChar w:fldCharType="separate"/>
      </w:r>
      <w:r>
        <w:rPr>
          <w:rFonts w:hint="eastAsia" w:ascii="宋体" w:hAnsi="宋体" w:cs="宋体"/>
          <w:szCs w:val="24"/>
          <w:lang w:val="en-US" w:eastAsia="zh-CN"/>
        </w:rPr>
        <w:t>2</w:t>
      </w:r>
      <w:r>
        <w:rPr>
          <w:rFonts w:hint="eastAsia" w:ascii="宋体" w:hAnsi="宋体" w:cs="宋体"/>
          <w:szCs w:val="24"/>
        </w:rPr>
        <w:t>.2</w:t>
      </w:r>
      <w:r>
        <w:rPr>
          <w:rFonts w:hint="eastAsia" w:ascii="宋体" w:hAnsi="宋体" w:cs="宋体"/>
          <w:szCs w:val="24"/>
          <w:lang w:val="en-US" w:eastAsia="zh-CN"/>
        </w:rPr>
        <w:t xml:space="preserve"> </w:t>
      </w:r>
      <w:r>
        <w:rPr>
          <w:rFonts w:hint="eastAsia" w:ascii="宋体" w:hAnsi="宋体" w:cs="宋体"/>
          <w:szCs w:val="24"/>
        </w:rPr>
        <w:t>项目研究内容</w:t>
      </w:r>
      <w:r>
        <w:tab/>
      </w:r>
      <w:r>
        <w:fldChar w:fldCharType="begin"/>
      </w:r>
      <w:r>
        <w:instrText xml:space="preserve"> PAGEREF _Toc31968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_Toc17813 </w:instrText>
      </w:r>
      <w:r>
        <w:fldChar w:fldCharType="separate"/>
      </w:r>
      <w:r>
        <w:rPr>
          <w:rFonts w:hint="eastAsia" w:ascii="宋体" w:hAnsi="宋体" w:cs="宋体"/>
          <w:szCs w:val="24"/>
          <w:lang w:val="en-US" w:eastAsia="zh-CN"/>
        </w:rPr>
        <w:t>2</w:t>
      </w:r>
      <w:r>
        <w:rPr>
          <w:rFonts w:hint="eastAsia" w:ascii="宋体" w:hAnsi="宋体" w:cs="宋体"/>
          <w:szCs w:val="24"/>
        </w:rPr>
        <w:t>.3</w:t>
      </w:r>
      <w:r>
        <w:rPr>
          <w:rFonts w:hint="eastAsia" w:ascii="宋体" w:hAnsi="宋体" w:cs="宋体"/>
          <w:szCs w:val="24"/>
          <w:lang w:val="en-US" w:eastAsia="zh-CN"/>
        </w:rPr>
        <w:t xml:space="preserve"> </w:t>
      </w:r>
      <w:r>
        <w:rPr>
          <w:rFonts w:hint="eastAsia" w:ascii="宋体" w:hAnsi="宋体" w:cs="宋体"/>
          <w:szCs w:val="24"/>
        </w:rPr>
        <w:t>技术指标要求</w:t>
      </w:r>
      <w:r>
        <w:tab/>
      </w:r>
      <w:r>
        <w:fldChar w:fldCharType="begin"/>
      </w:r>
      <w:r>
        <w:instrText xml:space="preserve"> PAGEREF _Toc17813 \h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_Toc8248 </w:instrText>
      </w:r>
      <w:r>
        <w:fldChar w:fldCharType="separate"/>
      </w:r>
      <w:r>
        <w:rPr>
          <w:rFonts w:hint="eastAsia" w:ascii="宋体" w:hAnsi="宋体" w:cs="宋体"/>
          <w:szCs w:val="24"/>
          <w:lang w:val="en-US" w:eastAsia="zh-CN"/>
        </w:rPr>
        <w:t>2</w:t>
      </w:r>
      <w:r>
        <w:rPr>
          <w:rFonts w:hint="eastAsia" w:ascii="宋体" w:hAnsi="宋体" w:cs="宋体"/>
          <w:szCs w:val="24"/>
        </w:rPr>
        <w:t>.4</w:t>
      </w:r>
      <w:r>
        <w:rPr>
          <w:rFonts w:hint="eastAsia" w:ascii="宋体" w:hAnsi="宋体" w:cs="宋体"/>
          <w:szCs w:val="24"/>
          <w:lang w:val="en-US" w:eastAsia="zh-CN"/>
        </w:rPr>
        <w:t xml:space="preserve"> </w:t>
      </w:r>
      <w:r>
        <w:rPr>
          <w:rFonts w:hint="eastAsia" w:ascii="宋体" w:hAnsi="宋体" w:cs="宋体"/>
          <w:szCs w:val="24"/>
        </w:rPr>
        <w:t>设备研究所需材料</w:t>
      </w:r>
      <w:r>
        <w:tab/>
      </w:r>
      <w:r>
        <w:fldChar w:fldCharType="begin"/>
      </w:r>
      <w:r>
        <w:instrText xml:space="preserve"> PAGEREF _Toc8248 \h </w:instrText>
      </w:r>
      <w:r>
        <w:fldChar w:fldCharType="separate"/>
      </w:r>
      <w:r>
        <w:t>5</w:t>
      </w:r>
      <w:r>
        <w:fldChar w:fldCharType="end"/>
      </w:r>
      <w:r>
        <w:fldChar w:fldCharType="end"/>
      </w:r>
    </w:p>
    <w:p>
      <w:pPr>
        <w:pStyle w:val="12"/>
        <w:tabs>
          <w:tab w:val="right" w:leader="dot" w:pos="8306"/>
        </w:tabs>
      </w:pPr>
      <w:r>
        <w:fldChar w:fldCharType="begin"/>
      </w:r>
      <w:r>
        <w:instrText xml:space="preserve"> HYPERLINK \l _Toc502 </w:instrText>
      </w:r>
      <w:r>
        <w:fldChar w:fldCharType="separate"/>
      </w:r>
      <w:r>
        <w:rPr>
          <w:rFonts w:hint="eastAsia" w:ascii="宋体" w:hAnsi="宋体" w:cs="宋体"/>
          <w:szCs w:val="24"/>
          <w:lang w:val="en-US" w:eastAsia="zh-CN"/>
        </w:rPr>
        <w:t>2</w:t>
      </w:r>
      <w:r>
        <w:rPr>
          <w:rFonts w:hint="eastAsia" w:ascii="宋体" w:hAnsi="宋体" w:cs="宋体"/>
          <w:szCs w:val="24"/>
        </w:rPr>
        <w:t>.5</w:t>
      </w:r>
      <w:r>
        <w:rPr>
          <w:rFonts w:hint="eastAsia" w:ascii="宋体" w:hAnsi="宋体" w:cs="宋体"/>
          <w:szCs w:val="24"/>
          <w:lang w:val="en-US" w:eastAsia="zh-CN"/>
        </w:rPr>
        <w:t xml:space="preserve"> </w:t>
      </w:r>
      <w:r>
        <w:rPr>
          <w:rFonts w:hint="eastAsia" w:ascii="宋体" w:hAnsi="宋体" w:cs="宋体"/>
          <w:szCs w:val="24"/>
        </w:rPr>
        <w:t>加工服务地点和期限</w:t>
      </w:r>
      <w:r>
        <w:tab/>
      </w:r>
      <w:r>
        <w:fldChar w:fldCharType="begin"/>
      </w:r>
      <w:r>
        <w:instrText xml:space="preserve"> PAGEREF _Toc502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_Toc6137 </w:instrText>
      </w:r>
      <w:r>
        <w:fldChar w:fldCharType="separate"/>
      </w:r>
      <w:r>
        <w:rPr>
          <w:rFonts w:hint="eastAsia"/>
        </w:rPr>
        <w:t>三、研究开发成果交付物</w:t>
      </w:r>
      <w:r>
        <w:tab/>
      </w:r>
      <w:r>
        <w:fldChar w:fldCharType="begin"/>
      </w:r>
      <w:r>
        <w:instrText xml:space="preserve"> PAGEREF _Toc6137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_Toc13225 </w:instrText>
      </w:r>
      <w:r>
        <w:fldChar w:fldCharType="separate"/>
      </w:r>
      <w:r>
        <w:rPr>
          <w:rFonts w:hint="eastAsia"/>
        </w:rPr>
        <w:t>四、开发人员</w:t>
      </w:r>
      <w:r>
        <w:tab/>
      </w:r>
      <w:r>
        <w:fldChar w:fldCharType="begin"/>
      </w:r>
      <w:r>
        <w:instrText xml:space="preserve"> PAGEREF _Toc13225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_Toc22815 </w:instrText>
      </w:r>
      <w:r>
        <w:fldChar w:fldCharType="separate"/>
      </w:r>
      <w:r>
        <w:rPr>
          <w:rFonts w:hint="eastAsia"/>
        </w:rPr>
        <w:t>五、投标技术文件编制要求</w:t>
      </w:r>
      <w:r>
        <w:tab/>
      </w:r>
      <w:r>
        <w:fldChar w:fldCharType="begin"/>
      </w:r>
      <w:r>
        <w:instrText xml:space="preserve"> PAGEREF _Toc22815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_Toc2588 </w:instrText>
      </w:r>
      <w:r>
        <w:fldChar w:fldCharType="separate"/>
      </w:r>
      <w:r>
        <w:rPr>
          <w:rFonts w:hint="eastAsia"/>
        </w:rPr>
        <w:t>5.1</w:t>
      </w:r>
      <w:r>
        <w:t xml:space="preserve"> </w:t>
      </w:r>
      <w:r>
        <w:rPr>
          <w:rFonts w:hint="eastAsia"/>
        </w:rPr>
        <w:t>研究内容</w:t>
      </w:r>
      <w:r>
        <w:tab/>
      </w:r>
      <w:r>
        <w:fldChar w:fldCharType="begin"/>
      </w:r>
      <w:r>
        <w:instrText xml:space="preserve"> PAGEREF _Toc2588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_Toc12859 </w:instrText>
      </w:r>
      <w:r>
        <w:fldChar w:fldCharType="separate"/>
      </w:r>
      <w:r>
        <w:rPr>
          <w:rFonts w:hint="eastAsia"/>
        </w:rPr>
        <w:t>5.</w:t>
      </w:r>
      <w:r>
        <w:t xml:space="preserve">2 </w:t>
      </w:r>
      <w:r>
        <w:rPr>
          <w:rFonts w:hint="eastAsia"/>
        </w:rPr>
        <w:t>研究思路与技术路线</w:t>
      </w:r>
      <w:r>
        <w:tab/>
      </w:r>
      <w:r>
        <w:fldChar w:fldCharType="begin"/>
      </w:r>
      <w:r>
        <w:instrText xml:space="preserve"> PAGEREF _Toc12859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_Toc27403 </w:instrText>
      </w:r>
      <w:r>
        <w:fldChar w:fldCharType="separate"/>
      </w:r>
      <w:r>
        <w:rPr>
          <w:rFonts w:hint="eastAsia"/>
        </w:rPr>
        <w:t>5.</w:t>
      </w:r>
      <w:r>
        <w:t xml:space="preserve">3 </w:t>
      </w:r>
      <w:r>
        <w:rPr>
          <w:rFonts w:hint="eastAsia"/>
        </w:rPr>
        <w:t>研究进度目标及指标</w:t>
      </w:r>
      <w:r>
        <w:tab/>
      </w:r>
      <w:r>
        <w:fldChar w:fldCharType="begin"/>
      </w:r>
      <w:r>
        <w:instrText xml:space="preserve"> PAGEREF _Toc27403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_Toc17858 </w:instrText>
      </w:r>
      <w:r>
        <w:fldChar w:fldCharType="separate"/>
      </w:r>
      <w:r>
        <w:rPr>
          <w:rFonts w:hint="eastAsia"/>
        </w:rPr>
        <w:t>5.</w:t>
      </w:r>
      <w:r>
        <w:t xml:space="preserve">4 </w:t>
      </w:r>
      <w:r>
        <w:rPr>
          <w:rFonts w:hint="eastAsia"/>
        </w:rPr>
        <w:t>项目实施的组织、管理</w:t>
      </w:r>
      <w:r>
        <w:tab/>
      </w:r>
      <w:r>
        <w:fldChar w:fldCharType="begin"/>
      </w:r>
      <w:r>
        <w:instrText xml:space="preserve"> PAGEREF _Toc17858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_Toc7198 </w:instrText>
      </w:r>
      <w:r>
        <w:fldChar w:fldCharType="separate"/>
      </w:r>
      <w:r>
        <w:rPr>
          <w:rFonts w:hint="eastAsia"/>
        </w:rPr>
        <w:t>5.</w:t>
      </w:r>
      <w:r>
        <w:t xml:space="preserve">5 </w:t>
      </w:r>
      <w:r>
        <w:rPr>
          <w:rFonts w:hint="eastAsia"/>
        </w:rPr>
        <w:t>承担能力说明</w:t>
      </w:r>
      <w:r>
        <w:tab/>
      </w:r>
      <w:r>
        <w:fldChar w:fldCharType="begin"/>
      </w:r>
      <w:r>
        <w:instrText xml:space="preserve"> PAGEREF _Toc7198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_Toc17332 </w:instrText>
      </w:r>
      <w:r>
        <w:fldChar w:fldCharType="separate"/>
      </w:r>
      <w:r>
        <w:rPr>
          <w:rFonts w:hint="eastAsia"/>
        </w:rPr>
        <w:t>5.6</w:t>
      </w:r>
      <w:r>
        <w:t xml:space="preserve"> </w:t>
      </w:r>
      <w:r>
        <w:rPr>
          <w:rFonts w:hint="eastAsia"/>
        </w:rPr>
        <w:t>成果产生的数量、形式</w:t>
      </w:r>
      <w:r>
        <w:tab/>
      </w:r>
      <w:r>
        <w:fldChar w:fldCharType="begin"/>
      </w:r>
      <w:r>
        <w:instrText xml:space="preserve"> PAGEREF _Toc17332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_Toc29281 </w:instrText>
      </w:r>
      <w:r>
        <w:fldChar w:fldCharType="separate"/>
      </w:r>
      <w:r>
        <w:rPr>
          <w:rFonts w:hint="eastAsia"/>
        </w:rPr>
        <w:t>5.7</w:t>
      </w:r>
      <w:r>
        <w:rPr>
          <w:rFonts w:hint="eastAsia"/>
          <w:lang w:val="en-US" w:eastAsia="zh-CN"/>
        </w:rPr>
        <w:t xml:space="preserve"> </w:t>
      </w:r>
      <w:r>
        <w:rPr>
          <w:rFonts w:hint="eastAsia"/>
        </w:rPr>
        <w:t>技术方案中涉及技术秘密的申明</w:t>
      </w:r>
      <w:r>
        <w:tab/>
      </w:r>
      <w:r>
        <w:fldChar w:fldCharType="begin"/>
      </w:r>
      <w:r>
        <w:instrText xml:space="preserve"> PAGEREF _Toc29281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_Toc17850 </w:instrText>
      </w:r>
      <w:r>
        <w:fldChar w:fldCharType="separate"/>
      </w:r>
      <w:r>
        <w:rPr>
          <w:rFonts w:hint="eastAsia"/>
          <w:lang w:val="en-US" w:eastAsia="zh-CN"/>
        </w:rPr>
        <w:t>5.8 售后服务承诺</w:t>
      </w:r>
      <w:r>
        <w:tab/>
      </w:r>
      <w:r>
        <w:fldChar w:fldCharType="begin"/>
      </w:r>
      <w:r>
        <w:instrText xml:space="preserve"> PAGEREF _Toc17850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_Toc32386 </w:instrText>
      </w:r>
      <w:r>
        <w:fldChar w:fldCharType="separate"/>
      </w:r>
      <w:r>
        <w:rPr>
          <w:rFonts w:hint="eastAsia"/>
          <w:bCs/>
        </w:rPr>
        <w:t>六、技术资料和文件</w:t>
      </w:r>
      <w:r>
        <w:tab/>
      </w:r>
      <w:r>
        <w:fldChar w:fldCharType="begin"/>
      </w:r>
      <w:r>
        <w:instrText xml:space="preserve"> PAGEREF _Toc32386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_Toc2277 </w:instrText>
      </w:r>
      <w:r>
        <w:fldChar w:fldCharType="separate"/>
      </w:r>
      <w:r>
        <w:rPr>
          <w:rFonts w:hint="eastAsia"/>
        </w:rPr>
        <w:t>七、项目联络</w:t>
      </w:r>
      <w:r>
        <w:tab/>
      </w:r>
      <w:r>
        <w:fldChar w:fldCharType="begin"/>
      </w:r>
      <w:r>
        <w:instrText xml:space="preserve"> PAGEREF _Toc2277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_Toc9208 </w:instrText>
      </w:r>
      <w:r>
        <w:fldChar w:fldCharType="separate"/>
      </w:r>
      <w:r>
        <w:rPr>
          <w:rFonts w:hint="eastAsia"/>
        </w:rPr>
        <w:t>八、评审与验收</w:t>
      </w:r>
      <w:r>
        <w:tab/>
      </w:r>
      <w:r>
        <w:fldChar w:fldCharType="begin"/>
      </w:r>
      <w:r>
        <w:instrText xml:space="preserve"> PAGEREF _Toc9208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_Toc23222 </w:instrText>
      </w:r>
      <w:r>
        <w:fldChar w:fldCharType="separate"/>
      </w:r>
      <w:r>
        <w:rPr>
          <w:rFonts w:hint="eastAsia"/>
        </w:rPr>
        <w:t>九、售后服务</w:t>
      </w:r>
      <w:r>
        <w:tab/>
      </w:r>
      <w:r>
        <w:fldChar w:fldCharType="begin"/>
      </w:r>
      <w:r>
        <w:instrText xml:space="preserve"> PAGEREF _Toc23222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_Toc14985 </w:instrText>
      </w:r>
      <w:r>
        <w:fldChar w:fldCharType="separate"/>
      </w:r>
      <w:r>
        <w:rPr>
          <w:rFonts w:hint="eastAsia"/>
        </w:rPr>
        <w:t>十、其他相关要求</w:t>
      </w:r>
      <w:r>
        <w:tab/>
      </w:r>
      <w:r>
        <w:fldChar w:fldCharType="begin"/>
      </w:r>
      <w:r>
        <w:instrText xml:space="preserve"> PAGEREF _Toc14985 \h </w:instrText>
      </w:r>
      <w:r>
        <w:fldChar w:fldCharType="separate"/>
      </w:r>
      <w:r>
        <w:t>12</w:t>
      </w:r>
      <w:r>
        <w:fldChar w:fldCharType="end"/>
      </w:r>
      <w:r>
        <w:fldChar w:fldCharType="end"/>
      </w:r>
    </w:p>
    <w:p>
      <w:pPr>
        <w:pStyle w:val="11"/>
        <w:tabs>
          <w:tab w:val="right" w:leader="dot" w:pos="8306"/>
        </w:tabs>
      </w:pPr>
      <w:r>
        <w:fldChar w:fldCharType="begin"/>
      </w:r>
      <w:r>
        <w:instrText xml:space="preserve"> HYPERLINK \l _Toc31513 </w:instrText>
      </w:r>
      <w:r>
        <w:fldChar w:fldCharType="separate"/>
      </w:r>
      <w:r>
        <w:rPr>
          <w:bCs/>
        </w:rPr>
        <w:t>1</w:t>
      </w:r>
      <w:r>
        <w:rPr>
          <w:rFonts w:hint="eastAsia"/>
          <w:bCs/>
        </w:rPr>
        <w:t>0</w:t>
      </w:r>
      <w:r>
        <w:rPr>
          <w:bCs/>
        </w:rPr>
        <w:t>.1</w:t>
      </w:r>
      <w:r>
        <w:rPr>
          <w:rFonts w:hint="eastAsia"/>
          <w:bCs/>
          <w:lang w:val="en-US" w:eastAsia="zh-CN"/>
        </w:rPr>
        <w:t xml:space="preserve"> </w:t>
      </w:r>
      <w:r>
        <w:rPr>
          <w:rFonts w:hint="eastAsia"/>
          <w:bCs/>
        </w:rPr>
        <w:t>技术配合</w:t>
      </w:r>
      <w:r>
        <w:tab/>
      </w:r>
      <w:r>
        <w:fldChar w:fldCharType="begin"/>
      </w:r>
      <w:r>
        <w:instrText xml:space="preserve"> PAGEREF _Toc31513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_Toc5313 </w:instrText>
      </w:r>
      <w:r>
        <w:fldChar w:fldCharType="separate"/>
      </w:r>
      <w:r>
        <w:t>1</w:t>
      </w:r>
      <w:r>
        <w:rPr>
          <w:rFonts w:hint="eastAsia"/>
        </w:rPr>
        <w:t>0</w:t>
      </w:r>
      <w:r>
        <w:t>.2</w:t>
      </w:r>
      <w:r>
        <w:rPr>
          <w:rFonts w:hint="eastAsia"/>
          <w:lang w:val="en-US" w:eastAsia="zh-CN"/>
        </w:rPr>
        <w:t xml:space="preserve"> </w:t>
      </w:r>
      <w:r>
        <w:rPr>
          <w:rFonts w:hint="eastAsia"/>
        </w:rPr>
        <w:t>现场服务</w:t>
      </w:r>
      <w:r>
        <w:tab/>
      </w:r>
      <w:r>
        <w:fldChar w:fldCharType="begin"/>
      </w:r>
      <w:r>
        <w:instrText xml:space="preserve"> PAGEREF _Toc5313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_Toc881 </w:instrText>
      </w:r>
      <w:r>
        <w:fldChar w:fldCharType="separate"/>
      </w:r>
      <w:r>
        <w:t>1</w:t>
      </w:r>
      <w:r>
        <w:rPr>
          <w:rFonts w:hint="eastAsia"/>
        </w:rPr>
        <w:t>0</w:t>
      </w:r>
      <w:r>
        <w:t>.3</w:t>
      </w:r>
      <w:r>
        <w:rPr>
          <w:rFonts w:hint="eastAsia"/>
          <w:lang w:val="en-US" w:eastAsia="zh-CN"/>
        </w:rPr>
        <w:t xml:space="preserve"> </w:t>
      </w:r>
      <w:r>
        <w:rPr>
          <w:rFonts w:hint="eastAsia"/>
        </w:rPr>
        <w:t>培训</w:t>
      </w:r>
      <w:r>
        <w:tab/>
      </w:r>
      <w:r>
        <w:fldChar w:fldCharType="begin"/>
      </w:r>
      <w:r>
        <w:instrText xml:space="preserve"> PAGEREF _Toc881 \h </w:instrText>
      </w:r>
      <w:r>
        <w:fldChar w:fldCharType="separate"/>
      </w:r>
      <w:r>
        <w:t>13</w:t>
      </w:r>
      <w:r>
        <w:fldChar w:fldCharType="end"/>
      </w:r>
      <w:r>
        <w:fldChar w:fldCharType="end"/>
      </w:r>
    </w:p>
    <w:p>
      <w:pPr>
        <w:pStyle w:val="12"/>
        <w:tabs>
          <w:tab w:val="right" w:leader="dot" w:pos="8306"/>
        </w:tabs>
      </w:pPr>
      <w:r>
        <w:fldChar w:fldCharType="begin"/>
      </w:r>
      <w:r>
        <w:instrText xml:space="preserve"> HYPERLINK \l _Toc23383 </w:instrText>
      </w:r>
      <w:r>
        <w:fldChar w:fldCharType="separate"/>
      </w:r>
      <w:r>
        <w:rPr>
          <w:rFonts w:hint="eastAsia"/>
        </w:rPr>
        <w:t>1</w:t>
      </w:r>
      <w:r>
        <w:rPr>
          <w:rFonts w:hint="eastAsia"/>
          <w:lang w:val="en-US" w:eastAsia="zh-CN"/>
        </w:rPr>
        <w:t>0</w:t>
      </w:r>
      <w:r>
        <w:rPr>
          <w:rFonts w:hint="eastAsia"/>
        </w:rPr>
        <w:t>.4 知识产权约定</w:t>
      </w:r>
      <w:r>
        <w:tab/>
      </w:r>
      <w:r>
        <w:fldChar w:fldCharType="begin"/>
      </w:r>
      <w:r>
        <w:instrText xml:space="preserve"> PAGEREF _Toc23383 \h </w:instrText>
      </w:r>
      <w:r>
        <w:fldChar w:fldCharType="separate"/>
      </w:r>
      <w:r>
        <w:t>13</w:t>
      </w:r>
      <w:r>
        <w:fldChar w:fldCharType="end"/>
      </w:r>
      <w:r>
        <w:fldChar w:fldCharType="end"/>
      </w:r>
    </w:p>
    <w:p>
      <w:pPr>
        <w:pStyle w:val="11"/>
        <w:tabs>
          <w:tab w:val="right" w:leader="dot" w:pos="8306"/>
        </w:tabs>
      </w:pPr>
      <w:r>
        <w:fldChar w:fldCharType="begin"/>
      </w:r>
      <w:r>
        <w:instrText xml:space="preserve"> HYPERLINK \l _Toc8949 </w:instrText>
      </w:r>
      <w:r>
        <w:fldChar w:fldCharType="separate"/>
      </w:r>
      <w:r>
        <w:rPr>
          <w:rFonts w:hint="eastAsia"/>
        </w:rPr>
        <w:t>附件</w:t>
      </w:r>
      <w:r>
        <w:tab/>
      </w:r>
      <w:r>
        <w:fldChar w:fldCharType="begin"/>
      </w:r>
      <w:r>
        <w:instrText xml:space="preserve"> PAGEREF _Toc8949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_Toc27802 </w:instrText>
      </w:r>
      <w:r>
        <w:fldChar w:fldCharType="separate"/>
      </w:r>
      <w:r>
        <w:rPr>
          <w:rFonts w:hint="eastAsia"/>
        </w:rPr>
        <w:t>1、差异表</w:t>
      </w:r>
      <w:r>
        <w:tab/>
      </w:r>
      <w:r>
        <w:fldChar w:fldCharType="begin"/>
      </w:r>
      <w:r>
        <w:instrText xml:space="preserve"> PAGEREF _Toc27802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_Toc17121 </w:instrText>
      </w:r>
      <w:r>
        <w:fldChar w:fldCharType="separate"/>
      </w:r>
      <w:r>
        <w:rPr>
          <w:rFonts w:hint="eastAsia"/>
        </w:rPr>
        <w:t>2、投标方需要说明的其它问题</w:t>
      </w:r>
      <w:r>
        <w:tab/>
      </w:r>
      <w:r>
        <w:fldChar w:fldCharType="begin"/>
      </w:r>
      <w:r>
        <w:instrText xml:space="preserve"> PAGEREF _Toc17121 \h </w:instrText>
      </w:r>
      <w:r>
        <w:fldChar w:fldCharType="separate"/>
      </w:r>
      <w:r>
        <w:t>14</w:t>
      </w:r>
      <w:r>
        <w:fldChar w:fldCharType="end"/>
      </w:r>
      <w:r>
        <w:fldChar w:fldCharType="end"/>
      </w:r>
    </w:p>
    <w:p>
      <w:pPr>
        <w:ind w:firstLine="480"/>
        <w:sectPr>
          <w:headerReference r:id="rId5" w:type="default"/>
          <w:footerReference r:id="rId6" w:type="default"/>
          <w:pgSz w:w="11906" w:h="16838"/>
          <w:pgMar w:top="1440" w:right="1800" w:bottom="1440" w:left="1800" w:header="851" w:footer="992" w:gutter="0"/>
          <w:cols w:space="720" w:num="1"/>
          <w:docGrid w:type="lines" w:linePitch="312" w:charSpace="0"/>
        </w:sectPr>
      </w:pPr>
      <w:r>
        <w:fldChar w:fldCharType="end"/>
      </w:r>
      <w:bookmarkStart w:id="0" w:name="_Toc299606277"/>
      <w:bookmarkStart w:id="1" w:name="_Toc353939550"/>
      <w:bookmarkStart w:id="2" w:name="_Toc444945507"/>
      <w:bookmarkStart w:id="3" w:name="_Toc353940788"/>
    </w:p>
    <w:p>
      <w:pPr>
        <w:pStyle w:val="4"/>
        <w:numPr>
          <w:ilvl w:val="0"/>
          <w:numId w:val="0"/>
        </w:numPr>
        <w:bidi w:val="0"/>
        <w:ind w:left="432" w:leftChars="0"/>
      </w:pPr>
      <w:bookmarkStart w:id="4" w:name="_Toc18121"/>
      <w:r>
        <w:rPr>
          <w:rFonts w:hint="eastAsia"/>
        </w:rPr>
        <w:t>一、总则</w:t>
      </w:r>
      <w:bookmarkEnd w:id="0"/>
      <w:bookmarkEnd w:id="1"/>
      <w:bookmarkEnd w:id="2"/>
      <w:bookmarkEnd w:id="3"/>
      <w:bookmarkEnd w:id="4"/>
    </w:p>
    <w:p>
      <w:pPr>
        <w:pStyle w:val="5"/>
      </w:pPr>
      <w:bookmarkStart w:id="5" w:name="_Toc6979"/>
      <w:bookmarkStart w:id="6" w:name="_Toc318799924"/>
      <w:bookmarkStart w:id="7" w:name="_Toc444945508"/>
      <w:r>
        <w:rPr>
          <w:rFonts w:hint="eastAsia"/>
        </w:rPr>
        <w:t>1.1</w:t>
      </w:r>
      <w:r>
        <w:t xml:space="preserve"> </w:t>
      </w:r>
      <w:r>
        <w:rPr>
          <w:rFonts w:hint="eastAsia"/>
        </w:rPr>
        <w:t>一般要求</w:t>
      </w:r>
      <w:bookmarkEnd w:id="5"/>
      <w:bookmarkEnd w:id="6"/>
      <w:bookmarkEnd w:id="7"/>
    </w:p>
    <w:p>
      <w:pPr>
        <w:ind w:firstLine="480"/>
        <w:rPr>
          <w:rFonts w:ascii="宋体" w:hAnsi="宋体"/>
        </w:rPr>
      </w:pPr>
      <w:bookmarkStart w:id="8" w:name="_Toc299606280"/>
      <w:bookmarkStart w:id="9" w:name="_Toc353939553"/>
      <w:bookmarkStart w:id="10" w:name="_Toc353940791"/>
      <w:bookmarkStart w:id="11" w:name="_Toc444945511"/>
      <w:r>
        <w:rPr>
          <w:rFonts w:hint="eastAsia" w:ascii="宋体" w:hAnsi="宋体"/>
        </w:rPr>
        <w:t>1.1.1 本技术条款主要描述广西电网有限责任公司</w:t>
      </w:r>
      <w:r>
        <w:rPr>
          <w:rFonts w:hint="eastAsia" w:ascii="宋体" w:hAnsi="宋体"/>
          <w:lang w:eastAsia="zh-CN"/>
        </w:rPr>
        <w:t>防城港</w:t>
      </w:r>
      <w:r>
        <w:rPr>
          <w:rFonts w:hint="eastAsia" w:ascii="宋体" w:hAnsi="宋体"/>
        </w:rPr>
        <w:t>供电</w:t>
      </w:r>
      <w:r>
        <w:rPr>
          <w:rFonts w:hint="eastAsia" w:ascii="宋体" w:hAnsi="宋体"/>
          <w:lang w:eastAsia="zh-CN"/>
        </w:rPr>
        <w:t>局便携式杠杆液压拔除器项目研究内容有关事项。投标方必须</w:t>
      </w:r>
      <w:r>
        <w:rPr>
          <w:rFonts w:hint="eastAsia" w:ascii="宋体" w:hAnsi="宋体"/>
        </w:rPr>
        <w:t>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yellow"/>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 xml:space="preserve">1.1.12 </w:t>
      </w:r>
      <w:r>
        <w:rPr>
          <w:rFonts w:hint="eastAsia" w:ascii="宋体" w:hAnsi="宋体"/>
        </w:rPr>
        <w:t>招标方保留技术规范书修改的权利，可以提出变更的意见和建议，最终签订的技术协议与合同具有同等效力。</w:t>
      </w:r>
    </w:p>
    <w:p>
      <w:pPr>
        <w:ind w:firstLine="480"/>
        <w:rPr>
          <w:rFonts w:ascii="宋体" w:hAnsi="宋体"/>
        </w:rPr>
      </w:pPr>
      <w:r>
        <w:rPr>
          <w:rFonts w:ascii="宋体" w:hAnsi="宋体"/>
        </w:rPr>
        <w:t xml:space="preserve">1.1.13 </w:t>
      </w:r>
      <w:r>
        <w:rPr>
          <w:rFonts w:hint="eastAsia" w:ascii="宋体" w:hAnsi="宋体"/>
        </w:rPr>
        <w:t>在不超出本技术规范书要求的情况下，投标方应对招标方提出的所有细化要求予以满足。</w:t>
      </w:r>
    </w:p>
    <w:p>
      <w:pPr>
        <w:ind w:firstLine="480"/>
        <w:rPr>
          <w:rFonts w:ascii="宋体" w:hAnsi="宋体"/>
        </w:rPr>
      </w:pPr>
      <w:r>
        <w:rPr>
          <w:rFonts w:ascii="宋体" w:hAnsi="宋体"/>
        </w:rPr>
        <w:t xml:space="preserve">1.1.14 </w:t>
      </w:r>
      <w:r>
        <w:rPr>
          <w:rFonts w:hint="eastAsia" w:ascii="宋体" w:hAnsi="宋体"/>
        </w:rPr>
        <w:t>投标方建议书的详细要求见招标书的商务部分。投标方必须随投标文件提供具有全部建议书的优盘文件壹份。文件格式要求为：文字部分用Microsoft WORD 200</w:t>
      </w:r>
      <w:r>
        <w:rPr>
          <w:rFonts w:ascii="宋体" w:hAnsi="宋体"/>
        </w:rPr>
        <w:t>7</w:t>
      </w:r>
      <w:r>
        <w:rPr>
          <w:rFonts w:hint="eastAsia" w:ascii="宋体" w:hAnsi="宋体"/>
        </w:rPr>
        <w:t>，表格部分用Microsoft EXCEL 200</w:t>
      </w:r>
      <w:r>
        <w:rPr>
          <w:rFonts w:ascii="宋体" w:hAnsi="宋体"/>
        </w:rPr>
        <w:t>7</w:t>
      </w:r>
      <w:r>
        <w:rPr>
          <w:rFonts w:hint="eastAsia" w:ascii="宋体" w:hAnsi="宋体"/>
        </w:rPr>
        <w:t>，图纸部分用Microsoft Visio 200</w:t>
      </w:r>
      <w:r>
        <w:rPr>
          <w:rFonts w:ascii="宋体" w:hAnsi="宋体"/>
        </w:rPr>
        <w:t>7</w:t>
      </w:r>
      <w:r>
        <w:rPr>
          <w:rFonts w:hint="eastAsia" w:ascii="宋体" w:hAnsi="宋体"/>
        </w:rPr>
        <w:t>。投标内容以印刷的投标文件正本为准。</w:t>
      </w:r>
    </w:p>
    <w:p>
      <w:pPr>
        <w:ind w:firstLine="480"/>
        <w:rPr>
          <w:rFonts w:ascii="宋体" w:hAnsi="宋体"/>
        </w:rPr>
      </w:pPr>
      <w:r>
        <w:rPr>
          <w:rFonts w:hint="eastAsia" w:ascii="宋体" w:hAnsi="宋体"/>
        </w:rPr>
        <w:t>1.1.15 有文件、图纸、通信的均使用中文。所有计算、说明、图纸文件、手册等使用国际单位制。</w:t>
      </w:r>
    </w:p>
    <w:p>
      <w:pPr>
        <w:pStyle w:val="5"/>
      </w:pPr>
      <w:bookmarkStart w:id="12" w:name="_Toc582"/>
      <w:bookmarkStart w:id="13" w:name="_Toc255894290"/>
      <w:bookmarkStart w:id="14" w:name="_Toc293665071"/>
      <w:bookmarkStart w:id="15" w:name="_Toc252486971"/>
      <w:bookmarkStart w:id="16" w:name="_Toc261810243"/>
      <w:bookmarkStart w:id="17" w:name="_Toc445194080"/>
      <w:bookmarkStart w:id="18" w:name="_Toc222711875"/>
      <w:bookmarkStart w:id="19" w:name="_Toc252485428"/>
      <w:bookmarkStart w:id="20" w:name="_Toc21511"/>
      <w:r>
        <w:rPr>
          <w:rFonts w:hint="eastAsia"/>
        </w:rPr>
        <w:t>1.2</w:t>
      </w:r>
      <w:r>
        <w:t>标准和规范</w:t>
      </w:r>
      <w:bookmarkEnd w:id="12"/>
      <w:bookmarkEnd w:id="13"/>
      <w:bookmarkEnd w:id="14"/>
      <w:bookmarkEnd w:id="15"/>
      <w:bookmarkEnd w:id="16"/>
      <w:bookmarkEnd w:id="17"/>
      <w:bookmarkEnd w:id="18"/>
      <w:bookmarkEnd w:id="19"/>
      <w:bookmarkEnd w:id="20"/>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ascii="Times New Roman" w:hAnsi="Times New Roman" w:cs="Times New Roman"/>
          <w:color w:val="000000"/>
          <w:szCs w:val="21"/>
          <w:lang w:val="zh-CN"/>
        </w:rPr>
        <w:t>下列标准所包括的条文，通过在本规定中引用而构成本规定的条文。本标准出版时</w:t>
      </w:r>
      <w:r>
        <w:rPr>
          <w:rFonts w:ascii="Times New Roman" w:hAnsi="Times New Roman" w:cs="Times New Roman"/>
          <w:color w:val="000000" w:themeColor="text1"/>
          <w:szCs w:val="21"/>
          <w:lang w:val="zh-CN"/>
          <w14:textFill>
            <w14:solidFill>
              <w14:schemeClr w14:val="tx1"/>
            </w14:solidFill>
          </w14:textFill>
        </w:rPr>
        <w:t>，所示版本均为有效。所有标准都会被修订，使用本标准的各方应探讨使用下列标准最新版本的可能性。</w:t>
      </w:r>
    </w:p>
    <w:p>
      <w:pPr>
        <w:autoSpaceDE w:val="0"/>
        <w:autoSpaceDN w:val="0"/>
        <w:adjustRightInd w:val="0"/>
        <w:ind w:firstLine="480"/>
        <w:rPr>
          <w:rFonts w:hint="eastAsia" w:ascii="Times New Roman" w:hAnsi="Times New Roman"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GB 26164.1</w:t>
      </w:r>
      <w:r>
        <w:rPr>
          <w:rFonts w:hint="eastAsia" w:ascii="Times New Roman" w:hAnsi="Times New Roman" w:cs="Times New Roman"/>
          <w:color w:val="000000" w:themeColor="text1"/>
          <w:szCs w:val="21"/>
          <w:lang w:val="en-US" w:eastAsia="zh-CN"/>
          <w14:textFill>
            <w14:solidFill>
              <w14:schemeClr w14:val="tx1"/>
            </w14:solidFill>
          </w14:textFill>
        </w:rPr>
        <w:t>—</w:t>
      </w:r>
      <w:r>
        <w:rPr>
          <w:rFonts w:hint="default" w:ascii="Times New Roman" w:hAnsi="Times New Roman" w:cs="Times New Roman"/>
          <w:color w:val="000000" w:themeColor="text1"/>
          <w:szCs w:val="21"/>
          <w:lang w:val="en-US" w:eastAsia="zh-CN"/>
          <w14:textFill>
            <w14:solidFill>
              <w14:schemeClr w14:val="tx1"/>
            </w14:solidFill>
          </w14:textFill>
        </w:rPr>
        <w:t xml:space="preserve">2010 </w:t>
      </w:r>
      <w:r>
        <w:rPr>
          <w:rFonts w:hint="eastAsia" w:ascii="Times New Roman" w:hAnsi="Times New Roman" w:cs="Times New Roman"/>
          <w:color w:val="000000" w:themeColor="text1"/>
          <w:szCs w:val="21"/>
          <w:lang w:val="en-US" w:eastAsia="zh-CN"/>
          <w14:textFill>
            <w14:solidFill>
              <w14:schemeClr w14:val="tx1"/>
            </w14:solidFill>
          </w14:textFill>
        </w:rPr>
        <w:t xml:space="preserve">电业安全工作规程 第 </w:t>
      </w:r>
      <w:r>
        <w:rPr>
          <w:rFonts w:hint="default" w:ascii="Times New Roman" w:hAnsi="Times New Roman" w:cs="Times New Roman"/>
          <w:color w:val="000000" w:themeColor="text1"/>
          <w:szCs w:val="21"/>
          <w:lang w:val="en-US" w:eastAsia="zh-CN"/>
          <w14:textFill>
            <w14:solidFill>
              <w14:schemeClr w14:val="tx1"/>
            </w14:solidFill>
          </w14:textFill>
        </w:rPr>
        <w:t xml:space="preserve">1 </w:t>
      </w:r>
      <w:r>
        <w:rPr>
          <w:rFonts w:hint="eastAsia" w:ascii="Times New Roman" w:hAnsi="Times New Roman" w:cs="Times New Roman"/>
          <w:color w:val="000000" w:themeColor="text1"/>
          <w:szCs w:val="21"/>
          <w:lang w:val="en-US" w:eastAsia="zh-CN"/>
          <w14:textFill>
            <w14:solidFill>
              <w14:schemeClr w14:val="tx1"/>
            </w14:solidFill>
          </w14:textFill>
        </w:rPr>
        <w:t>部分：热力和机械</w:t>
      </w:r>
    </w:p>
    <w:p>
      <w:pPr>
        <w:autoSpaceDE w:val="0"/>
        <w:autoSpaceDN w:val="0"/>
        <w:adjustRightInd w:val="0"/>
        <w:ind w:firstLine="480"/>
        <w:rPr>
          <w:rFonts w:hint="eastAsia"/>
          <w:lang w:val="zh-CN"/>
        </w:rPr>
      </w:pPr>
      <w:r>
        <w:rPr>
          <w:rFonts w:hint="eastAsia" w:ascii="Times New Roman" w:hAnsi="Times New Roman" w:cs="Times New Roman"/>
          <w:color w:val="000000" w:themeColor="text1"/>
          <w:szCs w:val="21"/>
          <w:lang w:val="zh-CN"/>
          <w14:textFill>
            <w14:solidFill>
              <w14:schemeClr w14:val="tx1"/>
            </w14:solidFill>
          </w14:textFill>
        </w:rPr>
        <w:t xml:space="preserve">GB/T 20118 </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钢丝绳通用技术条件</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18037-2008 带电作业工具基本技术要求与设计导则</w:t>
      </w:r>
    </w:p>
    <w:p>
      <w:pPr>
        <w:autoSpaceDE w:val="0"/>
        <w:autoSpaceDN w:val="0"/>
        <w:adjustRightInd w:val="0"/>
        <w:ind w:firstLine="48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 875-2016</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架空输电线路施工机具基本技术要求</w:t>
      </w:r>
    </w:p>
    <w:p>
      <w:pPr>
        <w:autoSpaceDE w:val="0"/>
        <w:autoSpaceDN w:val="0"/>
        <w:adjustRightInd w:val="0"/>
        <w:ind w:firstLine="48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DL/T976</w:t>
      </w:r>
      <w:r>
        <w:rPr>
          <w:rFonts w:hint="eastAsia"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lang w:val="zh-CN"/>
          <w14:textFill>
            <w14:solidFill>
              <w14:schemeClr w14:val="tx1"/>
            </w14:solidFill>
          </w14:textFill>
        </w:rPr>
        <w:t>2017   带电作业工具、装置和设备预防性试验规程</w:t>
      </w:r>
    </w:p>
    <w:bookmarkEnd w:id="8"/>
    <w:bookmarkEnd w:id="9"/>
    <w:bookmarkEnd w:id="10"/>
    <w:bookmarkEnd w:id="11"/>
    <w:p>
      <w:pPr>
        <w:pStyle w:val="4"/>
        <w:numPr>
          <w:ilvl w:val="0"/>
          <w:numId w:val="0"/>
        </w:numPr>
        <w:tabs>
          <w:tab w:val="clear" w:pos="432"/>
        </w:tabs>
        <w:ind w:left="432"/>
        <w:rPr>
          <w:rFonts w:hint="eastAsia"/>
        </w:rPr>
      </w:pPr>
      <w:bookmarkStart w:id="21" w:name="_Toc6871"/>
      <w:bookmarkStart w:id="22" w:name="_Toc444945516"/>
      <w:r>
        <w:rPr>
          <w:rFonts w:hint="eastAsia"/>
        </w:rPr>
        <w:t>二、技术要求</w:t>
      </w:r>
      <w:bookmarkEnd w:id="21"/>
      <w:bookmarkEnd w:id="22"/>
    </w:p>
    <w:p>
      <w:pPr>
        <w:pStyle w:val="5"/>
        <w:tabs>
          <w:tab w:val="left" w:pos="0"/>
        </w:tabs>
        <w:spacing w:before="0" w:after="0" w:line="360" w:lineRule="auto"/>
        <w:rPr>
          <w:rFonts w:ascii="宋体" w:hAnsi="宋体" w:cs="宋体"/>
          <w:color w:val="auto"/>
          <w:sz w:val="28"/>
          <w:szCs w:val="24"/>
        </w:rPr>
      </w:pPr>
      <w:bookmarkStart w:id="23" w:name="_Toc444945517"/>
      <w:bookmarkStart w:id="24" w:name="_Toc437603900"/>
      <w:bookmarkStart w:id="25" w:name="_Toc30722"/>
      <w:r>
        <w:rPr>
          <w:rFonts w:hint="eastAsia" w:ascii="宋体" w:hAnsi="宋体" w:cs="宋体"/>
          <w:color w:val="auto"/>
          <w:sz w:val="28"/>
          <w:szCs w:val="24"/>
          <w:lang w:val="en-US" w:eastAsia="zh-CN"/>
        </w:rPr>
        <w:t>2</w:t>
      </w:r>
      <w:r>
        <w:rPr>
          <w:rFonts w:hint="eastAsia" w:ascii="宋体" w:hAnsi="宋体" w:cs="宋体"/>
          <w:color w:val="auto"/>
          <w:sz w:val="28"/>
          <w:szCs w:val="24"/>
        </w:rPr>
        <w:t>.1 项目</w:t>
      </w:r>
      <w:bookmarkEnd w:id="23"/>
      <w:bookmarkEnd w:id="24"/>
      <w:r>
        <w:rPr>
          <w:rFonts w:hint="eastAsia" w:ascii="宋体" w:hAnsi="宋体" w:cs="宋体"/>
          <w:color w:val="auto"/>
          <w:sz w:val="28"/>
          <w:szCs w:val="24"/>
        </w:rPr>
        <w:t>研究对象</w:t>
      </w:r>
      <w:bookmarkEnd w:id="25"/>
    </w:p>
    <w:p>
      <w:pPr>
        <w:ind w:firstLine="480"/>
        <w:rPr>
          <w:rFonts w:hint="eastAsia" w:ascii="宋体" w:hAnsi="宋体"/>
          <w:color w:val="auto"/>
          <w:lang w:val="en-US" w:eastAsia="zh-CN"/>
        </w:rPr>
      </w:pPr>
      <w:bookmarkStart w:id="26" w:name="_Toc444945518"/>
      <w:bookmarkStart w:id="27" w:name="_Toc437603901"/>
      <w:r>
        <w:rPr>
          <w:rFonts w:hint="default" w:ascii="宋体" w:hAnsi="宋体"/>
          <w:color w:val="auto"/>
          <w:lang w:val="en-US" w:eastAsia="zh-CN"/>
        </w:rPr>
        <w:t>电力线路施工过程中，经常需要打角桩作为临时拉线的地锚和残留电杆头，施工结束后，拔除时费时费力。通过对现场作业环境的深入调研发现，</w:t>
      </w:r>
      <w:r>
        <w:rPr>
          <w:rFonts w:hint="eastAsia" w:ascii="宋体" w:hAnsi="宋体"/>
          <w:color w:val="auto"/>
          <w:lang w:val="en-US" w:eastAsia="zh-CN"/>
        </w:rPr>
        <w:t>施工现场无钩机或钩机无法到达的情况下，</w:t>
      </w:r>
      <w:r>
        <w:rPr>
          <w:rFonts w:hint="default" w:ascii="宋体" w:hAnsi="宋体"/>
          <w:color w:val="auto"/>
          <w:lang w:val="en-US" w:eastAsia="zh-CN"/>
        </w:rPr>
        <w:t>现</w:t>
      </w:r>
      <w:r>
        <w:rPr>
          <w:rFonts w:hint="eastAsia" w:ascii="宋体" w:hAnsi="宋体"/>
          <w:color w:val="auto"/>
          <w:lang w:val="en-US" w:eastAsia="zh-CN"/>
        </w:rPr>
        <w:t>有的作业方法基本都是通过人工用抬杠拔出</w:t>
      </w:r>
      <w:r>
        <w:rPr>
          <w:rFonts w:hint="default" w:ascii="宋体" w:hAnsi="宋体"/>
          <w:color w:val="auto"/>
          <w:lang w:val="en-US" w:eastAsia="zh-CN"/>
        </w:rPr>
        <w:t>，导致</w:t>
      </w:r>
      <w:r>
        <w:rPr>
          <w:rFonts w:hint="eastAsia" w:ascii="宋体" w:hAnsi="宋体"/>
          <w:color w:val="auto"/>
          <w:lang w:val="en-US" w:eastAsia="zh-CN"/>
        </w:rPr>
        <w:t>工作效率低，甚至都不处理，</w:t>
      </w:r>
      <w:r>
        <w:rPr>
          <w:rFonts w:hint="default" w:ascii="宋体" w:hAnsi="宋体"/>
          <w:color w:val="auto"/>
          <w:lang w:val="en-US" w:eastAsia="zh-CN"/>
        </w:rPr>
        <w:t>严重影响</w:t>
      </w:r>
      <w:r>
        <w:rPr>
          <w:rFonts w:hint="eastAsia" w:ascii="宋体" w:hAnsi="宋体"/>
          <w:color w:val="auto"/>
          <w:lang w:val="en-US" w:eastAsia="zh-CN"/>
        </w:rPr>
        <w:t>用户耕作和存在绊倒人、牛等安全隐患</w:t>
      </w:r>
      <w:r>
        <w:rPr>
          <w:rFonts w:hint="default" w:ascii="宋体" w:hAnsi="宋体"/>
          <w:color w:val="auto"/>
          <w:lang w:val="en-US" w:eastAsia="zh-CN"/>
        </w:rPr>
        <w:t>。</w:t>
      </w:r>
    </w:p>
    <w:p>
      <w:pPr>
        <w:ind w:firstLine="480"/>
        <w:rPr>
          <w:rFonts w:hint="eastAsia"/>
          <w:color w:val="auto"/>
          <w:lang w:val="en-US" w:eastAsia="zh-CN"/>
        </w:rPr>
      </w:pPr>
      <w:r>
        <w:rPr>
          <w:rFonts w:hint="default" w:ascii="宋体" w:hAnsi="宋体"/>
          <w:color w:val="auto"/>
          <w:lang w:val="en-US" w:eastAsia="zh-CN"/>
        </w:rPr>
        <w:t>针对上述问题，设计</w:t>
      </w:r>
      <w:r>
        <w:rPr>
          <w:rFonts w:hint="eastAsia" w:ascii="宋体" w:hAnsi="宋体"/>
          <w:color w:val="auto"/>
          <w:lang w:val="en-US" w:eastAsia="zh-CN"/>
        </w:rPr>
        <w:t>了</w:t>
      </w:r>
      <w:r>
        <w:rPr>
          <w:rFonts w:hint="default" w:ascii="宋体" w:hAnsi="宋体"/>
          <w:color w:val="auto"/>
          <w:lang w:val="en-US" w:eastAsia="zh-CN"/>
        </w:rPr>
        <w:t>一种</w:t>
      </w:r>
      <w:r>
        <w:rPr>
          <w:rFonts w:hint="eastAsia" w:ascii="宋体" w:hAnsi="宋体"/>
          <w:color w:val="auto"/>
          <w:lang w:val="en-US" w:eastAsia="zh-CN"/>
        </w:rPr>
        <w:t>便携</w:t>
      </w:r>
      <w:r>
        <w:rPr>
          <w:rFonts w:hint="default" w:ascii="宋体" w:hAnsi="宋体"/>
          <w:color w:val="auto"/>
          <w:lang w:val="en-US" w:eastAsia="zh-CN"/>
        </w:rPr>
        <w:t>式</w:t>
      </w:r>
      <w:r>
        <w:rPr>
          <w:rFonts w:hint="eastAsia" w:ascii="宋体" w:hAnsi="宋体"/>
          <w:color w:val="auto"/>
          <w:lang w:val="en-US" w:eastAsia="zh-CN"/>
        </w:rPr>
        <w:t>杠杆液压拔除器</w:t>
      </w:r>
      <w:r>
        <w:rPr>
          <w:rFonts w:hint="default" w:ascii="宋体" w:hAnsi="宋体"/>
          <w:color w:val="auto"/>
          <w:lang w:val="en-US" w:eastAsia="zh-CN"/>
        </w:rPr>
        <w:t>。该</w:t>
      </w:r>
      <w:r>
        <w:rPr>
          <w:rFonts w:hint="eastAsia" w:ascii="宋体" w:hAnsi="宋体"/>
          <w:color w:val="auto"/>
          <w:lang w:val="en-US" w:eastAsia="zh-CN"/>
        </w:rPr>
        <w:t>拔除器</w:t>
      </w:r>
      <w:r>
        <w:rPr>
          <w:rFonts w:hint="default" w:ascii="宋体" w:hAnsi="宋体"/>
          <w:color w:val="auto"/>
          <w:lang w:val="en-US" w:eastAsia="zh-CN"/>
        </w:rPr>
        <w:t>通过</w:t>
      </w:r>
      <w:r>
        <w:rPr>
          <w:rFonts w:hint="eastAsia" w:ascii="宋体" w:hAnsi="宋体"/>
          <w:color w:val="auto"/>
          <w:lang w:val="en-US" w:eastAsia="zh-CN"/>
        </w:rPr>
        <w:t>一是</w:t>
      </w:r>
      <w:r>
        <w:rPr>
          <w:rFonts w:hint="default" w:ascii="宋体" w:hAnsi="宋体"/>
          <w:color w:val="auto"/>
          <w:lang w:val="en-US" w:eastAsia="zh-CN"/>
        </w:rPr>
        <w:t>用轻质铝合金伸缩支腿，展开后形成稳定三角支撑，支脚带防滑钉板（适应软硬地面）。</w:t>
      </w:r>
      <w:r>
        <w:rPr>
          <w:rFonts w:hint="eastAsia" w:ascii="宋体" w:hAnsi="宋体"/>
          <w:color w:val="auto"/>
          <w:lang w:val="en-US" w:eastAsia="zh-CN"/>
        </w:rPr>
        <w:t>二是</w:t>
      </w:r>
      <w:r>
        <w:rPr>
          <w:rFonts w:hint="default" w:ascii="宋体" w:hAnsi="宋体"/>
          <w:color w:val="auto"/>
          <w:lang w:val="en-US" w:eastAsia="zh-CN"/>
        </w:rPr>
        <w:t>采用双弧形可调节钢制夹爪，通过手轮螺杆调节夹紧力度，内侧镶嵌可更换橡胶防滑垫+锯齿钢片，防止滑脱。</w:t>
      </w:r>
      <w:r>
        <w:rPr>
          <w:rFonts w:hint="eastAsia" w:ascii="宋体" w:hAnsi="宋体"/>
          <w:color w:val="auto"/>
          <w:lang w:val="en-US" w:eastAsia="zh-CN"/>
        </w:rPr>
        <w:t>三是</w:t>
      </w:r>
      <w:r>
        <w:rPr>
          <w:rFonts w:hint="default" w:ascii="宋体" w:hAnsi="宋体"/>
          <w:color w:val="auto"/>
          <w:lang w:val="en-US" w:eastAsia="zh-CN"/>
        </w:rPr>
        <w:t>通过手动</w:t>
      </w:r>
      <w:r>
        <w:rPr>
          <w:rFonts w:hint="eastAsia" w:ascii="宋体" w:hAnsi="宋体"/>
          <w:color w:val="auto"/>
          <w:lang w:val="en-US" w:eastAsia="zh-CN"/>
        </w:rPr>
        <w:t>/电动</w:t>
      </w:r>
      <w:r>
        <w:rPr>
          <w:rFonts w:hint="default" w:ascii="宋体" w:hAnsi="宋体"/>
          <w:color w:val="auto"/>
          <w:lang w:val="en-US" w:eastAsia="zh-CN"/>
        </w:rPr>
        <w:t>液压千斤顶+省力杠杆作为动力可以快速拔除角桩、混凝土电杆头等多种残留桩体。有效解决了</w:t>
      </w:r>
      <w:r>
        <w:rPr>
          <w:rFonts w:hint="eastAsia" w:ascii="宋体" w:hAnsi="宋体"/>
          <w:color w:val="auto"/>
          <w:lang w:val="en-US" w:eastAsia="zh-CN"/>
        </w:rPr>
        <w:t>遗留在土地里的桩体</w:t>
      </w:r>
      <w:r>
        <w:rPr>
          <w:rFonts w:hint="default" w:ascii="宋体" w:hAnsi="宋体"/>
          <w:color w:val="auto"/>
          <w:lang w:val="en-US" w:eastAsia="zh-CN"/>
        </w:rPr>
        <w:t>。</w:t>
      </w:r>
    </w:p>
    <w:p>
      <w:pPr>
        <w:pStyle w:val="5"/>
        <w:tabs>
          <w:tab w:val="left" w:pos="0"/>
        </w:tabs>
        <w:spacing w:before="0" w:after="0" w:line="360" w:lineRule="auto"/>
        <w:rPr>
          <w:rFonts w:ascii="宋体" w:hAnsi="宋体" w:cs="宋体"/>
          <w:color w:val="auto"/>
          <w:sz w:val="28"/>
          <w:szCs w:val="24"/>
          <w:highlight w:val="yellow"/>
        </w:rPr>
      </w:pPr>
      <w:bookmarkStart w:id="28" w:name="_Toc31968"/>
      <w:r>
        <w:rPr>
          <w:rFonts w:hint="eastAsia" w:ascii="宋体" w:hAnsi="宋体" w:cs="宋体"/>
          <w:color w:val="auto"/>
          <w:sz w:val="28"/>
          <w:szCs w:val="24"/>
          <w:lang w:val="en-US" w:eastAsia="zh-CN"/>
        </w:rPr>
        <w:t>2</w:t>
      </w:r>
      <w:r>
        <w:rPr>
          <w:rFonts w:hint="eastAsia" w:ascii="宋体" w:hAnsi="宋体" w:cs="宋体"/>
          <w:color w:val="auto"/>
          <w:sz w:val="28"/>
          <w:szCs w:val="24"/>
        </w:rPr>
        <w:t>.2</w:t>
      </w:r>
      <w:r>
        <w:rPr>
          <w:rFonts w:hint="eastAsia" w:ascii="宋体" w:hAnsi="宋体" w:cs="宋体"/>
          <w:color w:val="auto"/>
          <w:sz w:val="28"/>
          <w:szCs w:val="24"/>
          <w:lang w:val="en-US" w:eastAsia="zh-CN"/>
        </w:rPr>
        <w:t xml:space="preserve"> </w:t>
      </w:r>
      <w:r>
        <w:rPr>
          <w:rFonts w:hint="eastAsia" w:ascii="宋体" w:hAnsi="宋体" w:cs="宋体"/>
          <w:color w:val="auto"/>
          <w:sz w:val="28"/>
          <w:szCs w:val="24"/>
        </w:rPr>
        <w:t>项目研究内容</w:t>
      </w:r>
      <w:bookmarkEnd w:id="26"/>
      <w:bookmarkEnd w:id="27"/>
      <w:bookmarkEnd w:id="28"/>
    </w:p>
    <w:p>
      <w:pPr>
        <w:ind w:firstLine="480"/>
        <w:rPr>
          <w:rFonts w:hint="eastAsia" w:ascii="宋体" w:hAnsi="宋体"/>
          <w:color w:val="auto"/>
          <w:lang w:val="en-US" w:eastAsia="zh-CN"/>
        </w:rPr>
      </w:pPr>
      <w:r>
        <w:rPr>
          <w:rFonts w:hint="eastAsia" w:ascii="宋体" w:hAnsi="宋体"/>
          <w:color w:val="auto"/>
          <w:lang w:val="en-US" w:eastAsia="zh-CN"/>
        </w:rPr>
        <w:t>2</w:t>
      </w:r>
      <w:r>
        <w:rPr>
          <w:rFonts w:hint="eastAsia" w:ascii="宋体" w:hAnsi="宋体"/>
          <w:color w:val="auto"/>
        </w:rPr>
        <w:t>.2.1</w:t>
      </w:r>
      <w:r>
        <w:rPr>
          <w:rFonts w:hint="eastAsia" w:ascii="宋体" w:hAnsi="宋体"/>
          <w:color w:val="auto"/>
          <w:lang w:val="en-US" w:eastAsia="zh-CN"/>
        </w:rPr>
        <w:t xml:space="preserve"> 基本参数</w:t>
      </w:r>
    </w:p>
    <w:p>
      <w:pPr>
        <w:ind w:firstLine="480"/>
        <w:rPr>
          <w:rFonts w:hint="eastAsia" w:ascii="宋体" w:hAnsi="宋体"/>
          <w:color w:val="auto"/>
          <w:lang w:val="en-US" w:eastAsia="zh-CN"/>
        </w:rPr>
      </w:pPr>
      <w:r>
        <w:rPr>
          <w:rFonts w:hint="eastAsia" w:ascii="宋体" w:hAnsi="宋体"/>
          <w:color w:val="auto"/>
          <w:lang w:val="en-US" w:eastAsia="zh-CN"/>
        </w:rPr>
        <w:t>（1）适用范围：可拔除角桩、混凝土电杆头等多种残留桩体。</w:t>
      </w:r>
    </w:p>
    <w:p>
      <w:pPr>
        <w:ind w:firstLine="480"/>
        <w:rPr>
          <w:rFonts w:hint="eastAsia" w:ascii="宋体" w:hAnsi="宋体"/>
          <w:color w:val="auto"/>
          <w:lang w:val="en-US" w:eastAsia="zh-CN"/>
        </w:rPr>
      </w:pPr>
      <w:r>
        <w:rPr>
          <w:rFonts w:hint="eastAsia" w:ascii="宋体" w:hAnsi="宋体"/>
          <w:color w:val="auto"/>
          <w:lang w:val="en-US" w:eastAsia="zh-CN"/>
        </w:rPr>
        <w:t>（2）动力方式：</w:t>
      </w:r>
      <w:r>
        <w:rPr>
          <w:rFonts w:hint="default" w:ascii="宋体" w:hAnsi="宋体"/>
          <w:color w:val="auto"/>
          <w:lang w:val="en-US" w:eastAsia="zh-CN"/>
        </w:rPr>
        <w:t>手动</w:t>
      </w:r>
      <w:r>
        <w:rPr>
          <w:rFonts w:hint="eastAsia" w:ascii="宋体" w:hAnsi="宋体"/>
          <w:color w:val="auto"/>
          <w:lang w:val="en-US" w:eastAsia="zh-CN"/>
        </w:rPr>
        <w:t>/电动液压千斤顶+省力杠杆双动力，较传统撬棍效率提高3倍以上，单人10分钟内可完成作业。</w:t>
      </w:r>
    </w:p>
    <w:p>
      <w:pPr>
        <w:ind w:firstLine="480"/>
        <w:rPr>
          <w:rFonts w:hint="eastAsia" w:ascii="宋体" w:hAnsi="宋体"/>
          <w:color w:val="auto"/>
          <w:lang w:val="en-US" w:eastAsia="zh-CN"/>
        </w:rPr>
      </w:pPr>
      <w:r>
        <w:rPr>
          <w:rFonts w:hint="eastAsia" w:ascii="宋体" w:hAnsi="宋体"/>
          <w:color w:val="auto"/>
          <w:lang w:val="en-US" w:eastAsia="zh-CN"/>
        </w:rPr>
        <w:t>（3）重量与拆解：总重≤25kg，可拆解为支架、液压、夹具3个模块，适配皮卡车运输。</w:t>
      </w:r>
    </w:p>
    <w:p>
      <w:pPr>
        <w:ind w:firstLine="480"/>
        <w:rPr>
          <w:rFonts w:hint="eastAsia" w:ascii="宋体" w:hAnsi="宋体"/>
          <w:color w:val="auto"/>
          <w:lang w:val="en-US" w:eastAsia="zh-CN"/>
        </w:rPr>
      </w:pPr>
      <w:r>
        <w:rPr>
          <w:rFonts w:hint="eastAsia" w:ascii="宋体" w:hAnsi="宋体"/>
          <w:color w:val="auto"/>
          <w:lang w:val="en-US" w:eastAsia="zh-CN"/>
        </w:rPr>
        <w:t>（4）支撑结构：采用轻质铝合金伸缩支腿，展开后形成稳定三角支撑，支脚带防滑钉板，可适应软硬地面。</w:t>
      </w:r>
    </w:p>
    <w:p>
      <w:pPr>
        <w:ind w:firstLine="480"/>
        <w:rPr>
          <w:rFonts w:hint="eastAsia" w:ascii="宋体" w:hAnsi="宋体"/>
          <w:color w:val="auto"/>
          <w:lang w:val="en-US" w:eastAsia="zh-CN"/>
        </w:rPr>
      </w:pPr>
      <w:r>
        <w:rPr>
          <w:rFonts w:hint="eastAsia" w:ascii="宋体" w:hAnsi="宋体"/>
          <w:color w:val="auto"/>
          <w:lang w:val="en-US" w:eastAsia="zh-CN"/>
        </w:rPr>
        <w:t>（5）夹爪设计：双弧形可调节钢制夹爪，通过手轮螺杆调节夹紧力度，内侧镶嵌可更换橡胶防滑垫+锯齿钢片，防止滑脱。</w:t>
      </w:r>
    </w:p>
    <w:p>
      <w:pPr>
        <w:ind w:firstLine="480"/>
        <w:rPr>
          <w:rFonts w:hint="eastAsia" w:ascii="宋体" w:hAnsi="宋体"/>
          <w:color w:val="auto"/>
          <w:lang w:eastAsia="zh-CN"/>
        </w:rPr>
      </w:pPr>
      <w:r>
        <w:rPr>
          <w:rFonts w:hint="eastAsia" w:ascii="宋体" w:hAnsi="宋体"/>
          <w:color w:val="auto"/>
          <w:lang w:val="en-US" w:eastAsia="zh-CN"/>
        </w:rPr>
        <w:t>2</w:t>
      </w:r>
      <w:r>
        <w:rPr>
          <w:rFonts w:hint="eastAsia" w:ascii="宋体" w:hAnsi="宋体"/>
          <w:color w:val="auto"/>
        </w:rPr>
        <w:t>.2.2</w:t>
      </w:r>
      <w:r>
        <w:rPr>
          <w:rFonts w:hint="eastAsia" w:ascii="宋体" w:hAnsi="宋体"/>
          <w:color w:val="auto"/>
          <w:lang w:val="en-US" w:eastAsia="zh-CN"/>
        </w:rPr>
        <w:t xml:space="preserve"> </w:t>
      </w:r>
      <w:r>
        <w:rPr>
          <w:rFonts w:hint="eastAsia" w:ascii="宋体" w:hAnsi="宋体"/>
          <w:color w:val="auto"/>
          <w:lang w:eastAsia="zh-CN"/>
        </w:rPr>
        <w:t>性能要求</w:t>
      </w:r>
    </w:p>
    <w:p>
      <w:pPr>
        <w:ind w:firstLine="480"/>
        <w:rPr>
          <w:rFonts w:hint="eastAsia" w:ascii="宋体" w:hAnsi="宋体"/>
          <w:color w:val="auto"/>
        </w:rPr>
      </w:pPr>
      <w:r>
        <w:rPr>
          <w:rFonts w:hint="eastAsia" w:ascii="宋体" w:hAnsi="宋体"/>
          <w:color w:val="auto"/>
        </w:rPr>
        <w:t>（1）作业效率：在标准试验条件下，单人操作拔除器，对额定规格的残留桩体（如直径≤300mm的混凝土电杆头、边长≤200mm的角桩），拔除时间应≤10分钟。</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rPr>
        <w:t>2</w:t>
      </w:r>
      <w:r>
        <w:rPr>
          <w:rFonts w:hint="eastAsia" w:ascii="宋体" w:hAnsi="宋体"/>
          <w:color w:val="auto"/>
          <w:lang w:eastAsia="zh-CN"/>
        </w:rPr>
        <w:t>）</w:t>
      </w:r>
      <w:r>
        <w:rPr>
          <w:rFonts w:hint="eastAsia" w:ascii="宋体" w:hAnsi="宋体"/>
          <w:color w:val="auto"/>
        </w:rPr>
        <w:t>安全性能：三角支撑结构在额定工作状态下，无侧翻风险；夹爪夹紧后，在拔除过程中脱扣概率≤0.1%；液压系统工作压力应稳定，无超压、渗漏现象，且具备过载保护功能。</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rPr>
        <w:t>3</w:t>
      </w:r>
      <w:r>
        <w:rPr>
          <w:rFonts w:hint="eastAsia" w:ascii="宋体" w:hAnsi="宋体"/>
          <w:color w:val="auto"/>
          <w:lang w:eastAsia="zh-CN"/>
        </w:rPr>
        <w:t>）</w:t>
      </w:r>
      <w:r>
        <w:rPr>
          <w:rFonts w:hint="eastAsia" w:ascii="宋体" w:hAnsi="宋体"/>
          <w:color w:val="auto"/>
        </w:rPr>
        <w:t>耐用性：在正常使用与维护条件下，拔除器累计作业次数≥500次后，关键部件（支腿、夹爪、液压千斤顶）无严重磨损、损坏，仍能满足作业要求；可更换件（橡胶垫、液压油）更换便捷，更换后设备性能可快速恢复。</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rPr>
        <w:t>4</w:t>
      </w:r>
      <w:r>
        <w:rPr>
          <w:rFonts w:hint="eastAsia" w:ascii="宋体" w:hAnsi="宋体"/>
          <w:color w:val="auto"/>
          <w:lang w:eastAsia="zh-CN"/>
        </w:rPr>
        <w:t>）</w:t>
      </w:r>
      <w:r>
        <w:rPr>
          <w:rFonts w:hint="eastAsia" w:ascii="宋体" w:hAnsi="宋体"/>
          <w:color w:val="auto"/>
        </w:rPr>
        <w:t>环境适应性：在温度-10℃~40℃、相对湿度≤90%（无凝露）的环境下，拔除器可正常工作；在淋雨、粉尘等户外常规施工环境下，经简单防护后，设备无故障运行时间≥8小时。</w:t>
      </w:r>
    </w:p>
    <w:p>
      <w:pPr>
        <w:rPr>
          <w:rFonts w:hint="default" w:ascii="宋体" w:hAnsi="宋体"/>
          <w:color w:val="auto"/>
          <w:lang w:val="en-US" w:eastAsia="zh-CN"/>
        </w:rPr>
      </w:pPr>
      <w:r>
        <w:rPr>
          <w:rFonts w:hint="eastAsia" w:ascii="宋体" w:hAnsi="宋体"/>
          <w:color w:val="auto"/>
          <w:lang w:val="en-US" w:eastAsia="zh-CN"/>
        </w:rPr>
        <w:t xml:space="preserve">2.2.3 </w:t>
      </w:r>
      <w:r>
        <w:rPr>
          <w:rFonts w:hint="default" w:ascii="宋体" w:hAnsi="宋体"/>
          <w:color w:val="auto"/>
          <w:lang w:val="en-US" w:eastAsia="zh-CN"/>
        </w:rPr>
        <w:t>外观与结构要求</w:t>
      </w:r>
    </w:p>
    <w:p>
      <w:pPr>
        <w:ind w:firstLine="480"/>
        <w:rPr>
          <w:rFonts w:hint="eastAsia" w:ascii="宋体" w:hAnsi="宋体"/>
          <w:color w:val="auto"/>
        </w:rPr>
      </w:pPr>
      <w:r>
        <w:rPr>
          <w:rFonts w:hint="eastAsia" w:ascii="宋体" w:hAnsi="宋体"/>
          <w:color w:val="auto"/>
        </w:rPr>
        <w:t>（1）外观：设备表面涂层均匀、光滑，无明显划痕、气泡、脱落等缺陷；零部件装配整齐，无松动、歪斜现象；标志清晰、完整，符合本规范书“标志”部分要求。</w:t>
      </w:r>
    </w:p>
    <w:p>
      <w:pPr>
        <w:ind w:firstLine="480"/>
        <w:rPr>
          <w:rFonts w:hint="default" w:ascii="宋体" w:hAnsi="宋体"/>
          <w:color w:val="000000" w:themeColor="text1"/>
          <w:lang w:val="en-US" w:eastAsia="zh-CN"/>
          <w14:textFill>
            <w14:solidFill>
              <w14:schemeClr w14:val="tx1"/>
            </w14:solidFill>
          </w14:textFill>
        </w:rPr>
      </w:pPr>
      <w:r>
        <w:rPr>
          <w:rFonts w:hint="eastAsia" w:ascii="宋体" w:hAnsi="宋体"/>
          <w:color w:val="auto"/>
          <w:lang w:eastAsia="zh-CN"/>
        </w:rPr>
        <w:t>（</w:t>
      </w:r>
      <w:r>
        <w:rPr>
          <w:rFonts w:hint="eastAsia" w:ascii="宋体" w:hAnsi="宋体"/>
          <w:color w:val="auto"/>
        </w:rPr>
        <w:t>2</w:t>
      </w:r>
      <w:r>
        <w:rPr>
          <w:rFonts w:hint="eastAsia" w:ascii="宋体" w:hAnsi="宋体"/>
          <w:color w:val="auto"/>
          <w:lang w:eastAsia="zh-CN"/>
        </w:rPr>
        <w:t>）</w:t>
      </w:r>
      <w:r>
        <w:rPr>
          <w:rFonts w:hint="eastAsia" w:ascii="宋体" w:hAnsi="宋体"/>
          <w:color w:val="auto"/>
        </w:rPr>
        <w:t>结构：伸缩支腿伸缩灵活，锁定可靠，无卡滞现象；手轮螺杆调节顺畅，夹紧力度可精准控制；拆解与组装便捷，单人15分钟内可完成全部分解与组装操作。</w:t>
      </w:r>
    </w:p>
    <w:p>
      <w:pPr>
        <w:pStyle w:val="5"/>
        <w:tabs>
          <w:tab w:val="left" w:pos="0"/>
        </w:tabs>
        <w:spacing w:before="0" w:after="0" w:line="360" w:lineRule="auto"/>
        <w:rPr>
          <w:rFonts w:ascii="宋体" w:hAnsi="宋体" w:cs="宋体"/>
          <w:color w:val="000000" w:themeColor="text1"/>
          <w:sz w:val="28"/>
          <w:szCs w:val="24"/>
          <w14:textFill>
            <w14:solidFill>
              <w14:schemeClr w14:val="tx1"/>
            </w14:solidFill>
          </w14:textFill>
        </w:rPr>
      </w:pPr>
      <w:bookmarkStart w:id="29" w:name="_Toc17813"/>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.3</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技术指标要求</w:t>
      </w:r>
      <w:bookmarkEnd w:id="29"/>
    </w:p>
    <w:tbl>
      <w:tblPr>
        <w:tblStyle w:val="16"/>
        <w:tblpPr w:leftFromText="180" w:rightFromText="180" w:vertAnchor="text" w:horzAnchor="page" w:tblpX="2340" w:tblpY="602"/>
        <w:tblOverlap w:val="never"/>
        <w:tblW w:w="74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6"/>
        <w:gridCol w:w="51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bookmarkStart w:id="30" w:name="_Toc437603902"/>
            <w:bookmarkStart w:id="31" w:name="_Toc444945519"/>
            <w:r>
              <w:rPr>
                <w:rFonts w:hint="eastAsia" w:ascii="宋体" w:hAnsi="宋体"/>
                <w:color w:val="000000" w:themeColor="text1"/>
                <w14:textFill>
                  <w14:solidFill>
                    <w14:schemeClr w14:val="tx1"/>
                  </w14:solidFill>
                </w14:textFill>
              </w:rPr>
              <w:t>技术指标</w:t>
            </w:r>
          </w:p>
        </w:tc>
        <w:tc>
          <w:tcPr>
            <w:tcW w:w="5103"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伸缩支腿</w:t>
            </w:r>
          </w:p>
        </w:tc>
        <w:tc>
          <w:tcPr>
            <w:tcW w:w="5103"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用轻质铝合金，需满足强度要求，在额定工作负荷下无明显变形、断裂现象，铝合金材质的化学成分与力学性能应符合相关国家标准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eastAsia" w:ascii="宋体" w:hAnsi="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夹爪</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hint="eastAsia" w:ascii="宋体" w:hAnsi="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采用钢制材料，具有足够的硬度与耐磨性，表面需进行防锈处理，防锈性能应符合相关标准要求；橡胶防滑垫需具有良好的弹性与耐磨性，在-20℃~60℃环境下无开裂、老化现象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液压千斤顶</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hint="eastAsia" w:ascii="宋体" w:hAnsi="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关键部件（如缸体、活塞杆）采用高强度钢材，密封件需选用耐油、耐老化的优质材料，确保液压系统无渗漏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适应性</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适应不同规格的角桩、混凝土电杆头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hint="default"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易用性</w:t>
            </w:r>
          </w:p>
          <w:p>
            <w:pPr>
              <w:adjustRightInd w:val="0"/>
              <w:snapToGrid w:val="0"/>
              <w:ind w:firstLine="0" w:firstLineChars="0"/>
              <w:jc w:val="center"/>
              <w:rPr>
                <w:rFonts w:ascii="宋体" w:hAnsi="宋体"/>
                <w:color w:val="000000" w:themeColor="text1"/>
                <w14:textFill>
                  <w14:solidFill>
                    <w14:schemeClr w14:val="tx1"/>
                  </w14:solidFill>
                </w14:textFill>
              </w:rPr>
            </w:pPr>
          </w:p>
        </w:tc>
        <w:tc>
          <w:tcPr>
            <w:tcW w:w="5103"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简单的组装步骤，清晰的使用指示，无需复杂工具</w:t>
            </w:r>
          </w:p>
        </w:tc>
      </w:tr>
      <w:bookmarkEnd w:id="30"/>
      <w:bookmarkEnd w:id="31"/>
    </w:tbl>
    <w:p>
      <w:pPr>
        <w:pStyle w:val="5"/>
        <w:tabs>
          <w:tab w:val="left" w:pos="0"/>
        </w:tabs>
        <w:spacing w:before="0" w:after="0" w:line="360" w:lineRule="auto"/>
        <w:rPr>
          <w:rFonts w:hint="eastAsia" w:ascii="宋体" w:hAnsi="宋体" w:cs="宋体"/>
          <w:color w:val="000000" w:themeColor="text1"/>
          <w:sz w:val="28"/>
          <w:szCs w:val="24"/>
          <w14:textFill>
            <w14:solidFill>
              <w14:schemeClr w14:val="tx1"/>
            </w14:solidFill>
          </w14:textFill>
        </w:rPr>
      </w:pPr>
      <w:bookmarkStart w:id="32" w:name="_Toc8248"/>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.4</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设备研究所需材料</w:t>
      </w:r>
      <w:bookmarkEnd w:id="32"/>
    </w:p>
    <w:tbl>
      <w:tblPr>
        <w:tblStyle w:val="15"/>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527"/>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材料表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名称</w:t>
            </w:r>
          </w:p>
        </w:tc>
        <w:tc>
          <w:tcPr>
            <w:tcW w:w="1075"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15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便携式杠杆液压拔除器</w:t>
            </w:r>
            <w:bookmarkStart w:id="67" w:name="_GoBack"/>
            <w:bookmarkEnd w:id="67"/>
          </w:p>
        </w:tc>
        <w:tc>
          <w:tcPr>
            <w:tcW w:w="1075"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套</w:t>
            </w:r>
          </w:p>
        </w:tc>
        <w:tc>
          <w:tcPr>
            <w:tcW w:w="15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r>
    </w:tbl>
    <w:p>
      <w:pPr>
        <w:pStyle w:val="5"/>
        <w:tabs>
          <w:tab w:val="left" w:pos="0"/>
        </w:tabs>
        <w:spacing w:before="0" w:after="0" w:line="360" w:lineRule="auto"/>
        <w:jc w:val="left"/>
        <w:rPr>
          <w:rFonts w:ascii="宋体" w:hAnsi="宋体" w:cs="宋体"/>
          <w:color w:val="000000" w:themeColor="text1"/>
          <w:sz w:val="28"/>
          <w:szCs w:val="24"/>
          <w14:textFill>
            <w14:solidFill>
              <w14:schemeClr w14:val="tx1"/>
            </w14:solidFill>
          </w14:textFill>
        </w:rPr>
      </w:pPr>
      <w:bookmarkStart w:id="33" w:name="_Toc502"/>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.5</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加工服务地点和期限</w:t>
      </w:r>
      <w:bookmarkEnd w:id="33"/>
    </w:p>
    <w:p>
      <w:pPr>
        <w:widowControl/>
        <w:ind w:firstLine="0" w:firstLineChars="0"/>
        <w:jc w:val="left"/>
        <w:textAlignment w:val="center"/>
        <w:rPr>
          <w:rFonts w:hint="eastAsia" w:ascii="宋体" w:hAnsi="宋体" w:cs="宋体"/>
          <w:color w:val="000000" w:themeColor="text1"/>
          <w:kern w:val="0"/>
          <w:szCs w:val="24"/>
          <w:highlight w:val="yellow"/>
          <w:lang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地点：</w:t>
      </w:r>
      <w:r>
        <w:rPr>
          <w:rFonts w:hint="eastAsia" w:ascii="宋体" w:hAnsi="宋体" w:cs="宋体"/>
          <w:color w:val="000000" w:themeColor="text1"/>
          <w:kern w:val="0"/>
          <w:szCs w:val="24"/>
          <w:lang w:eastAsia="zh-CN" w:bidi="en-AU"/>
          <w14:textFill>
            <w14:solidFill>
              <w14:schemeClr w14:val="tx1"/>
            </w14:solidFill>
          </w14:textFill>
        </w:rPr>
        <w:t>防城港市</w:t>
      </w:r>
      <w:r>
        <w:rPr>
          <w:rFonts w:hint="eastAsia" w:ascii="宋体" w:hAnsi="宋体" w:cs="宋体"/>
          <w:color w:val="000000" w:themeColor="text1"/>
          <w:kern w:val="0"/>
          <w:szCs w:val="24"/>
          <w:lang w:bidi="en-AU"/>
          <w14:textFill>
            <w14:solidFill>
              <w14:schemeClr w14:val="tx1"/>
            </w14:solidFill>
          </w14:textFill>
        </w:rPr>
        <w:t>防城区那梭镇新街31号</w:t>
      </w:r>
    </w:p>
    <w:p>
      <w:pPr>
        <w:ind w:firstLine="0" w:firstLineChars="0"/>
        <w:rPr>
          <w:rFonts w:ascii="宋体" w:hAnsi="宋体" w:cs="宋体"/>
          <w:color w:val="000000" w:themeColor="text1"/>
          <w:kern w:val="0"/>
          <w:szCs w:val="24"/>
          <w:lang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服务期限：</w:t>
      </w:r>
      <w:r>
        <w:rPr>
          <w:rFonts w:hint="eastAsia" w:ascii="宋体" w:hAnsi="宋体" w:cs="宋体"/>
          <w:color w:val="000000" w:themeColor="text1"/>
          <w:szCs w:val="24"/>
          <w14:textFill>
            <w14:solidFill>
              <w14:schemeClr w14:val="tx1"/>
            </w14:solidFill>
          </w14:textFill>
        </w:rPr>
        <w:t>自合同约定之日</w:t>
      </w:r>
      <w:r>
        <w:rPr>
          <w:rFonts w:hint="eastAsia" w:ascii="宋体" w:hAnsi="宋体" w:cs="宋体"/>
          <w:color w:val="000000" w:themeColor="text1"/>
          <w:szCs w:val="24"/>
          <w:lang w:eastAsia="zh-CN"/>
          <w14:textFill>
            <w14:solidFill>
              <w14:schemeClr w14:val="tx1"/>
            </w14:solidFill>
          </w14:textFill>
        </w:rPr>
        <w:t>起</w:t>
      </w:r>
      <w:r>
        <w:rPr>
          <w:rFonts w:hint="eastAsia" w:ascii="宋体" w:hAnsi="宋体" w:cs="宋体"/>
          <w:color w:val="000000" w:themeColor="text1"/>
          <w:szCs w:val="24"/>
          <w14:textFill>
            <w14:solidFill>
              <w14:schemeClr w14:val="tx1"/>
            </w14:solidFill>
          </w14:textFill>
        </w:rPr>
        <w:t>至202</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年</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月30日</w:t>
      </w:r>
      <w:r>
        <w:rPr>
          <w:rFonts w:hint="eastAsia" w:ascii="宋体" w:hAnsi="宋体" w:cs="宋体"/>
          <w:color w:val="000000" w:themeColor="text1"/>
          <w:kern w:val="0"/>
          <w:szCs w:val="24"/>
          <w:lang w:bidi="en-AU"/>
          <w14:textFill>
            <w14:solidFill>
              <w14:schemeClr w14:val="tx1"/>
            </w14:solidFill>
          </w14:textFill>
        </w:rPr>
        <w:t>。</w:t>
      </w:r>
      <w:bookmarkStart w:id="34" w:name="_Toc480800900"/>
    </w:p>
    <w:p>
      <w:pPr>
        <w:pStyle w:val="4"/>
        <w:numPr>
          <w:ilvl w:val="0"/>
          <w:numId w:val="0"/>
        </w:numPr>
        <w:bidi w:val="0"/>
        <w:ind w:left="432" w:leftChars="0"/>
        <w:rPr>
          <w:color w:val="000000" w:themeColor="text1"/>
          <w14:textFill>
            <w14:solidFill>
              <w14:schemeClr w14:val="tx1"/>
            </w14:solidFill>
          </w14:textFill>
        </w:rPr>
      </w:pPr>
      <w:bookmarkStart w:id="35" w:name="_Toc6137"/>
      <w:r>
        <w:rPr>
          <w:rFonts w:hint="eastAsia"/>
          <w:color w:val="000000" w:themeColor="text1"/>
          <w14:textFill>
            <w14:solidFill>
              <w14:schemeClr w14:val="tx1"/>
            </w14:solidFill>
          </w14:textFill>
        </w:rPr>
        <w:t>三、研究开发成果交付</w:t>
      </w:r>
      <w:bookmarkEnd w:id="34"/>
      <w:r>
        <w:rPr>
          <w:rFonts w:hint="eastAsia"/>
          <w:color w:val="000000" w:themeColor="text1"/>
          <w14:textFill>
            <w14:solidFill>
              <w14:schemeClr w14:val="tx1"/>
            </w14:solidFill>
          </w14:textFill>
        </w:rPr>
        <w:t>物</w:t>
      </w:r>
      <w:bookmarkEnd w:id="35"/>
    </w:p>
    <w:p>
      <w:pPr>
        <w:ind w:firstLine="480"/>
        <w:rPr>
          <w:rFonts w:hint="eastAsia" w:ascii="宋体" w:hAnsi="宋体" w:eastAsia="宋体"/>
          <w:color w:val="000000" w:themeColor="text1"/>
          <w:lang w:eastAsia="zh-CN"/>
          <w14:textFill>
            <w14:solidFill>
              <w14:schemeClr w14:val="tx1"/>
            </w14:solidFill>
          </w14:textFill>
        </w:rPr>
      </w:pPr>
      <w:bookmarkStart w:id="36" w:name="_Toc480800901"/>
      <w:r>
        <w:rPr>
          <w:rFonts w:hint="eastAsia" w:ascii="宋体" w:hAnsi="宋体"/>
          <w:color w:val="000000" w:themeColor="text1"/>
          <w14:textFill>
            <w14:solidFill>
              <w14:schemeClr w14:val="tx1"/>
            </w14:solidFill>
          </w14:textFill>
        </w:rPr>
        <w:t>研究开发成果交付的形式和数量</w:t>
      </w:r>
      <w:bookmarkEnd w:id="36"/>
      <w:r>
        <w:rPr>
          <w:rFonts w:hint="eastAsia" w:ascii="宋体" w:hAnsi="宋体"/>
          <w:color w:val="000000" w:themeColor="text1"/>
          <w:lang w:eastAsia="zh-CN"/>
          <w14:textFill>
            <w14:solidFill>
              <w14:schemeClr w14:val="tx1"/>
            </w14:solidFill>
          </w14:textFill>
        </w:rPr>
        <w:t>：</w:t>
      </w:r>
    </w:p>
    <w:tbl>
      <w:tblPr>
        <w:tblStyle w:val="14"/>
        <w:tblW w:w="8406" w:type="dxa"/>
        <w:tblInd w:w="5" w:type="dxa"/>
        <w:tblLayout w:type="fixed"/>
        <w:tblCellMar>
          <w:top w:w="0" w:type="dxa"/>
          <w:left w:w="0" w:type="dxa"/>
          <w:bottom w:w="0" w:type="dxa"/>
          <w:right w:w="0" w:type="dxa"/>
        </w:tblCellMar>
      </w:tblPr>
      <w:tblGrid>
        <w:gridCol w:w="767"/>
        <w:gridCol w:w="2926"/>
        <w:gridCol w:w="1205"/>
        <w:gridCol w:w="1016"/>
        <w:gridCol w:w="1246"/>
        <w:gridCol w:w="1246"/>
      </w:tblGrid>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序号</w:t>
            </w:r>
          </w:p>
        </w:tc>
        <w:tc>
          <w:tcPr>
            <w:tcW w:w="2926" w:type="dxa"/>
            <w:tcBorders>
              <w:top w:val="single" w:color="000000" w:sz="4" w:space="0"/>
              <w:left w:val="nil"/>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成果名称</w:t>
            </w:r>
          </w:p>
        </w:tc>
        <w:tc>
          <w:tcPr>
            <w:tcW w:w="1205" w:type="dxa"/>
            <w:tcBorders>
              <w:top w:val="single" w:color="000000" w:sz="4" w:space="0"/>
              <w:left w:val="single" w:color="auto" w:sz="4" w:space="0"/>
              <w:bottom w:val="single" w:color="auto" w:sz="4" w:space="0"/>
              <w:right w:val="nil"/>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型号规格</w:t>
            </w:r>
          </w:p>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（如有）</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数量</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交付地点</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备注</w:t>
            </w:r>
          </w:p>
        </w:tc>
      </w:tr>
      <w:tr>
        <w:tblPrEx>
          <w:tblCellMar>
            <w:top w:w="0" w:type="dxa"/>
            <w:left w:w="0" w:type="dxa"/>
            <w:bottom w:w="0" w:type="dxa"/>
            <w:right w:w="0" w:type="dxa"/>
          </w:tblCellMar>
        </w:tblPrEx>
        <w:trPr>
          <w:cantSplit/>
          <w:trHeight w:val="513"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便携式杠杆液压拔除器</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项目工作总结报告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项目技术研究报告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hint="eastAsia" w:ascii="宋体" w:hAnsi="宋体" w:eastAsia="宋体" w:cs="宋体"/>
                <w:kern w:val="2"/>
                <w:sz w:val="24"/>
                <w:szCs w:val="24"/>
                <w:lang w:val="en-US" w:eastAsia="zh-CN" w:bidi="ar-SA"/>
              </w:rPr>
            </w:pPr>
            <w:bookmarkStart w:id="37" w:name="_Toc13225"/>
            <w:r>
              <w:rPr>
                <w:rFonts w:hint="eastAsia" w:ascii="宋体" w:hAnsi="宋体" w:cs="宋体"/>
                <w:szCs w:val="24"/>
                <w:lang w:val="en-US" w:eastAsia="zh-CN"/>
              </w:rPr>
              <w:t>4</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宋体" w:hAnsi="宋体" w:eastAsia="宋体" w:cs="宋体"/>
                <w:kern w:val="2"/>
                <w:sz w:val="24"/>
                <w:szCs w:val="22"/>
                <w:lang w:val="en-US" w:eastAsia="zh-CN" w:bidi="ar-SA"/>
              </w:rPr>
            </w:pPr>
            <w:r>
              <w:rPr>
                <w:rFonts w:hint="eastAsia" w:ascii="宋体" w:hAnsi="宋体" w:cs="宋体"/>
                <w:lang w:val="en-US" w:eastAsia="zh-CN"/>
              </w:rPr>
              <w:t>使用说明书</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szCs w:val="24"/>
                <w:lang w:val="en-US" w:eastAsia="zh-CN"/>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szCs w:val="24"/>
                <w:lang w:val="en-US" w:eastAsia="zh-CN"/>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eastAsia="宋体" w:cs="宋体"/>
                <w:kern w:val="2"/>
                <w:sz w:val="24"/>
                <w:szCs w:val="24"/>
                <w:lang w:val="en-US" w:eastAsia="zh-CN" w:bidi="ar-SA"/>
              </w:rPr>
            </w:pPr>
          </w:p>
        </w:tc>
      </w:tr>
    </w:tbl>
    <w:p>
      <w:pPr>
        <w:pStyle w:val="4"/>
        <w:numPr>
          <w:ilvl w:val="0"/>
          <w:numId w:val="0"/>
        </w:numPr>
        <w:bidi w:val="0"/>
        <w:ind w:left="432" w:leftChars="0"/>
        <w:rPr>
          <w:color w:val="000000" w:themeColor="text1"/>
          <w14:textFill>
            <w14:solidFill>
              <w14:schemeClr w14:val="tx1"/>
            </w14:solidFill>
          </w14:textFill>
        </w:rPr>
      </w:pPr>
      <w:r>
        <w:rPr>
          <w:rFonts w:hint="eastAsia"/>
          <w:color w:val="000000" w:themeColor="text1"/>
          <w14:textFill>
            <w14:solidFill>
              <w14:schemeClr w14:val="tx1"/>
            </w14:solidFill>
          </w14:textFill>
        </w:rPr>
        <w:t>四、开发人员</w:t>
      </w:r>
      <w:bookmarkEnd w:id="37"/>
    </w:p>
    <w:p>
      <w:pPr>
        <w:ind w:firstLine="480"/>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投</w:t>
      </w:r>
      <w:r>
        <w:rPr>
          <w:rFonts w:ascii="宋体" w:hAnsi="宋体"/>
          <w:color w:val="000000" w:themeColor="text1"/>
          <w14:textFill>
            <w14:solidFill>
              <w14:schemeClr w14:val="tx1"/>
            </w14:solidFill>
          </w14:textFill>
        </w:rPr>
        <w:t>标方应在投标时提供投入本项目</w:t>
      </w:r>
      <w:r>
        <w:rPr>
          <w:rFonts w:hint="eastAsia" w:ascii="宋体" w:hAnsi="宋体"/>
          <w:color w:val="000000" w:themeColor="text1"/>
          <w14:textFill>
            <w14:solidFill>
              <w14:schemeClr w14:val="tx1"/>
            </w14:solidFill>
          </w14:textFill>
        </w:rPr>
        <w:t>工作</w:t>
      </w:r>
      <w:r>
        <w:rPr>
          <w:rFonts w:ascii="宋体" w:hAnsi="宋体"/>
          <w:color w:val="000000" w:themeColor="text1"/>
          <w14:textFill>
            <w14:solidFill>
              <w14:schemeClr w14:val="tx1"/>
            </w14:solidFill>
          </w14:textFill>
        </w:rPr>
        <w:t>的项目组人员名单，</w:t>
      </w:r>
      <w:r>
        <w:rPr>
          <w:rFonts w:hint="eastAsia" w:ascii="宋体" w:hAnsi="宋体"/>
          <w:color w:val="000000" w:themeColor="text1"/>
          <w14:textFill>
            <w14:solidFill>
              <w14:schemeClr w14:val="tx1"/>
            </w14:solidFill>
          </w14:textFill>
        </w:rPr>
        <w:t>列入</w:t>
      </w:r>
      <w:r>
        <w:rPr>
          <w:rFonts w:ascii="宋体" w:hAnsi="宋体"/>
          <w:color w:val="000000" w:themeColor="text1"/>
          <w14:textFill>
            <w14:solidFill>
              <w14:schemeClr w14:val="tx1"/>
            </w14:solidFill>
          </w14:textFill>
        </w:rPr>
        <w:t>名单的人员应专职于本项目工作，</w:t>
      </w:r>
      <w:r>
        <w:rPr>
          <w:rFonts w:hint="eastAsia" w:ascii="宋体" w:hAnsi="宋体"/>
          <w:color w:val="000000" w:themeColor="text1"/>
          <w14:textFill>
            <w14:solidFill>
              <w14:schemeClr w14:val="tx1"/>
            </w14:solidFill>
          </w14:textFill>
        </w:rPr>
        <w:t>专职</w:t>
      </w:r>
      <w:r>
        <w:rPr>
          <w:rFonts w:ascii="宋体" w:hAnsi="宋体"/>
          <w:color w:val="000000" w:themeColor="text1"/>
          <w14:textFill>
            <w14:solidFill>
              <w14:schemeClr w14:val="tx1"/>
            </w14:solidFill>
          </w14:textFill>
        </w:rPr>
        <w:t>开发人员人数</w:t>
      </w:r>
      <w:r>
        <w:rPr>
          <w:rFonts w:hint="eastAsia" w:ascii="宋体" w:hAnsi="宋体"/>
          <w:color w:val="000000" w:themeColor="text1"/>
          <w14:textFill>
            <w14:solidFill>
              <w14:schemeClr w14:val="tx1"/>
            </w14:solidFill>
          </w14:textFill>
        </w:rPr>
        <w:t>占名单总</w:t>
      </w:r>
      <w:r>
        <w:rPr>
          <w:rFonts w:ascii="宋体" w:hAnsi="宋体"/>
          <w:color w:val="000000" w:themeColor="text1"/>
          <w14:textFill>
            <w14:solidFill>
              <w14:schemeClr w14:val="tx1"/>
            </w14:solidFill>
          </w14:textFill>
        </w:rPr>
        <w:t>人数</w:t>
      </w:r>
      <w:r>
        <w:rPr>
          <w:rFonts w:hint="eastAsia" w:ascii="宋体" w:hAnsi="宋体"/>
          <w:color w:val="000000" w:themeColor="text1"/>
          <w14:textFill>
            <w14:solidFill>
              <w14:schemeClr w14:val="tx1"/>
            </w14:solidFill>
          </w14:textFill>
        </w:rPr>
        <w:t>比例</w:t>
      </w:r>
      <w:r>
        <w:rPr>
          <w:rFonts w:ascii="宋体" w:hAnsi="宋体"/>
          <w:color w:val="000000" w:themeColor="text1"/>
          <w14:textFill>
            <w14:solidFill>
              <w14:schemeClr w14:val="tx1"/>
            </w14:solidFill>
          </w14:textFill>
        </w:rPr>
        <w:t>不得少于</w:t>
      </w:r>
      <w:r>
        <w:rPr>
          <w:rFonts w:hint="eastAsia" w:ascii="宋体" w:hAnsi="宋体"/>
          <w:color w:val="000000" w:themeColor="text1"/>
          <w14:textFill>
            <w14:solidFill>
              <w14:schemeClr w14:val="tx1"/>
            </w14:solidFill>
          </w14:textFill>
        </w:rPr>
        <w:t>60%，</w:t>
      </w:r>
      <w:r>
        <w:rPr>
          <w:rFonts w:ascii="宋体" w:hAnsi="宋体"/>
          <w:color w:val="000000" w:themeColor="text1"/>
          <w14:textFill>
            <w14:solidFill>
              <w14:schemeClr w14:val="tx1"/>
            </w14:solidFill>
          </w14:textFill>
        </w:rPr>
        <w:t>在项目验收未通过前，该</w:t>
      </w:r>
      <w:r>
        <w:rPr>
          <w:rFonts w:hint="eastAsia" w:ascii="宋体" w:hAnsi="宋体"/>
          <w:color w:val="000000" w:themeColor="text1"/>
          <w14:textFill>
            <w14:solidFill>
              <w14:schemeClr w14:val="tx1"/>
            </w14:solidFill>
          </w14:textFill>
        </w:rPr>
        <w:t>名单</w:t>
      </w:r>
      <w:r>
        <w:rPr>
          <w:rFonts w:ascii="宋体" w:hAnsi="宋体"/>
          <w:color w:val="000000" w:themeColor="text1"/>
          <w14:textFill>
            <w14:solidFill>
              <w14:schemeClr w14:val="tx1"/>
            </w14:solidFill>
          </w14:textFill>
        </w:rPr>
        <w:t>中</w:t>
      </w:r>
      <w:r>
        <w:rPr>
          <w:rFonts w:hint="eastAsia" w:ascii="宋体" w:hAnsi="宋体"/>
          <w:color w:val="000000" w:themeColor="text1"/>
          <w14:textFill>
            <w14:solidFill>
              <w14:schemeClr w14:val="tx1"/>
            </w14:solidFill>
          </w14:textFill>
        </w:rPr>
        <w:t>的</w:t>
      </w:r>
      <w:r>
        <w:rPr>
          <w:rFonts w:ascii="宋体" w:hAnsi="宋体"/>
          <w:color w:val="000000" w:themeColor="text1"/>
          <w14:textFill>
            <w14:solidFill>
              <w14:schemeClr w14:val="tx1"/>
            </w14:solidFill>
          </w14:textFill>
        </w:rPr>
        <w:t>人员变动不得超过</w:t>
      </w:r>
      <w:r>
        <w:rPr>
          <w:rFonts w:hint="eastAsia" w:ascii="宋体" w:hAnsi="宋体"/>
          <w:color w:val="000000" w:themeColor="text1"/>
          <w14:textFill>
            <w14:solidFill>
              <w14:schemeClr w14:val="tx1"/>
            </w14:solidFill>
          </w14:textFill>
        </w:rPr>
        <w:t>25%。</w:t>
      </w:r>
    </w:p>
    <w:p>
      <w:pPr>
        <w:pStyle w:val="4"/>
        <w:numPr>
          <w:ilvl w:val="0"/>
          <w:numId w:val="0"/>
        </w:numPr>
        <w:bidi w:val="0"/>
        <w:ind w:left="432" w:leftChars="0"/>
        <w:rPr>
          <w:rFonts w:hint="eastAsia"/>
          <w:color w:val="000000" w:themeColor="text1"/>
          <w14:textFill>
            <w14:solidFill>
              <w14:schemeClr w14:val="tx1"/>
            </w14:solidFill>
          </w14:textFill>
        </w:rPr>
      </w:pPr>
      <w:bookmarkStart w:id="38" w:name="_Toc444945521"/>
      <w:bookmarkStart w:id="39" w:name="_Toc22815"/>
      <w:r>
        <w:rPr>
          <w:rFonts w:hint="eastAsia"/>
          <w:color w:val="000000" w:themeColor="text1"/>
          <w14:textFill>
            <w14:solidFill>
              <w14:schemeClr w14:val="tx1"/>
            </w14:solidFill>
          </w14:textFill>
        </w:rPr>
        <w:t>五、投标技术文件编制要求</w:t>
      </w:r>
      <w:bookmarkEnd w:id="38"/>
      <w:bookmarkEnd w:id="39"/>
    </w:p>
    <w:p>
      <w:pPr>
        <w:pStyle w:val="20"/>
        <w:spacing w:line="360" w:lineRule="auto"/>
        <w:ind w:firstLine="480"/>
        <w:rPr>
          <w:rFonts w:eastAsia="宋体" w:cs="Times New Roman"/>
          <w:color w:val="000000" w:themeColor="text1"/>
          <w:szCs w:val="24"/>
          <w14:textFill>
            <w14:solidFill>
              <w14:schemeClr w14:val="tx1"/>
            </w14:solidFill>
          </w14:textFill>
        </w:rPr>
      </w:pPr>
      <w:r>
        <w:rPr>
          <w:rFonts w:hint="eastAsia" w:eastAsia="宋体" w:cs="Times New Roman"/>
          <w:color w:val="000000" w:themeColor="text1"/>
          <w:szCs w:val="24"/>
          <w14:textFill>
            <w14:solidFill>
              <w14:schemeClr w14:val="tx1"/>
            </w14:solidFill>
          </w14:textFill>
        </w:rPr>
        <w:t>投标方可以到现场实地考察，并根据科技项目研发总体目标和招标技术文件提出自己的技术研究方案、工程施工方案、工程进度表和商务报价，技术文件应包含（不仅限于）以下内容：</w:t>
      </w:r>
    </w:p>
    <w:p>
      <w:pPr>
        <w:pStyle w:val="5"/>
        <w:bidi w:val="0"/>
      </w:pPr>
      <w:bookmarkStart w:id="40" w:name="_Toc2588"/>
      <w:r>
        <w:rPr>
          <w:rFonts w:hint="eastAsia"/>
        </w:rPr>
        <w:t>5.1</w:t>
      </w:r>
      <w:r>
        <w:t xml:space="preserve"> </w:t>
      </w:r>
      <w:r>
        <w:rPr>
          <w:rFonts w:hint="eastAsia"/>
        </w:rPr>
        <w:t>研究内容</w:t>
      </w:r>
      <w:bookmarkEnd w:id="40"/>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国内外相关技术研究现状、发展趋势</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招标项目需解决的关键技术问题</w:t>
      </w:r>
    </w:p>
    <w:p>
      <w:pPr>
        <w:pStyle w:val="5"/>
        <w:bidi w:val="0"/>
      </w:pPr>
      <w:bookmarkStart w:id="41" w:name="_Toc12859"/>
      <w:r>
        <w:rPr>
          <w:rFonts w:hint="eastAsia"/>
        </w:rPr>
        <w:t>5.</w:t>
      </w:r>
      <w:r>
        <w:t xml:space="preserve">2 </w:t>
      </w:r>
      <w:r>
        <w:rPr>
          <w:rFonts w:hint="eastAsia"/>
        </w:rPr>
        <w:t>研究思路与技术路线</w:t>
      </w:r>
      <w:bookmarkEnd w:id="41"/>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研究思路</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技术路线</w:t>
      </w:r>
    </w:p>
    <w:p>
      <w:pPr>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w:t>
      </w:r>
      <w:r>
        <w:rPr>
          <w:rFonts w:hint="eastAsia" w:ascii="Times New Roman" w:hAnsi="Times New Roman" w:cs="Times New Roman"/>
          <w:szCs w:val="24"/>
        </w:rPr>
        <w:t>研究开发技术路线的选定</w:t>
      </w:r>
    </w:p>
    <w:p>
      <w:pPr>
        <w:ind w:firstLine="480"/>
        <w:rPr>
          <w:rFonts w:ascii="Times New Roman" w:hAnsi="Times New Roman" w:cs="Times New Roman"/>
          <w:szCs w:val="24"/>
        </w:rPr>
      </w:pPr>
      <w:r>
        <w:rPr>
          <w:rFonts w:hint="eastAsia" w:ascii="Times New Roman" w:hAnsi="Times New Roman" w:cs="Times New Roman"/>
          <w:szCs w:val="24"/>
        </w:rPr>
        <w:t>详细描述项目的技术路线</w:t>
      </w:r>
      <w:r>
        <w:rPr>
          <w:rFonts w:ascii="Times New Roman" w:hAnsi="Times New Roman" w:cs="Times New Roman"/>
          <w:szCs w:val="24"/>
        </w:rPr>
        <w:t>(</w:t>
      </w:r>
      <w:r>
        <w:rPr>
          <w:rFonts w:hint="eastAsia" w:ascii="Times New Roman" w:hAnsi="Times New Roman" w:cs="Times New Roman"/>
          <w:szCs w:val="24"/>
        </w:rPr>
        <w:t>可加图示</w:t>
      </w:r>
      <w:r>
        <w:rPr>
          <w:rFonts w:ascii="Times New Roman" w:hAnsi="Times New Roman" w:cs="Times New Roman"/>
          <w:szCs w:val="24"/>
        </w:rPr>
        <w:t>)</w:t>
      </w:r>
      <w:r>
        <w:rPr>
          <w:rFonts w:hint="eastAsia" w:ascii="Times New Roman" w:hAnsi="Times New Roman" w:cs="Times New Roman"/>
          <w:szCs w:val="24"/>
        </w:rPr>
        <w:t>；分析比较不同技术路线在工艺、技术、经济方面等情况，确定最佳技术路线。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w:t>
      </w:r>
      <w:r>
        <w:rPr>
          <w:rFonts w:hint="eastAsia" w:ascii="Times New Roman" w:hAnsi="Times New Roman" w:cs="Times New Roman"/>
          <w:szCs w:val="24"/>
        </w:rPr>
        <w:t>研究开发技术方案的制定</w:t>
      </w:r>
    </w:p>
    <w:p>
      <w:pPr>
        <w:ind w:firstLine="480"/>
        <w:rPr>
          <w:rFonts w:ascii="Times New Roman" w:hAnsi="Times New Roman" w:cs="Times New Roman"/>
          <w:szCs w:val="24"/>
        </w:rPr>
      </w:pPr>
      <w:r>
        <w:rPr>
          <w:rFonts w:hint="eastAsia"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w:t>
      </w:r>
      <w:r>
        <w:rPr>
          <w:rFonts w:hint="eastAsia" w:ascii="Times New Roman" w:hAnsi="Times New Roman" w:cs="Times New Roman"/>
          <w:szCs w:val="24"/>
        </w:rPr>
        <w:t>关键技术的解决途径</w:t>
      </w:r>
    </w:p>
    <w:p>
      <w:pPr>
        <w:ind w:firstLine="480"/>
        <w:rPr>
          <w:rFonts w:ascii="Times New Roman" w:hAnsi="Times New Roman" w:cs="Times New Roman"/>
          <w:szCs w:val="24"/>
        </w:rPr>
      </w:pPr>
      <w:r>
        <w:rPr>
          <w:rFonts w:hint="eastAsia" w:ascii="Times New Roman" w:hAnsi="Times New Roman" w:cs="Times New Roman"/>
          <w:szCs w:val="24"/>
        </w:rPr>
        <w:t>详细说明在投标项目研究中可能存在的技术关键问题，在示范工程等研究中可能存在的关键</w:t>
      </w:r>
      <w:r>
        <w:rPr>
          <w:rFonts w:ascii="Times New Roman" w:hAnsi="Times New Roman" w:cs="Times New Roman"/>
          <w:szCs w:val="24"/>
        </w:rPr>
        <w:t>(</w:t>
      </w:r>
      <w:r>
        <w:rPr>
          <w:rFonts w:hint="eastAsia" w:ascii="Times New Roman" w:hAnsi="Times New Roman" w:cs="Times New Roman"/>
          <w:szCs w:val="24"/>
        </w:rPr>
        <w:t>瓶颈</w:t>
      </w:r>
      <w:r>
        <w:rPr>
          <w:rFonts w:ascii="Times New Roman" w:hAnsi="Times New Roman" w:cs="Times New Roman"/>
          <w:szCs w:val="24"/>
        </w:rPr>
        <w:t>)</w:t>
      </w:r>
      <w:r>
        <w:rPr>
          <w:rFonts w:hint="eastAsia" w:ascii="Times New Roman" w:hAnsi="Times New Roman" w:cs="Times New Roman"/>
          <w:szCs w:val="24"/>
        </w:rPr>
        <w:t>问题和项目研究存在的风险，以及为解决这些关键问题所设计的方案、途径，规避风险的措施。</w:t>
      </w:r>
    </w:p>
    <w:p>
      <w:pPr>
        <w:pStyle w:val="5"/>
        <w:bidi w:val="0"/>
      </w:pPr>
      <w:bookmarkStart w:id="42" w:name="_Toc27403"/>
      <w:r>
        <w:rPr>
          <w:rFonts w:hint="eastAsia"/>
        </w:rPr>
        <w:t>5.</w:t>
      </w:r>
      <w:r>
        <w:t xml:space="preserve">3 </w:t>
      </w:r>
      <w:r>
        <w:rPr>
          <w:rFonts w:hint="eastAsia"/>
        </w:rPr>
        <w:t>研究进度目标及指标</w:t>
      </w:r>
      <w:bookmarkEnd w:id="42"/>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szCs w:val="24"/>
        </w:rPr>
        <w:t>描述项目各项工作的进展计划，并明确标出完成各项工作预计所需时间及达到</w:t>
      </w:r>
      <w:r>
        <w:rPr>
          <w:rFonts w:hint="eastAsia" w:ascii="Times New Roman" w:hAnsi="Times New Roman" w:cs="Times New Roman"/>
          <w:color w:val="000000" w:themeColor="text1"/>
          <w:szCs w:val="24"/>
          <w14:textFill>
            <w14:solidFill>
              <w14:schemeClr w14:val="tx1"/>
            </w14:solidFill>
          </w14:textFill>
        </w:rPr>
        <w:t>的阶段目标及项目结束时所要达到的总目标。</w:t>
      </w:r>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color w:val="000000" w:themeColor="text1"/>
          <w:szCs w:val="24"/>
          <w14:textFill>
            <w14:solidFill>
              <w14:schemeClr w14:val="tx1"/>
            </w14:solidFill>
          </w14:textFill>
        </w:rPr>
        <w:t>指标：与招标方提出的功能要求、主要技术经济指标的响应情况。</w:t>
      </w:r>
    </w:p>
    <w:p>
      <w:pPr>
        <w:spacing w:before="156" w:beforeLines="50" w:line="300" w:lineRule="auto"/>
        <w:ind w:firstLine="48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技术参数响应表</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345"/>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3"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序号</w:t>
            </w:r>
          </w:p>
        </w:tc>
        <w:tc>
          <w:tcPr>
            <w:tcW w:w="234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交付成果名称</w:t>
            </w:r>
          </w:p>
        </w:tc>
        <w:tc>
          <w:tcPr>
            <w:tcW w:w="1704" w:type="dxa"/>
          </w:tcPr>
          <w:p>
            <w:pPr>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招标人要求值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投标人</w:t>
            </w:r>
            <w:r>
              <w:rPr>
                <w:rFonts w:ascii="宋体" w:hAnsi="宋体" w:cs="宋体"/>
                <w:color w:val="000000" w:themeColor="text1"/>
                <w:kern w:val="1"/>
                <w:sz w:val="18"/>
                <w:szCs w:val="18"/>
                <w14:textFill>
                  <w14:solidFill>
                    <w14:schemeClr w14:val="tx1"/>
                  </w14:solidFill>
                </w14:textFill>
              </w:rPr>
              <w:t>保证值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3" w:type="dxa"/>
          </w:tcPr>
          <w:p>
            <w:pPr>
              <w:spacing w:before="156" w:beforeLines="50" w:line="30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345" w:type="dxa"/>
          </w:tcPr>
          <w:p>
            <w:pPr>
              <w:spacing w:before="156" w:beforeLines="50" w:line="240" w:lineRule="auto"/>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便携式杠杆液压拔除器</w:t>
            </w:r>
          </w:p>
        </w:tc>
        <w:tc>
          <w:tcPr>
            <w:tcW w:w="1704" w:type="dxa"/>
          </w:tcPr>
          <w:p>
            <w:pPr>
              <w:spacing w:before="156" w:beforeLines="50" w:line="240" w:lineRule="auto"/>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达到技术指标要求</w:t>
            </w: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3"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234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4"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bl>
    <w:p>
      <w:pPr>
        <w:ind w:firstLine="480"/>
        <w:rPr>
          <w:rFonts w:ascii="Times New Roman" w:hAnsi="Times New Roman" w:cs="Times New Roman"/>
          <w:szCs w:val="24"/>
        </w:rPr>
      </w:pPr>
    </w:p>
    <w:p>
      <w:pPr>
        <w:pStyle w:val="5"/>
        <w:bidi w:val="0"/>
      </w:pPr>
      <w:bookmarkStart w:id="43" w:name="_Toc17858"/>
      <w:r>
        <w:rPr>
          <w:rFonts w:hint="eastAsia"/>
        </w:rPr>
        <w:t>5.</w:t>
      </w:r>
      <w:r>
        <w:t xml:space="preserve">4 </w:t>
      </w:r>
      <w:r>
        <w:rPr>
          <w:rFonts w:hint="eastAsia"/>
        </w:rPr>
        <w:t>项目实施的组织、管理</w:t>
      </w:r>
      <w:bookmarkEnd w:id="43"/>
    </w:p>
    <w:p>
      <w:pPr>
        <w:ind w:firstLine="480"/>
        <w:rPr>
          <w:rFonts w:ascii="Times New Roman" w:hAnsi="Times New Roman" w:cs="Times New Roman"/>
          <w:szCs w:val="24"/>
        </w:rPr>
      </w:pPr>
      <w:r>
        <w:rPr>
          <w:rFonts w:hint="eastAsia" w:ascii="Times New Roman" w:hAnsi="Times New Roman" w:cs="Times New Roman"/>
          <w:szCs w:val="24"/>
        </w:rPr>
        <w:t>描述保障项目的顺利实施的组织形式和管理措施。</w:t>
      </w:r>
    </w:p>
    <w:p>
      <w:pPr>
        <w:pStyle w:val="5"/>
        <w:bidi w:val="0"/>
      </w:pPr>
      <w:bookmarkStart w:id="44" w:name="_Toc7198"/>
      <w:r>
        <w:rPr>
          <w:rFonts w:hint="eastAsia"/>
        </w:rPr>
        <w:t>5.</w:t>
      </w:r>
      <w:r>
        <w:t xml:space="preserve">5 </w:t>
      </w:r>
      <w:r>
        <w:rPr>
          <w:rFonts w:hint="eastAsia"/>
        </w:rPr>
        <w:t>承担能力说明</w:t>
      </w:r>
      <w:bookmarkEnd w:id="44"/>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单位基本情况介绍情况</w:t>
      </w:r>
      <w:r>
        <w:rPr>
          <w:rFonts w:ascii="Times New Roman" w:hAnsi="Times New Roman" w:cs="Times New Roman"/>
          <w:szCs w:val="24"/>
        </w:rPr>
        <w:t>(</w:t>
      </w:r>
      <w:r>
        <w:rPr>
          <w:rFonts w:hint="eastAsia" w:ascii="Times New Roman" w:hAnsi="Times New Roman" w:cs="Times New Roman"/>
          <w:szCs w:val="24"/>
        </w:rPr>
        <w:t>包括资质、资信情况</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单位的财务状况</w:t>
      </w:r>
      <w:r>
        <w:rPr>
          <w:rFonts w:ascii="Times New Roman" w:hAnsi="Times New Roman" w:cs="Times New Roman"/>
          <w:szCs w:val="24"/>
        </w:rPr>
        <w:t>(</w:t>
      </w:r>
      <w:r>
        <w:rPr>
          <w:rFonts w:hint="eastAsia" w:ascii="Times New Roman" w:hAnsi="Times New Roman" w:cs="Times New Roman"/>
          <w:szCs w:val="24"/>
        </w:rPr>
        <w:t>限企业提供</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承担国家、省、市科技计划项目及其它项目的完成情况</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研究开发场地、现有科研设施与仪器和相关配套设备等情况。</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联合投标单位基本情况及配套条件、责任与义务</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w:t>
      </w:r>
      <w:r>
        <w:rPr>
          <w:rFonts w:hint="eastAsia" w:ascii="Times New Roman" w:hAnsi="Times New Roman" w:cs="Times New Roman"/>
          <w:szCs w:val="24"/>
        </w:rPr>
        <w:t>其它需要说明的情况</w:t>
      </w:r>
      <w:r>
        <w:rPr>
          <w:rFonts w:hint="eastAsia" w:ascii="Times New Roman" w:hAnsi="Times New Roman" w:cs="Times New Roman"/>
          <w:szCs w:val="24"/>
          <w:lang w:eastAsia="zh-CN"/>
        </w:rPr>
        <w:t>。</w:t>
      </w:r>
    </w:p>
    <w:p>
      <w:pPr>
        <w:pStyle w:val="5"/>
        <w:bidi w:val="0"/>
      </w:pPr>
      <w:bookmarkStart w:id="45" w:name="_Toc17332"/>
      <w:r>
        <w:rPr>
          <w:rFonts w:hint="eastAsia"/>
        </w:rPr>
        <w:t>5.6</w:t>
      </w:r>
      <w:r>
        <w:t xml:space="preserve"> </w:t>
      </w:r>
      <w:r>
        <w:rPr>
          <w:rFonts w:hint="eastAsia"/>
        </w:rPr>
        <w:t>成果产生的数量、形式</w:t>
      </w:r>
      <w:bookmarkEnd w:id="45"/>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成果获得的可能性</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成果的形式</w:t>
      </w:r>
      <w:r>
        <w:rPr>
          <w:rFonts w:ascii="Times New Roman" w:hAnsi="Times New Roman" w:cs="Times New Roman"/>
          <w:szCs w:val="24"/>
        </w:rPr>
        <w:t>(</w:t>
      </w:r>
      <w:r>
        <w:rPr>
          <w:rFonts w:hint="eastAsia" w:ascii="Times New Roman" w:hAnsi="Times New Roman" w:cs="Times New Roman"/>
          <w:szCs w:val="24"/>
        </w:rPr>
        <w:t>如专利、软件著作权、论文等</w:t>
      </w:r>
      <w:r>
        <w:rPr>
          <w:rFonts w:ascii="Times New Roman" w:hAnsi="Times New Roman" w:cs="Times New Roman"/>
          <w:szCs w:val="24"/>
        </w:rPr>
        <w:t>)</w:t>
      </w:r>
      <w:r>
        <w:rPr>
          <w:rFonts w:hint="eastAsia" w:ascii="Times New Roman" w:hAnsi="Times New Roman" w:cs="Times New Roman"/>
          <w:szCs w:val="24"/>
        </w:rPr>
        <w:t>和数量</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职务技术成果权益承诺、成果向社会转化方式</w:t>
      </w:r>
      <w:r>
        <w:rPr>
          <w:rFonts w:hint="eastAsia" w:ascii="Times New Roman" w:hAnsi="Times New Roman" w:cs="Times New Roman"/>
          <w:szCs w:val="24"/>
          <w:lang w:eastAsia="zh-CN"/>
        </w:rPr>
        <w:t>。</w:t>
      </w:r>
    </w:p>
    <w:p>
      <w:pPr>
        <w:pStyle w:val="5"/>
        <w:bidi w:val="0"/>
        <w:rPr>
          <w:rFonts w:hint="eastAsia"/>
        </w:rPr>
      </w:pPr>
      <w:bookmarkStart w:id="46" w:name="_Toc29281"/>
      <w:r>
        <w:rPr>
          <w:rFonts w:hint="eastAsia"/>
        </w:rPr>
        <w:t>5.7</w:t>
      </w:r>
      <w:r>
        <w:rPr>
          <w:rFonts w:hint="eastAsia"/>
          <w:lang w:val="en-US" w:eastAsia="zh-CN"/>
        </w:rPr>
        <w:t xml:space="preserve"> </w:t>
      </w:r>
      <w:r>
        <w:rPr>
          <w:rFonts w:hint="eastAsia"/>
        </w:rPr>
        <w:t>技术方案中涉及技术秘密的申明</w:t>
      </w:r>
      <w:bookmarkEnd w:id="46"/>
    </w:p>
    <w:p>
      <w:pPr>
        <w:pStyle w:val="21"/>
        <w:numPr>
          <w:ilvl w:val="0"/>
          <w:numId w:val="0"/>
        </w:numPr>
        <w:ind w:firstLine="240" w:firstLineChars="100"/>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 xml:space="preserve">5.7.1 </w:t>
      </w:r>
      <w:r>
        <w:rPr>
          <w:rFonts w:hint="default" w:ascii="Times New Roman" w:hAnsi="Times New Roman" w:cs="Times New Roman"/>
          <w:szCs w:val="24"/>
          <w:lang w:val="en-US" w:eastAsia="zh-CN"/>
        </w:rPr>
        <w:t>声明范围</w:t>
      </w:r>
    </w:p>
    <w:p>
      <w:pPr>
        <w:pStyle w:val="21"/>
        <w:numPr>
          <w:ilvl w:val="0"/>
          <w:numId w:val="0"/>
        </w:numPr>
        <w:ind w:firstLine="240" w:firstLineChars="10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本技术方案中涉及的以下内容属于技术秘密，未经本公司书面授权，任何单位或个人不得以任何形式泄露、复制、传播或使用：</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技术原理：包括但不限于高空剪切钳的设计思路、工作原理、构造细节等。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5</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6</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核心技术：包括剪切刀片的材料选择、电动驱动系统的设计、防坠落装置的结构等。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7</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8</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9</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工艺参数：包括剪切力的计算方法、材料的加工工艺、设备的装配要求等。</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（10）</w:t>
      </w:r>
      <w:r>
        <w:rPr>
          <w:rFonts w:hint="default" w:ascii="Times New Roman" w:hAnsi="Times New Roman" w:cs="Times New Roman"/>
          <w:szCs w:val="24"/>
          <w:lang w:val="en-US" w:eastAsia="zh-CN"/>
        </w:rPr>
        <w:t>其他相关内容：包括技术方案中未公开的实验数据、测试结果、优化方案等。</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 xml:space="preserve">5.7.2 </w:t>
      </w:r>
      <w:r>
        <w:rPr>
          <w:rFonts w:hint="default" w:ascii="Times New Roman" w:hAnsi="Times New Roman" w:cs="Times New Roman"/>
          <w:szCs w:val="24"/>
          <w:lang w:val="en-US" w:eastAsia="zh-CN"/>
        </w:rPr>
        <w:t>技术秘密的保护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本技术方案中的技术秘密受《中华人民共和国反不正当竞争法》</w:t>
      </w:r>
      <w:r>
        <w:rPr>
          <w:rFonts w:hint="eastAsia" w:ascii="Times New Roman" w:hAnsi="Times New Roman" w:cs="Times New Roman"/>
          <w:szCs w:val="24"/>
          <w:lang w:val="en-US" w:eastAsia="zh-CN"/>
        </w:rPr>
        <w:t>、</w:t>
      </w:r>
      <w:r>
        <w:rPr>
          <w:rFonts w:hint="default" w:ascii="Times New Roman" w:hAnsi="Times New Roman" w:cs="Times New Roman"/>
          <w:szCs w:val="24"/>
          <w:lang w:val="en-US" w:eastAsia="zh-CN"/>
        </w:rPr>
        <w:t>《中华人民共和国专利法》等相关法律法规的保护。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任何未经授权的泄露、使用或传播技术秘密的行为，均视为侵权行为，本公司有权依法追究其法律责任。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3</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保密义务</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本技术方案的接收方（包括但不限于合作单位、技术人员、顾问等）应严格遵守保密义务，不得将技术秘密用于非授权用途。</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接收方应采取必要措施（如限制文件传播、签署保密协议等）保护技术秘密，防止其泄露。</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4</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违约责任</w:t>
      </w:r>
    </w:p>
    <w:p>
      <w:pPr>
        <w:pStyle w:val="21"/>
        <w:numPr>
          <w:ilvl w:val="0"/>
          <w:numId w:val="0"/>
        </w:numPr>
        <w:ind w:firstLine="480" w:firstLineChars="200"/>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对于违反本声明要求，导致技术秘密泄露的行为，本公司将依法追究其民事责任和刑事责任。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声明生效</w:t>
      </w:r>
    </w:p>
    <w:p>
      <w:pPr>
        <w:pStyle w:val="21"/>
        <w:numPr>
          <w:ilvl w:val="0"/>
          <w:numId w:val="0"/>
        </w:numPr>
        <w:ind w:firstLine="480" w:firstLineChars="200"/>
        <w:jc w:val="both"/>
        <w:rPr>
          <w:rFonts w:hint="eastAsia"/>
        </w:rPr>
      </w:pPr>
      <w:r>
        <w:rPr>
          <w:rFonts w:hint="default" w:ascii="Times New Roman" w:hAnsi="Times New Roman" w:cs="Times New Roman"/>
          <w:szCs w:val="24"/>
          <w:lang w:val="en-US" w:eastAsia="zh-CN"/>
        </w:rPr>
        <w:t>本声明自发布之日起生效，长期有效。</w:t>
      </w:r>
    </w:p>
    <w:p>
      <w:pPr>
        <w:pStyle w:val="5"/>
        <w:bidi w:val="0"/>
        <w:rPr>
          <w:rFonts w:hint="eastAsia"/>
          <w:lang w:val="en-US" w:eastAsia="zh-CN"/>
        </w:rPr>
      </w:pPr>
      <w:bookmarkStart w:id="47" w:name="_Toc17850"/>
      <w:r>
        <w:rPr>
          <w:rFonts w:hint="eastAsia"/>
          <w:lang w:val="en-US" w:eastAsia="zh-CN"/>
        </w:rPr>
        <w:t>5.8 售后服务承诺</w:t>
      </w:r>
      <w:bookmarkEnd w:id="47"/>
    </w:p>
    <w:p>
      <w:pPr>
        <w:ind w:left="0" w:leftChars="0" w:firstLine="0" w:firstLineChars="0"/>
        <w:rPr>
          <w:rFonts w:ascii="宋体" w:hAnsi="宋体"/>
        </w:rPr>
      </w:pPr>
      <w:r>
        <w:rPr>
          <w:rFonts w:hint="eastAsia" w:ascii="宋体" w:hAnsi="宋体"/>
          <w:lang w:eastAsia="zh-CN"/>
        </w:rPr>
        <w:t>（</w:t>
      </w:r>
      <w:r>
        <w:rPr>
          <w:rFonts w:hint="eastAsia" w:ascii="宋体" w:hAnsi="宋体"/>
        </w:rPr>
        <w:t>1）投标方维护服务管理体系，须在招标方当地有专业维护人员，能按要求及时响应。</w:t>
      </w:r>
    </w:p>
    <w:p>
      <w:pPr>
        <w:ind w:left="0" w:leftChars="0" w:firstLine="0" w:firstLineChars="0"/>
        <w:rPr>
          <w:rFonts w:ascii="宋体" w:hAnsi="宋体"/>
        </w:rPr>
      </w:pPr>
      <w:r>
        <w:rPr>
          <w:rFonts w:hint="eastAsia" w:ascii="宋体" w:hAnsi="宋体"/>
          <w:lang w:eastAsia="zh-CN"/>
        </w:rPr>
        <w:t>（</w:t>
      </w:r>
      <w:r>
        <w:rPr>
          <w:rFonts w:hint="eastAsia" w:ascii="宋体" w:hAnsi="宋体"/>
        </w:rPr>
        <w:t>2）提出保修期后每年的收费维修、维护内容，费用和服务方式、范围（产品、技术、模块、部件），供招标方选择。</w:t>
      </w:r>
    </w:p>
    <w:p>
      <w:pPr>
        <w:ind w:left="0" w:leftChars="0" w:firstLine="0" w:firstLineChars="0"/>
        <w:rPr>
          <w:rFonts w:ascii="宋体" w:hAnsi="宋体"/>
        </w:rPr>
      </w:pPr>
      <w:r>
        <w:rPr>
          <w:rFonts w:hint="eastAsia" w:ascii="宋体" w:hAnsi="宋体"/>
          <w:lang w:eastAsia="zh-CN"/>
        </w:rPr>
        <w:t>（</w:t>
      </w:r>
      <w:r>
        <w:rPr>
          <w:rFonts w:hint="eastAsia" w:ascii="宋体" w:hAnsi="宋体"/>
        </w:rPr>
        <w:t>3）按照本技术规范第十条售后服务要求的响应情况进行说明。</w:t>
      </w:r>
    </w:p>
    <w:p>
      <w:pPr>
        <w:pStyle w:val="4"/>
        <w:numPr>
          <w:ilvl w:val="0"/>
          <w:numId w:val="0"/>
        </w:numPr>
        <w:spacing w:before="0" w:after="0" w:line="360" w:lineRule="auto"/>
        <w:ind w:left="432"/>
        <w:rPr>
          <w:rFonts w:ascii="Times New Roman" w:hAnsi="Times New Roman" w:cs="Times New Roman"/>
          <w:sz w:val="32"/>
          <w:szCs w:val="24"/>
        </w:rPr>
      </w:pPr>
      <w:bookmarkStart w:id="48" w:name="_Toc32386"/>
      <w:r>
        <w:rPr>
          <w:rStyle w:val="24"/>
          <w:rFonts w:hint="eastAsia"/>
          <w:b/>
          <w:bCs/>
        </w:rPr>
        <w:t>六、技术资料和文件</w:t>
      </w:r>
      <w:bookmarkEnd w:id="48"/>
      <w:r>
        <w:rPr>
          <w:rFonts w:hint="eastAsia" w:ascii="Times New Roman" w:hAnsi="Times New Roman" w:cs="Times New Roman"/>
          <w:sz w:val="32"/>
          <w:szCs w:val="24"/>
        </w:rPr>
        <w:t xml:space="preserve"> </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rPr>
        <w:t>1）</w:t>
      </w:r>
      <w:r>
        <w:rPr>
          <w:rFonts w:ascii="Times New Roman" w:hAnsi="Times New Roman" w:cs="Times New Roman"/>
          <w:szCs w:val="21"/>
          <w:lang w:val="zh-CN"/>
        </w:rPr>
        <w:t>在合同签字后</w:t>
      </w:r>
      <w:r>
        <w:rPr>
          <w:rFonts w:hint="eastAsia" w:ascii="Times New Roman" w:hAnsi="Times New Roman" w:cs="Times New Roman"/>
          <w:szCs w:val="21"/>
          <w:u w:val="single"/>
        </w:rPr>
        <w:t xml:space="preserve">   5日  </w:t>
      </w:r>
      <w:r>
        <w:rPr>
          <w:rFonts w:ascii="Times New Roman" w:hAnsi="Times New Roman" w:cs="Times New Roman"/>
          <w:szCs w:val="21"/>
          <w:lang w:val="zh-CN"/>
        </w:rPr>
        <w:t>内，</w:t>
      </w:r>
      <w:r>
        <w:rPr>
          <w:rFonts w:ascii="Times New Roman" w:hAnsi="Times New Roman" w:cs="Times New Roman"/>
          <w:szCs w:val="24"/>
          <w:lang w:val="zh-CN"/>
        </w:rPr>
        <w:t>中标方</w:t>
      </w:r>
      <w:r>
        <w:rPr>
          <w:rFonts w:ascii="Times New Roman" w:hAnsi="Times New Roman" w:cs="Times New Roman"/>
          <w:szCs w:val="21"/>
          <w:lang w:val="zh-CN"/>
        </w:rPr>
        <w:t>应提供详细的技术研究方案和工程进度表</w:t>
      </w:r>
      <w:r>
        <w:rPr>
          <w:rFonts w:ascii="Times New Roman" w:hAnsi="Times New Roman" w:cs="Times New Roman"/>
          <w:color w:val="000000"/>
          <w:szCs w:val="24"/>
        </w:rPr>
        <w:t>。</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lang w:val="en-US" w:eastAsia="zh-CN"/>
        </w:rPr>
        <w:t>2</w:t>
      </w:r>
      <w:r>
        <w:rPr>
          <w:rFonts w:hint="eastAsia" w:ascii="宋体" w:hAnsi="宋体"/>
        </w:rPr>
        <w:t>）</w:t>
      </w:r>
      <w:r>
        <w:rPr>
          <w:rFonts w:ascii="Times New Roman" w:hAnsi="Times New Roman" w:cs="Times New Roman"/>
          <w:szCs w:val="21"/>
          <w:lang w:val="zh-CN"/>
        </w:rPr>
        <w:t>项目研究过程中，中标方应提供相关理论研究报告、设计方案、试验数据、图谱、研究成果</w:t>
      </w:r>
      <w:r>
        <w:rPr>
          <w:rFonts w:hint="eastAsia" w:ascii="Times New Roman" w:hAnsi="Times New Roman" w:cs="Times New Roman"/>
          <w:szCs w:val="21"/>
          <w:lang w:val="zh-CN"/>
        </w:rPr>
        <w:t>、</w:t>
      </w:r>
      <w:r>
        <w:rPr>
          <w:rFonts w:ascii="Times New Roman" w:hAnsi="Times New Roman" w:cs="Times New Roman"/>
          <w:szCs w:val="21"/>
          <w:lang w:val="zh-CN"/>
        </w:rPr>
        <w:t>研究报告</w:t>
      </w:r>
      <w:r>
        <w:rPr>
          <w:rFonts w:hint="eastAsia" w:ascii="Times New Roman" w:hAnsi="Times New Roman" w:cs="Times New Roman"/>
          <w:szCs w:val="21"/>
          <w:lang w:val="zh-CN"/>
        </w:rPr>
        <w:t>、工作总结报告</w:t>
      </w:r>
      <w:r>
        <w:rPr>
          <w:rFonts w:ascii="Times New Roman" w:hAnsi="Times New Roman" w:cs="Times New Roman"/>
          <w:szCs w:val="21"/>
          <w:lang w:val="zh-CN"/>
        </w:rPr>
        <w:t>等</w:t>
      </w:r>
      <w:r>
        <w:rPr>
          <w:rFonts w:ascii="Times New Roman" w:hAnsi="Times New Roman" w:cs="Times New Roman"/>
          <w:color w:val="000000"/>
          <w:szCs w:val="24"/>
        </w:rPr>
        <w:t>。</w:t>
      </w:r>
    </w:p>
    <w:p>
      <w:pPr>
        <w:autoSpaceDE w:val="0"/>
        <w:autoSpaceDN w:val="0"/>
        <w:adjustRightInd w:val="0"/>
        <w:ind w:left="0" w:leftChars="0" w:firstLine="0" w:firstLineChars="0"/>
        <w:rPr>
          <w:rFonts w:ascii="Times New Roman" w:hAnsi="Times New Roman" w:cs="Times New Roman"/>
          <w:szCs w:val="21"/>
          <w:lang w:val="zh-CN"/>
        </w:rPr>
      </w:pPr>
      <w:r>
        <w:rPr>
          <w:rFonts w:hint="eastAsia" w:ascii="宋体" w:hAnsi="宋体"/>
          <w:lang w:eastAsia="zh-CN"/>
        </w:rPr>
        <w:t>（</w:t>
      </w:r>
      <w:r>
        <w:rPr>
          <w:rFonts w:hint="eastAsia" w:ascii="宋体" w:hAnsi="宋体"/>
          <w:lang w:val="en-US" w:eastAsia="zh-CN"/>
        </w:rPr>
        <w:t>3</w:t>
      </w:r>
      <w:r>
        <w:rPr>
          <w:rFonts w:hint="eastAsia" w:ascii="宋体" w:hAnsi="宋体"/>
        </w:rPr>
        <w:t>）</w:t>
      </w:r>
      <w:r>
        <w:rPr>
          <w:rFonts w:ascii="Times New Roman" w:hAnsi="Times New Roman" w:cs="Times New Roman"/>
          <w:szCs w:val="21"/>
          <w:lang w:val="zh-CN"/>
        </w:rPr>
        <w:t>交货时应提供系统软件的有资质的第三方评测报告</w:t>
      </w:r>
      <w:r>
        <w:rPr>
          <w:rFonts w:hint="eastAsia" w:ascii="Times New Roman" w:hAnsi="Times New Roman" w:cs="Times New Roman"/>
          <w:szCs w:val="21"/>
          <w:lang w:val="zh-CN"/>
        </w:rPr>
        <w:t>、研制样机技术指标第三方测试报告等。</w:t>
      </w:r>
    </w:p>
    <w:p>
      <w:pPr>
        <w:pStyle w:val="4"/>
        <w:numPr>
          <w:ilvl w:val="0"/>
          <w:numId w:val="0"/>
        </w:numPr>
        <w:bidi w:val="0"/>
        <w:ind w:left="432" w:leftChars="0"/>
      </w:pPr>
      <w:bookmarkStart w:id="49" w:name="_Toc2277"/>
      <w:r>
        <w:rPr>
          <w:rFonts w:hint="eastAsia"/>
        </w:rPr>
        <w:t>七、项目联络</w:t>
      </w:r>
      <w:bookmarkEnd w:id="49"/>
    </w:p>
    <w:p>
      <w:pPr>
        <w:ind w:firstLine="480"/>
        <w:rPr>
          <w:rFonts w:ascii="宋体" w:hAnsi="宋体"/>
        </w:rPr>
      </w:pPr>
      <w:r>
        <w:rPr>
          <w:rFonts w:hint="eastAsia" w:ascii="宋体" w:hAnsi="宋体"/>
        </w:rPr>
        <w:t>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宋体" w:hAnsi="宋体"/>
        </w:rPr>
      </w:pPr>
      <w:r>
        <w:rPr>
          <w:rFonts w:hint="eastAsia" w:ascii="宋体" w:hAnsi="宋体"/>
        </w:rPr>
        <w:t>联络会的内容如下：</w:t>
      </w:r>
    </w:p>
    <w:p>
      <w:pPr>
        <w:numPr>
          <w:ilvl w:val="0"/>
          <w:numId w:val="0"/>
        </w:numPr>
        <w:tabs>
          <w:tab w:val="left" w:pos="900"/>
        </w:tabs>
        <w:ind w:firstLine="480" w:firstLineChars="200"/>
        <w:rPr>
          <w:rFonts w:ascii="宋体" w:hAnsi="宋体"/>
        </w:rPr>
      </w:pPr>
      <w:r>
        <w:rPr>
          <w:rFonts w:hint="eastAsia" w:ascii="宋体" w:hAnsi="宋体"/>
          <w:lang w:eastAsia="zh-CN"/>
        </w:rPr>
        <w:t>（</w:t>
      </w:r>
      <w:r>
        <w:rPr>
          <w:rFonts w:hint="eastAsia" w:ascii="宋体" w:hAnsi="宋体"/>
        </w:rPr>
        <w:t>1）确认服务、工作产品的性能是否满足规范书要求。</w:t>
      </w:r>
    </w:p>
    <w:p>
      <w:pPr>
        <w:numPr>
          <w:ilvl w:val="0"/>
          <w:numId w:val="0"/>
        </w:numPr>
        <w:tabs>
          <w:tab w:val="left" w:pos="900"/>
        </w:tabs>
        <w:ind w:firstLine="480" w:firstLineChars="200"/>
        <w:rPr>
          <w:rFonts w:ascii="宋体" w:hAnsi="宋体"/>
        </w:rPr>
      </w:pPr>
      <w:r>
        <w:rPr>
          <w:rFonts w:hint="eastAsia" w:ascii="宋体" w:hAnsi="宋体"/>
          <w:lang w:val="en-US" w:eastAsia="zh-CN"/>
        </w:rPr>
        <w:t>（2</w:t>
      </w:r>
      <w:r>
        <w:rPr>
          <w:rFonts w:hint="eastAsia" w:ascii="宋体" w:hAnsi="宋体"/>
        </w:rPr>
        <w:t>）确认服务、工作产品的实施方案。</w:t>
      </w:r>
    </w:p>
    <w:p>
      <w:pPr>
        <w:numPr>
          <w:ilvl w:val="0"/>
          <w:numId w:val="0"/>
        </w:numPr>
        <w:tabs>
          <w:tab w:val="left" w:pos="900"/>
        </w:tabs>
        <w:ind w:firstLine="480" w:firstLineChars="200"/>
        <w:rPr>
          <w:rFonts w:ascii="宋体" w:hAnsi="宋体"/>
        </w:rPr>
      </w:pPr>
      <w:r>
        <w:rPr>
          <w:rFonts w:hint="eastAsia" w:ascii="宋体" w:hAnsi="宋体"/>
          <w:lang w:val="en-US" w:eastAsia="zh-CN"/>
        </w:rPr>
        <w:t>（3</w:t>
      </w:r>
      <w:r>
        <w:rPr>
          <w:rFonts w:hint="eastAsia" w:ascii="宋体" w:hAnsi="宋体"/>
        </w:rPr>
        <w:t>）检查、确认投标方提供的技术文件和图纸。</w:t>
      </w:r>
    </w:p>
    <w:p>
      <w:pPr>
        <w:numPr>
          <w:ilvl w:val="0"/>
          <w:numId w:val="0"/>
        </w:numPr>
        <w:tabs>
          <w:tab w:val="left" w:pos="900"/>
        </w:tabs>
        <w:ind w:firstLine="480" w:firstLineChars="200"/>
        <w:rPr>
          <w:rFonts w:ascii="宋体" w:hAnsi="宋体"/>
        </w:rPr>
      </w:pPr>
      <w:r>
        <w:rPr>
          <w:rFonts w:hint="eastAsia" w:ascii="宋体" w:hAnsi="宋体"/>
          <w:lang w:val="en-US" w:eastAsia="zh-CN"/>
        </w:rPr>
        <w:t>（4</w:t>
      </w:r>
      <w:r>
        <w:rPr>
          <w:rFonts w:hint="eastAsia" w:ascii="宋体" w:hAnsi="宋体"/>
        </w:rPr>
        <w:t>）讨论、确定培训计划（包括课程安排、教材、进度）。</w:t>
      </w:r>
    </w:p>
    <w:p>
      <w:pPr>
        <w:numPr>
          <w:ilvl w:val="0"/>
          <w:numId w:val="0"/>
        </w:numPr>
        <w:tabs>
          <w:tab w:val="left" w:pos="900"/>
        </w:tabs>
        <w:ind w:firstLine="480" w:firstLineChars="200"/>
        <w:rPr>
          <w:rFonts w:ascii="宋体" w:hAnsi="宋体"/>
        </w:rPr>
      </w:pPr>
      <w:r>
        <w:rPr>
          <w:rFonts w:hint="eastAsia" w:ascii="宋体" w:hAnsi="宋体"/>
          <w:lang w:val="en-US" w:eastAsia="zh-CN"/>
        </w:rPr>
        <w:t>（5</w:t>
      </w:r>
      <w:r>
        <w:rPr>
          <w:rFonts w:hint="eastAsia" w:ascii="宋体" w:hAnsi="宋体"/>
        </w:rPr>
        <w:t>）其他有关事项。</w:t>
      </w:r>
    </w:p>
    <w:p>
      <w:pPr>
        <w:pStyle w:val="4"/>
        <w:numPr>
          <w:ilvl w:val="0"/>
          <w:numId w:val="0"/>
        </w:numPr>
        <w:bidi w:val="0"/>
        <w:ind w:left="432" w:leftChars="0"/>
      </w:pPr>
      <w:bookmarkStart w:id="50" w:name="_Toc9208"/>
      <w:r>
        <w:rPr>
          <w:rFonts w:hint="eastAsia"/>
        </w:rPr>
        <w:t>八、评审与验收</w:t>
      </w:r>
      <w:bookmarkEnd w:id="50"/>
    </w:p>
    <w:p>
      <w:pPr>
        <w:ind w:firstLine="480"/>
        <w:rPr>
          <w:rFonts w:hint="eastAsia" w:ascii="宋体" w:hAnsi="宋体"/>
        </w:rPr>
      </w:pPr>
      <w:r>
        <w:rPr>
          <w:rFonts w:hint="eastAsia" w:ascii="宋体" w:hAnsi="宋体"/>
        </w:rPr>
        <w:t>投标方应负责在项目验收前完成</w:t>
      </w:r>
      <w:r>
        <w:t>本规范列技术资料（数据）、文件</w:t>
      </w:r>
      <w:r>
        <w:rPr>
          <w:rFonts w:hint="eastAsia"/>
        </w:rPr>
        <w:t>，</w:t>
      </w:r>
      <w:r>
        <w:rPr>
          <w:rFonts w:hint="eastAsia" w:ascii="宋体" w:hAnsi="宋体"/>
        </w:rPr>
        <w:t>将项目的全部有关技术文件、资料、测试、验收报告等文档汇集成册交付给招标方。</w:t>
      </w:r>
      <w:r>
        <w:rPr>
          <w:rFonts w:ascii="宋体" w:hAnsi="宋体"/>
        </w:rPr>
        <w:t>招标方可根据合同及招标书和招标方的有关规定进行修改和补充, 经双方确认后</w:t>
      </w:r>
      <w:r>
        <w:rPr>
          <w:rFonts w:hint="eastAsia" w:ascii="宋体" w:hAnsi="宋体"/>
        </w:rPr>
        <w:t>形成验收文件。</w:t>
      </w:r>
    </w:p>
    <w:p>
      <w:pPr>
        <w:ind w:firstLine="480"/>
        <w:rPr>
          <w:rFonts w:hint="eastAsia" w:ascii="宋体" w:hAnsi="宋体"/>
          <w:lang w:val="en-US" w:eastAsia="zh-CN"/>
        </w:rPr>
      </w:pPr>
      <w:r>
        <w:rPr>
          <w:rFonts w:hint="eastAsia" w:ascii="宋体" w:hAnsi="宋体"/>
        </w:rPr>
        <w:t>验收方式</w:t>
      </w:r>
      <w:r>
        <w:rPr>
          <w:rFonts w:hint="eastAsia" w:ascii="宋体" w:hAnsi="宋体"/>
          <w:lang w:eastAsia="zh-CN"/>
        </w:rPr>
        <w:t>如下：</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lang w:eastAsia="zh-CN"/>
        </w:rPr>
        <w:t>）</w:t>
      </w:r>
      <w:r>
        <w:rPr>
          <w:rFonts w:hint="eastAsia" w:ascii="宋体" w:hAnsi="宋体"/>
        </w:rPr>
        <w:t>项目成果经招标方和中标方共同确认满足验收条件后，由招标方组织专家对所有项目材料和相关成果进行评审，开展合同验收。</w:t>
      </w:r>
    </w:p>
    <w:p>
      <w:pPr>
        <w:ind w:firstLine="480"/>
        <w:rPr>
          <w:rFonts w:hint="eastAsia" w:ascii="宋体" w:hAnsi="宋体"/>
        </w:rPr>
      </w:pPr>
      <w:r>
        <w:rPr>
          <w:rFonts w:hint="eastAsia" w:ascii="宋体" w:hAnsi="宋体"/>
          <w:lang w:val="en-US" w:eastAsia="zh-CN"/>
        </w:rPr>
        <w:t>（2</w:t>
      </w:r>
      <w:r>
        <w:rPr>
          <w:rFonts w:hint="eastAsia" w:ascii="宋体" w:hAnsi="宋体"/>
        </w:rPr>
        <w:t>）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见进行整改完善。</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3</w:t>
      </w:r>
      <w:r>
        <w:rPr>
          <w:rFonts w:hint="eastAsia" w:ascii="宋体" w:hAnsi="宋体"/>
          <w:lang w:eastAsia="zh-CN"/>
        </w:rPr>
        <w:t>）</w:t>
      </w:r>
      <w:r>
        <w:rPr>
          <w:rFonts w:hint="eastAsia" w:ascii="宋体" w:hAnsi="宋体"/>
        </w:rPr>
        <w:t>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bidi w:val="0"/>
        <w:ind w:left="432" w:leftChars="0"/>
      </w:pPr>
      <w:bookmarkStart w:id="51" w:name="_Toc23222"/>
      <w:r>
        <w:rPr>
          <w:rFonts w:hint="eastAsia"/>
        </w:rPr>
        <w:t>九、售后服务</w:t>
      </w:r>
      <w:bookmarkEnd w:id="51"/>
      <w:r>
        <w:rPr>
          <w:rFonts w:hint="eastAsia"/>
        </w:rPr>
        <w:t xml:space="preserve"> </w:t>
      </w:r>
    </w:p>
    <w:p>
      <w:pPr>
        <w:ind w:left="0" w:leftChars="0" w:firstLine="0" w:firstLineChars="0"/>
        <w:rPr>
          <w:rFonts w:ascii="宋体" w:hAnsi="宋体"/>
        </w:rPr>
      </w:pPr>
      <w:r>
        <w:rPr>
          <w:rFonts w:hint="eastAsia" w:ascii="宋体" w:hAnsi="宋体"/>
          <w:lang w:eastAsia="zh-CN"/>
        </w:rPr>
        <w:t>（</w:t>
      </w:r>
      <w:r>
        <w:rPr>
          <w:rFonts w:hint="eastAsia" w:ascii="宋体" w:hAnsi="宋体"/>
        </w:rPr>
        <w:t>1）所有工作产品均须由投标方提供壹年以上的免费维护、保修服务，自项目验收签字之日起计算。</w:t>
      </w:r>
    </w:p>
    <w:p>
      <w:pPr>
        <w:ind w:left="0" w:leftChars="0" w:firstLine="0" w:firstLineChars="0"/>
        <w:rPr>
          <w:rFonts w:ascii="宋体" w:hAnsi="宋体"/>
        </w:rPr>
      </w:pPr>
      <w:r>
        <w:rPr>
          <w:rFonts w:hint="eastAsia" w:ascii="宋体" w:hAnsi="宋体"/>
          <w:lang w:val="en-US" w:eastAsia="zh-CN"/>
        </w:rPr>
        <w:t>（2</w:t>
      </w:r>
      <w:r>
        <w:rPr>
          <w:rFonts w:hint="eastAsia" w:ascii="宋体" w:hAnsi="宋体"/>
        </w:rPr>
        <w:t>）投标方必须提出保修期内的维护、保修内容和范围（产品、技术、模块、部件）。</w:t>
      </w:r>
    </w:p>
    <w:p>
      <w:pPr>
        <w:ind w:left="0" w:leftChars="0" w:firstLine="0" w:firstLineChars="0"/>
        <w:rPr>
          <w:rFonts w:ascii="宋体" w:hAnsi="宋体"/>
        </w:rPr>
      </w:pPr>
      <w:r>
        <w:rPr>
          <w:rFonts w:hint="eastAsia" w:ascii="宋体" w:hAnsi="宋体"/>
          <w:lang w:val="en-US" w:eastAsia="zh-CN"/>
        </w:rPr>
        <w:t>（3</w:t>
      </w:r>
      <w:r>
        <w:rPr>
          <w:rFonts w:hint="eastAsia" w:ascii="宋体" w:hAnsi="宋体"/>
        </w:rPr>
        <w:t>）服务响应时间：</w:t>
      </w:r>
      <w:r>
        <w:rPr>
          <w:rFonts w:hint="eastAsia"/>
          <w:szCs w:val="21"/>
          <w:lang w:val="zh-CN"/>
        </w:rPr>
        <w:t>中标方对售后服务的需求必须在</w:t>
      </w:r>
      <w:r>
        <w:rPr>
          <w:szCs w:val="21"/>
          <w:lang w:val="zh-CN"/>
        </w:rPr>
        <w:t>24</w:t>
      </w:r>
      <w:r>
        <w:rPr>
          <w:rFonts w:hint="eastAsia"/>
          <w:szCs w:val="21"/>
          <w:lang w:val="zh-CN"/>
        </w:rPr>
        <w:t>小时答复，在</w:t>
      </w:r>
      <w:r>
        <w:rPr>
          <w:szCs w:val="21"/>
          <w:lang w:val="zh-CN"/>
        </w:rPr>
        <w:t>48</w:t>
      </w:r>
      <w:r>
        <w:rPr>
          <w:rFonts w:hint="eastAsia"/>
          <w:szCs w:val="21"/>
          <w:lang w:val="zh-CN"/>
        </w:rPr>
        <w:t>小时内提供技术服务，对有疑问的检测结果应能够免费提供检测分析报告</w:t>
      </w:r>
      <w:r>
        <w:rPr>
          <w:rFonts w:hint="eastAsia" w:ascii="宋体" w:hAnsi="宋体"/>
        </w:rPr>
        <w:t>。</w:t>
      </w:r>
    </w:p>
    <w:p>
      <w:pPr>
        <w:ind w:left="0" w:leftChars="0" w:firstLine="0" w:firstLineChars="0"/>
        <w:rPr>
          <w:rFonts w:ascii="宋体" w:hAnsi="宋体"/>
        </w:rPr>
      </w:pPr>
      <w:r>
        <w:rPr>
          <w:rFonts w:hint="eastAsia" w:ascii="宋体" w:hAnsi="宋体"/>
          <w:lang w:val="en-US" w:eastAsia="zh-CN"/>
        </w:rPr>
        <w:t>（4</w:t>
      </w:r>
      <w:r>
        <w:rPr>
          <w:rFonts w:hint="eastAsia" w:ascii="宋体" w:hAnsi="宋体"/>
        </w:rPr>
        <w:t>）如果故障在检修8小时后仍无法排除，投标方应在2天内提供解决方案，经招标方批准后负责实施，直至故障修复。</w:t>
      </w:r>
    </w:p>
    <w:p>
      <w:pPr>
        <w:ind w:left="0" w:leftChars="0" w:firstLine="0" w:firstLineChars="0"/>
        <w:rPr>
          <w:rFonts w:ascii="宋体" w:hAnsi="宋体"/>
        </w:rPr>
      </w:pPr>
      <w:r>
        <w:rPr>
          <w:rFonts w:hint="eastAsia" w:ascii="宋体" w:hAnsi="宋体"/>
          <w:lang w:val="en-US" w:eastAsia="zh-CN"/>
        </w:rPr>
        <w:t>（5</w:t>
      </w:r>
      <w:r>
        <w:rPr>
          <w:rFonts w:hint="eastAsia" w:ascii="宋体" w:hAnsi="宋体"/>
        </w:rPr>
        <w:t>）所有售后服务方式均为投标方上门，即由投标方或原厂商派员到用户使用现场。由此产生的一切费用均由投标方承担。</w:t>
      </w:r>
    </w:p>
    <w:p>
      <w:pPr>
        <w:ind w:left="0" w:leftChars="0" w:firstLine="0" w:firstLineChars="0"/>
        <w:rPr>
          <w:rFonts w:ascii="宋体" w:hAnsi="宋体"/>
        </w:rPr>
      </w:pPr>
      <w:r>
        <w:rPr>
          <w:rFonts w:hint="eastAsia" w:ascii="宋体" w:hAnsi="宋体"/>
          <w:lang w:val="en-US" w:eastAsia="zh-CN"/>
        </w:rPr>
        <w:t>（6</w:t>
      </w:r>
      <w:r>
        <w:rPr>
          <w:rFonts w:hint="eastAsia" w:ascii="宋体" w:hAnsi="宋体"/>
        </w:rPr>
        <w:t>）对于不能明确是否是投标方工作产品出现故障时，投标方应尽力配合招标方和其他供应商进行检查，在必要时，能在上述响应时间内到达现场协助排除问题。</w:t>
      </w:r>
    </w:p>
    <w:p>
      <w:pPr>
        <w:ind w:left="0" w:leftChars="0" w:firstLine="0" w:firstLineChars="0"/>
        <w:rPr>
          <w:rFonts w:ascii="宋体" w:hAnsi="宋体"/>
        </w:rPr>
      </w:pPr>
      <w:r>
        <w:rPr>
          <w:rFonts w:hint="eastAsia" w:ascii="宋体" w:hAnsi="宋体"/>
          <w:lang w:val="en-US" w:eastAsia="zh-CN"/>
        </w:rPr>
        <w:t>（7</w:t>
      </w:r>
      <w:r>
        <w:rPr>
          <w:rFonts w:hint="eastAsia" w:ascii="宋体" w:hAnsi="宋体"/>
        </w:rPr>
        <w:t>）投标方必须有专门的维护部门及规范的维护服务管理体系，须在招标方当地有专业维护人员，能按要求及时响应。</w:t>
      </w:r>
    </w:p>
    <w:p>
      <w:pPr>
        <w:ind w:left="0" w:leftChars="0" w:firstLine="0" w:firstLineChars="0"/>
        <w:rPr>
          <w:rFonts w:ascii="宋体" w:hAnsi="宋体"/>
        </w:rPr>
      </w:pPr>
      <w:r>
        <w:rPr>
          <w:rFonts w:hint="eastAsia" w:ascii="宋体" w:hAnsi="宋体"/>
          <w:lang w:val="en-US" w:eastAsia="zh-CN"/>
        </w:rPr>
        <w:t>（8</w:t>
      </w:r>
      <w:r>
        <w:rPr>
          <w:rFonts w:hint="eastAsia" w:ascii="宋体" w:hAnsi="宋体"/>
        </w:rPr>
        <w:t>）投标方需要提出保修期后每年的收费维修、维护内容，费用和服务方式、范围（产品、技术、模块、部件），供招标方选择。</w:t>
      </w:r>
    </w:p>
    <w:p>
      <w:pPr>
        <w:pStyle w:val="4"/>
        <w:numPr>
          <w:ilvl w:val="0"/>
          <w:numId w:val="0"/>
        </w:numPr>
        <w:bidi w:val="0"/>
        <w:ind w:left="432" w:leftChars="0"/>
        <w:rPr>
          <w:rFonts w:hint="eastAsia"/>
        </w:rPr>
      </w:pPr>
      <w:bookmarkStart w:id="52" w:name="_Toc14985"/>
      <w:r>
        <w:rPr>
          <w:rFonts w:hint="eastAsia"/>
        </w:rPr>
        <w:t>十、其他相关要求</w:t>
      </w:r>
      <w:bookmarkEnd w:id="52"/>
    </w:p>
    <w:p>
      <w:pPr>
        <w:pStyle w:val="4"/>
        <w:numPr>
          <w:ilvl w:val="0"/>
          <w:numId w:val="0"/>
        </w:numPr>
        <w:bidi w:val="0"/>
        <w:rPr>
          <w:rFonts w:ascii="Times New Roman" w:hAnsi="Times New Roman" w:cs="Times New Roman"/>
        </w:rPr>
      </w:pPr>
      <w:bookmarkStart w:id="53" w:name="_Toc31513"/>
      <w:r>
        <w:rPr>
          <w:rStyle w:val="23"/>
          <w:b/>
          <w:bCs/>
        </w:rPr>
        <w:t>1</w:t>
      </w:r>
      <w:r>
        <w:rPr>
          <w:rStyle w:val="23"/>
          <w:rFonts w:hint="eastAsia"/>
          <w:b/>
          <w:bCs/>
        </w:rPr>
        <w:t>0</w:t>
      </w:r>
      <w:r>
        <w:rPr>
          <w:rStyle w:val="23"/>
          <w:b/>
          <w:bCs/>
        </w:rPr>
        <w:t>.1</w:t>
      </w:r>
      <w:r>
        <w:rPr>
          <w:rStyle w:val="23"/>
          <w:rFonts w:hint="eastAsia"/>
          <w:b/>
          <w:bCs/>
          <w:lang w:val="en-US" w:eastAsia="zh-CN"/>
        </w:rPr>
        <w:t xml:space="preserve"> </w:t>
      </w:r>
      <w:r>
        <w:rPr>
          <w:rStyle w:val="23"/>
          <w:rFonts w:hint="eastAsia"/>
          <w:b/>
          <w:bCs/>
        </w:rPr>
        <w:t>技术配合</w:t>
      </w:r>
      <w:bookmarkEnd w:id="53"/>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合同签订后，中标方应指定负责本项目的项目经理，负责中标方在项目全过程的各项工作。</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中标方须结合当次系统开发的目标、指标和任务要求，编制并向</w:t>
      </w:r>
      <w:r>
        <w:rPr>
          <w:rFonts w:hint="eastAsia" w:ascii="Times New Roman" w:hAnsi="Times New Roman" w:cs="Times New Roman"/>
        </w:rPr>
        <w:t>招标</w:t>
      </w:r>
      <w:r>
        <w:rPr>
          <w:rFonts w:ascii="Times New Roman" w:hAnsi="Times New Roman" w:cs="Times New Roman"/>
        </w:rPr>
        <w:t>方提交系统需求分析报告；招标方对中标方提交的需求分析报告进行会议评审，评审通过后中标方才能开展系统设计。</w:t>
      </w:r>
    </w:p>
    <w:p>
      <w:pPr>
        <w:ind w:left="0" w:leftChars="0" w:firstLine="0" w:firstLineChars="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中标方须编制并向招标方提交系统设计报告。</w:t>
      </w:r>
    </w:p>
    <w:p>
      <w:pPr>
        <w:ind w:left="0" w:leftChars="0" w:firstLine="0" w:firstLineChars="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招标方对当次系统开发框架内的功能澄清、细化、完善、纠偏，中标方有义务予以响应并即时实施。</w:t>
      </w:r>
    </w:p>
    <w:p>
      <w:pPr>
        <w:ind w:left="0" w:leftChars="0" w:firstLine="0" w:firstLineChars="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中标方有责任协助招标方做好企业研发费用税前加计扣除工作，并在合同签订后3个月内，办理本合同在科技行政主管部门的认证登记手续。</w:t>
      </w:r>
    </w:p>
    <w:p>
      <w:pPr>
        <w:pStyle w:val="5"/>
        <w:bidi w:val="0"/>
      </w:pPr>
      <w:bookmarkStart w:id="54" w:name="_Toc5313"/>
      <w:r>
        <w:t>1</w:t>
      </w:r>
      <w:r>
        <w:rPr>
          <w:rFonts w:hint="eastAsia"/>
        </w:rPr>
        <w:t>0</w:t>
      </w:r>
      <w:r>
        <w:t>.2</w:t>
      </w:r>
      <w:r>
        <w:rPr>
          <w:rFonts w:hint="eastAsia"/>
          <w:lang w:val="en-US" w:eastAsia="zh-CN"/>
        </w:rPr>
        <w:t xml:space="preserve"> </w:t>
      </w:r>
      <w:r>
        <w:rPr>
          <w:rFonts w:hint="eastAsia"/>
        </w:rPr>
        <w:t>现场服务</w:t>
      </w:r>
      <w:bookmarkEnd w:id="54"/>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当招标方对监测结果存在疑问时，中标方应按合同规定及时派工程技术人员到达现场服务。</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中标方在项目实施过程中应至少为招标方免费提供一次技术指导和培训讲座，在不涉及机密资料泄露的情况下，中标方应尽最大可能将本单位相关算法、其他类似项目的研究结论等向招标方公开。</w:t>
      </w:r>
    </w:p>
    <w:p>
      <w:pPr>
        <w:pStyle w:val="5"/>
        <w:bidi w:val="0"/>
      </w:pPr>
      <w:bookmarkStart w:id="55" w:name="_Toc881"/>
      <w:r>
        <w:t>1</w:t>
      </w:r>
      <w:r>
        <w:rPr>
          <w:rFonts w:hint="eastAsia"/>
        </w:rPr>
        <w:t>0</w:t>
      </w:r>
      <w:r>
        <w:t>.3</w:t>
      </w:r>
      <w:r>
        <w:rPr>
          <w:rFonts w:hint="eastAsia"/>
          <w:lang w:val="en-US" w:eastAsia="zh-CN"/>
        </w:rPr>
        <w:t xml:space="preserve"> </w:t>
      </w:r>
      <w:r>
        <w:rPr>
          <w:rFonts w:hint="eastAsia"/>
        </w:rPr>
        <w:t>培训</w:t>
      </w:r>
      <w:bookmarkEnd w:id="55"/>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中标方应负责对招标方技术人员进行</w:t>
      </w:r>
      <w:r>
        <w:rPr>
          <w:rFonts w:hint="eastAsia" w:ascii="宋体" w:hAnsi="宋体"/>
        </w:rPr>
        <w:t>操作</w:t>
      </w:r>
      <w:r>
        <w:rPr>
          <w:rFonts w:ascii="Times New Roman" w:hAnsi="Times New Roman" w:cs="Times New Roman"/>
        </w:rPr>
        <w:t>等各方面的技术培训，使他们掌握或熟悉原理、系统关键参数设定以及结果判断等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w:t>
      </w:r>
      <w:r>
        <w:rPr>
          <w:rFonts w:ascii="Times New Roman" w:hAnsi="Times New Roman" w:cs="Times New Roman"/>
        </w:rPr>
        <w:t>培训内容包括中标方提供的系统的结构、系统软件、支撑软件和全部应用软件的功能，特点，各种模块间的联系以及系统的生成和维护等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3</w:t>
      </w:r>
      <w:r>
        <w:rPr>
          <w:rFonts w:hint="eastAsia" w:ascii="Times New Roman" w:hAnsi="Times New Roman" w:cs="Times New Roman"/>
        </w:rPr>
        <w:t>）</w:t>
      </w:r>
      <w:r>
        <w:rPr>
          <w:rFonts w:ascii="Times New Roman" w:hAnsi="Times New Roman" w:cs="Times New Roman"/>
        </w:rPr>
        <w:t>中标方应提出培训的建议日期、地点、培训时间表和课程表，经招标方同意后，开展培训工作。</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4</w:t>
      </w:r>
      <w:r>
        <w:rPr>
          <w:rFonts w:hint="eastAsia" w:ascii="Times New Roman" w:hAnsi="Times New Roman" w:cs="Times New Roman"/>
        </w:rPr>
        <w:t>）</w:t>
      </w:r>
      <w:r>
        <w:rPr>
          <w:rFonts w:ascii="Times New Roman" w:hAnsi="Times New Roman" w:cs="Times New Roman"/>
        </w:rPr>
        <w:t>培训时间和参加人数</w:t>
      </w:r>
    </w:p>
    <w:p>
      <w:pPr>
        <w:ind w:left="0" w:leftChars="0" w:firstLine="480" w:firstLineChars="200"/>
        <w:rPr>
          <w:rFonts w:ascii="Times New Roman" w:hAnsi="Times New Roman" w:cs="Times New Roman"/>
        </w:rPr>
      </w:pPr>
      <w:r>
        <w:rPr>
          <w:rFonts w:hint="eastAsia" w:ascii="Times New Roman" w:hAnsi="Times New Roman" w:cs="Times New Roman"/>
        </w:rPr>
        <w:t>培训对象：招标方指定人员；</w:t>
      </w:r>
    </w:p>
    <w:p>
      <w:pPr>
        <w:ind w:left="0" w:leftChars="0" w:firstLine="480" w:firstLineChars="200"/>
        <w:rPr>
          <w:rFonts w:ascii="Times New Roman" w:hAnsi="Times New Roman" w:cs="Times New Roman"/>
        </w:rPr>
      </w:pPr>
      <w:r>
        <w:rPr>
          <w:rFonts w:hint="eastAsia" w:ascii="Times New Roman" w:hAnsi="Times New Roman" w:cs="Times New Roman"/>
        </w:rPr>
        <w:t>培训方式：授课培训、现场培训；</w:t>
      </w:r>
    </w:p>
    <w:p>
      <w:pPr>
        <w:ind w:left="0" w:leftChars="0" w:firstLine="480" w:firstLineChars="200"/>
        <w:rPr>
          <w:rFonts w:ascii="Times New Roman" w:hAnsi="Times New Roman" w:cs="Times New Roman"/>
        </w:rPr>
      </w:pPr>
      <w:r>
        <w:rPr>
          <w:rFonts w:hint="eastAsia" w:ascii="Times New Roman" w:hAnsi="Times New Roman" w:cs="Times New Roman"/>
        </w:rPr>
        <w:t>培训地点：招标方所在地或XX系统研发地；</w:t>
      </w:r>
    </w:p>
    <w:p>
      <w:pPr>
        <w:ind w:left="0" w:leftChars="0" w:firstLine="480" w:firstLineChars="200"/>
        <w:rPr>
          <w:rFonts w:ascii="Times New Roman" w:hAnsi="Times New Roman" w:cs="Times New Roman"/>
        </w:rPr>
      </w:pPr>
      <w:r>
        <w:rPr>
          <w:rFonts w:hint="eastAsia" w:ascii="Times New Roman" w:hAnsi="Times New Roman" w:cs="Times New Roman"/>
        </w:rPr>
        <w:t>培训时间：培训时间根据招标方的时间而定；</w:t>
      </w:r>
    </w:p>
    <w:p>
      <w:pPr>
        <w:ind w:left="0" w:leftChars="0" w:firstLine="480" w:firstLineChars="200"/>
        <w:rPr>
          <w:rFonts w:ascii="Times New Roman" w:hAnsi="Times New Roman" w:cs="Times New Roman"/>
        </w:rPr>
      </w:pPr>
      <w:r>
        <w:rPr>
          <w:rFonts w:hint="eastAsia" w:ascii="Times New Roman" w:hAnsi="Times New Roman" w:cs="Times New Roman"/>
        </w:rPr>
        <w:t>培训时长：对招标方的技术人员开展不少于2次的研发、测试、使用及维护理论等技术培训，每次培训对象不少于5人，每次时间不少于0.5天；并提供相应的培训资料。实操授课以招标方实际需求而定。</w:t>
      </w:r>
    </w:p>
    <w:p>
      <w:pPr>
        <w:pStyle w:val="5"/>
        <w:bidi w:val="0"/>
      </w:pPr>
      <w:bookmarkStart w:id="56" w:name="_Toc23383"/>
      <w:r>
        <w:rPr>
          <w:rFonts w:hint="eastAsia"/>
        </w:rPr>
        <w:t>1</w:t>
      </w:r>
      <w:r>
        <w:rPr>
          <w:rFonts w:hint="eastAsia"/>
          <w:lang w:val="en-US" w:eastAsia="zh-CN"/>
        </w:rPr>
        <w:t>0</w:t>
      </w:r>
      <w:r>
        <w:rPr>
          <w:rFonts w:hint="eastAsia"/>
        </w:rPr>
        <w:t>.4 知识产权约定</w:t>
      </w:r>
      <w:bookmarkEnd w:id="56"/>
    </w:p>
    <w:p>
      <w:pPr>
        <w:ind w:firstLine="480"/>
        <w:rPr>
          <w:rFonts w:ascii="Times New Roman" w:hAnsi="Times New Roman" w:cs="Times New Roman"/>
        </w:rPr>
      </w:pPr>
      <w:r>
        <w:rPr>
          <w:rFonts w:hint="eastAsia" w:ascii="Times New Roman" w:hAnsi="Times New Roman" w:cs="Times New Roman"/>
        </w:rPr>
        <w:t>★（1）在项目完成以后，中标方应向招标方提供该项目所有技术成果、项目建设文档、使用及运维说明等。</w:t>
      </w:r>
      <w:r>
        <w:rPr>
          <w:rFonts w:ascii="Times New Roman" w:hAnsi="Times New Roman" w:cs="Times New Roman"/>
        </w:rPr>
        <w:t>项目实施过程中形成的专利</w:t>
      </w:r>
      <w:r>
        <w:rPr>
          <w:rFonts w:hint="eastAsia" w:ascii="Times New Roman" w:hAnsi="Times New Roman" w:cs="Times New Roman"/>
        </w:rPr>
        <w:t>、</w:t>
      </w:r>
      <w:r>
        <w:rPr>
          <w:rFonts w:ascii="Times New Roman" w:hAnsi="Times New Roman" w:cs="Times New Roman"/>
        </w:rPr>
        <w:t>软件著作权</w:t>
      </w:r>
      <w:r>
        <w:rPr>
          <w:rFonts w:hint="eastAsia" w:ascii="Times New Roman" w:hAnsi="Times New Roman" w:cs="Times New Roman"/>
        </w:rPr>
        <w:t>及论文招标方独有</w:t>
      </w:r>
      <w:r>
        <w:rPr>
          <w:rFonts w:ascii="Times New Roman" w:hAnsi="Times New Roman" w:cs="Times New Roman"/>
        </w:rPr>
        <w:t>。</w:t>
      </w:r>
    </w:p>
    <w:p>
      <w:pPr>
        <w:ind w:firstLine="48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中标方应保证其提供的产品、工具、模型、方法、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人造成的损失，由中标人承担。</w:t>
      </w:r>
    </w:p>
    <w:p>
      <w:pPr>
        <w:pStyle w:val="4"/>
        <w:numPr>
          <w:ilvl w:val="0"/>
          <w:numId w:val="0"/>
        </w:numPr>
        <w:tabs>
          <w:tab w:val="clear" w:pos="432"/>
        </w:tabs>
        <w:ind w:left="432"/>
      </w:pPr>
      <w:bookmarkStart w:id="57" w:name="_Toc93490580"/>
      <w:bookmarkStart w:id="58" w:name="_Toc506186791"/>
      <w:bookmarkStart w:id="59" w:name="_Toc137397828"/>
      <w:bookmarkStart w:id="60" w:name="_Toc167003829"/>
      <w:bookmarkStart w:id="61" w:name="_Toc351129176"/>
      <w:bookmarkStart w:id="62" w:name="_Toc93490630"/>
      <w:bookmarkStart w:id="63" w:name="_Toc93490801"/>
      <w:bookmarkStart w:id="64" w:name="_Toc8949"/>
      <w:r>
        <w:rPr>
          <w:rFonts w:hint="eastAsia"/>
        </w:rPr>
        <w:t>附件</w:t>
      </w:r>
      <w:bookmarkEnd w:id="57"/>
      <w:bookmarkEnd w:id="58"/>
      <w:bookmarkEnd w:id="59"/>
      <w:bookmarkEnd w:id="60"/>
      <w:bookmarkEnd w:id="61"/>
      <w:bookmarkEnd w:id="62"/>
      <w:bookmarkEnd w:id="63"/>
      <w:bookmarkEnd w:id="64"/>
    </w:p>
    <w:p>
      <w:pPr>
        <w:pStyle w:val="5"/>
      </w:pPr>
      <w:bookmarkStart w:id="65" w:name="_Toc27802"/>
      <w:r>
        <w:rPr>
          <w:rFonts w:hint="eastAsia"/>
        </w:rPr>
        <w:t>1、差异表</w:t>
      </w:r>
      <w:bookmarkEnd w:id="65"/>
    </w:p>
    <w:tbl>
      <w:tblPr>
        <w:tblStyle w:val="14"/>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bl>
    <w:p>
      <w:pPr>
        <w:pStyle w:val="5"/>
      </w:pPr>
      <w:bookmarkStart w:id="66" w:name="_Toc17121"/>
      <w:r>
        <w:rPr>
          <w:rFonts w:hint="eastAsia"/>
        </w:rPr>
        <w:t>2、投标方需要说明的其它问题</w:t>
      </w:r>
      <w:bookmarkEnd w:id="66"/>
    </w:p>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wZThlNzcwZDVlN2I0ZTMzZDU3N2Y5OWY4OWFmZDkifQ=="/>
  </w:docVars>
  <w:rsids>
    <w:rsidRoot w:val="2F49686B"/>
    <w:rsid w:val="00080694"/>
    <w:rsid w:val="000A7E4C"/>
    <w:rsid w:val="002133A1"/>
    <w:rsid w:val="00221F99"/>
    <w:rsid w:val="00260E95"/>
    <w:rsid w:val="002647CA"/>
    <w:rsid w:val="00294B1B"/>
    <w:rsid w:val="003B6F75"/>
    <w:rsid w:val="004771A9"/>
    <w:rsid w:val="004E55E1"/>
    <w:rsid w:val="00527713"/>
    <w:rsid w:val="00586D85"/>
    <w:rsid w:val="00797050"/>
    <w:rsid w:val="00852CBC"/>
    <w:rsid w:val="0098141A"/>
    <w:rsid w:val="00B4230F"/>
    <w:rsid w:val="00BA5037"/>
    <w:rsid w:val="00C741BE"/>
    <w:rsid w:val="00D2099E"/>
    <w:rsid w:val="00D96A99"/>
    <w:rsid w:val="00D96B71"/>
    <w:rsid w:val="00D97C72"/>
    <w:rsid w:val="00ED31EF"/>
    <w:rsid w:val="02D70A17"/>
    <w:rsid w:val="030F6088"/>
    <w:rsid w:val="03CE411A"/>
    <w:rsid w:val="043950FC"/>
    <w:rsid w:val="09331369"/>
    <w:rsid w:val="0960790B"/>
    <w:rsid w:val="0974768F"/>
    <w:rsid w:val="0BDE09AD"/>
    <w:rsid w:val="0BED7D43"/>
    <w:rsid w:val="0C555658"/>
    <w:rsid w:val="0DE6052C"/>
    <w:rsid w:val="0EE03777"/>
    <w:rsid w:val="0EFE21CE"/>
    <w:rsid w:val="0F0F05DB"/>
    <w:rsid w:val="105E7F3C"/>
    <w:rsid w:val="10A73228"/>
    <w:rsid w:val="12735A58"/>
    <w:rsid w:val="14870B74"/>
    <w:rsid w:val="14947FBC"/>
    <w:rsid w:val="17415B08"/>
    <w:rsid w:val="186950A5"/>
    <w:rsid w:val="19CB78B7"/>
    <w:rsid w:val="1A680ED3"/>
    <w:rsid w:val="1AC476B2"/>
    <w:rsid w:val="1D443C03"/>
    <w:rsid w:val="1EB52C70"/>
    <w:rsid w:val="1FA24BB6"/>
    <w:rsid w:val="1FC91E44"/>
    <w:rsid w:val="20E526D1"/>
    <w:rsid w:val="22294735"/>
    <w:rsid w:val="22484D4A"/>
    <w:rsid w:val="249828C7"/>
    <w:rsid w:val="290D43C3"/>
    <w:rsid w:val="2D412836"/>
    <w:rsid w:val="2E97707E"/>
    <w:rsid w:val="2F49686B"/>
    <w:rsid w:val="32830AE6"/>
    <w:rsid w:val="333459DE"/>
    <w:rsid w:val="33B23011"/>
    <w:rsid w:val="33E3258B"/>
    <w:rsid w:val="34AE29C8"/>
    <w:rsid w:val="35941976"/>
    <w:rsid w:val="36AF6C3F"/>
    <w:rsid w:val="37344CD6"/>
    <w:rsid w:val="37B67EF6"/>
    <w:rsid w:val="37C624B2"/>
    <w:rsid w:val="38220595"/>
    <w:rsid w:val="3B124C2E"/>
    <w:rsid w:val="3B1E572E"/>
    <w:rsid w:val="3B2B774D"/>
    <w:rsid w:val="3EDE7FC7"/>
    <w:rsid w:val="40CE784B"/>
    <w:rsid w:val="42E12EC5"/>
    <w:rsid w:val="43A52806"/>
    <w:rsid w:val="45E82713"/>
    <w:rsid w:val="46CB4D68"/>
    <w:rsid w:val="46D0233C"/>
    <w:rsid w:val="48295736"/>
    <w:rsid w:val="483F12A6"/>
    <w:rsid w:val="4876623F"/>
    <w:rsid w:val="4B18699B"/>
    <w:rsid w:val="4D0470DF"/>
    <w:rsid w:val="4E0662AE"/>
    <w:rsid w:val="52B1259E"/>
    <w:rsid w:val="52C775AA"/>
    <w:rsid w:val="54BC4486"/>
    <w:rsid w:val="558624E1"/>
    <w:rsid w:val="566514A3"/>
    <w:rsid w:val="57344239"/>
    <w:rsid w:val="578A062C"/>
    <w:rsid w:val="58A06C12"/>
    <w:rsid w:val="5931729F"/>
    <w:rsid w:val="59404FBB"/>
    <w:rsid w:val="5D45399B"/>
    <w:rsid w:val="5D5A6811"/>
    <w:rsid w:val="5E6202E5"/>
    <w:rsid w:val="601F7341"/>
    <w:rsid w:val="60A878D1"/>
    <w:rsid w:val="60B82CE2"/>
    <w:rsid w:val="62075CD0"/>
    <w:rsid w:val="62570309"/>
    <w:rsid w:val="64434485"/>
    <w:rsid w:val="657D797E"/>
    <w:rsid w:val="67765649"/>
    <w:rsid w:val="67D70A6D"/>
    <w:rsid w:val="6C0902EF"/>
    <w:rsid w:val="6F463A67"/>
    <w:rsid w:val="6FC677CA"/>
    <w:rsid w:val="70A27BF9"/>
    <w:rsid w:val="71192018"/>
    <w:rsid w:val="71E45665"/>
    <w:rsid w:val="72457288"/>
    <w:rsid w:val="73135487"/>
    <w:rsid w:val="73901661"/>
    <w:rsid w:val="74EB7C82"/>
    <w:rsid w:val="773C4AC1"/>
    <w:rsid w:val="7BB945D5"/>
    <w:rsid w:val="7C8B5A02"/>
    <w:rsid w:val="7CAD6C4D"/>
    <w:rsid w:val="7CAE5E12"/>
    <w:rsid w:val="7F4B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iPriority="99" w:semiHidden="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24"/>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5">
    <w:name w:val="heading 2"/>
    <w:basedOn w:val="1"/>
    <w:next w:val="1"/>
    <w:link w:val="23"/>
    <w:unhideWhenUsed/>
    <w:qFormat/>
    <w:uiPriority w:val="99"/>
    <w:pPr>
      <w:keepNext/>
      <w:keepLines/>
      <w:spacing w:before="260" w:after="260" w:line="416" w:lineRule="auto"/>
      <w:ind w:firstLine="0" w:firstLineChars="0"/>
      <w:outlineLvl w:val="1"/>
    </w:pPr>
    <w:rPr>
      <w:rFonts w:ascii="Calibri Light" w:hAnsi="Calibri Light"/>
      <w:b/>
      <w:bCs/>
      <w:sz w:val="32"/>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paragraph" w:styleId="7">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Plain Text"/>
    <w:basedOn w:val="1"/>
    <w:qFormat/>
    <w:uiPriority w:val="0"/>
    <w:rPr>
      <w:rFonts w:ascii="宋体" w:hAnsi="Courier New"/>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next w:val="1"/>
    <w:unhideWhenUsed/>
    <w:qFormat/>
    <w:uiPriority w:val="39"/>
    <w:pPr>
      <w:spacing w:beforeLines="38" w:afterLines="38"/>
    </w:pPr>
    <w:rPr>
      <w:rFonts w:ascii="Times New Roman" w:hAnsi="Times New Roman" w:eastAsia="宋体" w:cs="Times New Roman"/>
      <w:b/>
      <w:bCs/>
      <w:lang w:val="en-US" w:eastAsia="zh-CN" w:bidi="ar-SA"/>
    </w:rPr>
  </w:style>
  <w:style w:type="paragraph" w:styleId="12">
    <w:name w:val="toc 2"/>
    <w:basedOn w:val="1"/>
    <w:next w:val="1"/>
    <w:unhideWhenUsed/>
    <w:qFormat/>
    <w:uiPriority w:val="39"/>
    <w:pPr>
      <w:ind w:left="210"/>
      <w:jc w:val="left"/>
    </w:pPr>
    <w:rPr>
      <w:rFonts w:ascii="Times New Roman" w:hAnsi="Times New Roman" w:cs="Times New Roman"/>
      <w:smallCaps/>
      <w:sz w:val="20"/>
      <w:szCs w:val="20"/>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table" w:styleId="15">
    <w:name w:val="Table Grid"/>
    <w:basedOn w:val="1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6">
    <w:name w:val="Table Professional"/>
    <w:basedOn w:val="14"/>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8">
    <w:name w:val="Strong"/>
    <w:basedOn w:val="17"/>
    <w:qFormat/>
    <w:uiPriority w:val="22"/>
    <w:rPr>
      <w:b/>
    </w:rPr>
  </w:style>
  <w:style w:type="character" w:styleId="19">
    <w:name w:val="Hyperlink"/>
    <w:basedOn w:val="17"/>
    <w:qFormat/>
    <w:uiPriority w:val="0"/>
    <w:rPr>
      <w:color w:val="0000FF"/>
      <w:u w:val="single"/>
    </w:rPr>
  </w:style>
  <w:style w:type="paragraph" w:customStyle="1" w:styleId="20">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21">
    <w:name w:val="List Paragraph1"/>
    <w:basedOn w:val="1"/>
    <w:qFormat/>
    <w:uiPriority w:val="99"/>
    <w:pPr>
      <w:ind w:firstLine="420"/>
    </w:pPr>
  </w:style>
  <w:style w:type="paragraph" w:customStyle="1" w:styleId="22">
    <w:name w:val="列出段落1"/>
    <w:basedOn w:val="1"/>
    <w:qFormat/>
    <w:uiPriority w:val="34"/>
    <w:pPr>
      <w:ind w:firstLine="420"/>
    </w:pPr>
  </w:style>
  <w:style w:type="character" w:customStyle="1" w:styleId="23">
    <w:name w:val="标题 2 Char"/>
    <w:link w:val="5"/>
    <w:qFormat/>
    <w:uiPriority w:val="99"/>
    <w:rPr>
      <w:rFonts w:ascii="Calibri Light" w:hAnsi="Calibri Light"/>
      <w:b/>
      <w:bCs/>
      <w:sz w:val="32"/>
      <w:szCs w:val="32"/>
    </w:rPr>
  </w:style>
  <w:style w:type="character" w:customStyle="1" w:styleId="24">
    <w:name w:val="标题 1 Char"/>
    <w:link w:val="4"/>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1151</Words>
  <Characters>6562</Characters>
  <Lines>54</Lines>
  <Paragraphs>15</Paragraphs>
  <TotalTime>2</TotalTime>
  <ScaleCrop>false</ScaleCrop>
  <LinksUpToDate>false</LinksUpToDate>
  <CharactersWithSpaces>7698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2024-04-28T01:59:00Z</dcterms:created>
  <dc:creator>左边口袋</dc:creator>
  <cp:lastModifiedBy>李星煌</cp:lastModifiedBy>
  <dcterms:modified xsi:type="dcterms:W3CDTF">2025-11-13T11:34:18Z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779509DC1F6D4F979526EE19F83C97B4_13</vt:lpwstr>
  </property>
</Properties>
</file>